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701"/>
        <w:gridCol w:w="1134"/>
        <w:gridCol w:w="2635"/>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5DBAC0ED"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w:t>
            </w:r>
            <w:r w:rsidR="00642F78">
              <w:rPr>
                <w:b w:val="0"/>
                <w:sz w:val="20"/>
              </w:rPr>
              <w:t>3</w:t>
            </w:r>
            <w:r w:rsidR="000F4F3C">
              <w:rPr>
                <w:b w:val="0"/>
                <w:sz w:val="20"/>
              </w:rPr>
              <w:t>-</w:t>
            </w:r>
            <w:r w:rsidR="00642F78">
              <w:rPr>
                <w:b w:val="0"/>
                <w:sz w:val="20"/>
              </w:rPr>
              <w:t>11</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395B1A">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2198" w:type="dxa"/>
            <w:vAlign w:val="center"/>
          </w:tcPr>
          <w:p w14:paraId="7A34D8ED" w14:textId="77777777" w:rsidR="00CA09B2" w:rsidRDefault="0062440B">
            <w:pPr>
              <w:pStyle w:val="T2"/>
              <w:spacing w:after="0"/>
              <w:ind w:left="0" w:right="0"/>
              <w:jc w:val="left"/>
              <w:rPr>
                <w:sz w:val="20"/>
              </w:rPr>
            </w:pPr>
            <w:r>
              <w:rPr>
                <w:sz w:val="20"/>
              </w:rPr>
              <w:t>Affiliation</w:t>
            </w:r>
          </w:p>
        </w:tc>
        <w:tc>
          <w:tcPr>
            <w:tcW w:w="1701" w:type="dxa"/>
            <w:vAlign w:val="center"/>
          </w:tcPr>
          <w:p w14:paraId="5872F7BA" w14:textId="77777777" w:rsidR="00CA09B2" w:rsidRDefault="00CA09B2">
            <w:pPr>
              <w:pStyle w:val="T2"/>
              <w:spacing w:after="0"/>
              <w:ind w:left="0" w:right="0"/>
              <w:jc w:val="left"/>
              <w:rPr>
                <w:sz w:val="20"/>
              </w:rPr>
            </w:pPr>
            <w:r>
              <w:rPr>
                <w:sz w:val="20"/>
              </w:rPr>
              <w:t>Address</w:t>
            </w:r>
          </w:p>
        </w:tc>
        <w:tc>
          <w:tcPr>
            <w:tcW w:w="1134" w:type="dxa"/>
            <w:vAlign w:val="center"/>
          </w:tcPr>
          <w:p w14:paraId="4D968FAF" w14:textId="77777777" w:rsidR="00CA09B2" w:rsidRDefault="00CA09B2">
            <w:pPr>
              <w:pStyle w:val="T2"/>
              <w:spacing w:after="0"/>
              <w:ind w:left="0" w:right="0"/>
              <w:jc w:val="left"/>
              <w:rPr>
                <w:sz w:val="20"/>
              </w:rPr>
            </w:pPr>
            <w:r>
              <w:rPr>
                <w:sz w:val="20"/>
              </w:rPr>
              <w:t>Phone</w:t>
            </w:r>
          </w:p>
        </w:tc>
        <w:tc>
          <w:tcPr>
            <w:tcW w:w="2635"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395B1A">
        <w:trPr>
          <w:jc w:val="center"/>
        </w:trPr>
        <w:tc>
          <w:tcPr>
            <w:tcW w:w="1908"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2198"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701" w:type="dxa"/>
            <w:vAlign w:val="center"/>
          </w:tcPr>
          <w:p w14:paraId="2CFC1E20" w14:textId="77777777" w:rsidR="00395B1A" w:rsidRDefault="00395B1A" w:rsidP="00395B1A">
            <w:pPr>
              <w:pStyle w:val="T2"/>
              <w:spacing w:after="0"/>
              <w:ind w:left="0" w:right="0"/>
              <w:rPr>
                <w:b w:val="0"/>
                <w:sz w:val="20"/>
                <w:lang w:eastAsia="zh-CN"/>
              </w:rPr>
            </w:pPr>
          </w:p>
        </w:tc>
        <w:tc>
          <w:tcPr>
            <w:tcW w:w="1134" w:type="dxa"/>
            <w:vAlign w:val="center"/>
          </w:tcPr>
          <w:p w14:paraId="5F1C7C07" w14:textId="77777777" w:rsidR="00395B1A" w:rsidRDefault="00395B1A" w:rsidP="00395B1A">
            <w:pPr>
              <w:pStyle w:val="T2"/>
              <w:spacing w:after="0"/>
              <w:ind w:left="0" w:right="0"/>
              <w:rPr>
                <w:b w:val="0"/>
                <w:sz w:val="20"/>
              </w:rPr>
            </w:pPr>
          </w:p>
        </w:tc>
        <w:tc>
          <w:tcPr>
            <w:tcW w:w="2635"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395B1A" w14:paraId="048D8FFD" w14:textId="77777777" w:rsidTr="00395B1A">
        <w:trPr>
          <w:jc w:val="center"/>
        </w:trPr>
        <w:tc>
          <w:tcPr>
            <w:tcW w:w="1908"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2198"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701" w:type="dxa"/>
            <w:vAlign w:val="center"/>
          </w:tcPr>
          <w:p w14:paraId="11E78EE5" w14:textId="77777777" w:rsidR="00395B1A" w:rsidRDefault="00395B1A" w:rsidP="00395B1A">
            <w:pPr>
              <w:pStyle w:val="T2"/>
              <w:spacing w:after="0"/>
              <w:ind w:left="0" w:right="0"/>
              <w:rPr>
                <w:b w:val="0"/>
                <w:sz w:val="20"/>
                <w:lang w:eastAsia="zh-CN"/>
              </w:rPr>
            </w:pPr>
          </w:p>
        </w:tc>
        <w:tc>
          <w:tcPr>
            <w:tcW w:w="1134" w:type="dxa"/>
            <w:vAlign w:val="center"/>
          </w:tcPr>
          <w:p w14:paraId="7B61B38A" w14:textId="77777777" w:rsidR="00395B1A" w:rsidRDefault="00395B1A" w:rsidP="00395B1A">
            <w:pPr>
              <w:pStyle w:val="T2"/>
              <w:spacing w:after="0"/>
              <w:ind w:left="0" w:right="0"/>
              <w:rPr>
                <w:b w:val="0"/>
                <w:sz w:val="20"/>
              </w:rPr>
            </w:pPr>
          </w:p>
        </w:tc>
        <w:tc>
          <w:tcPr>
            <w:tcW w:w="2635"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395B1A" w14:paraId="23AF10EC" w14:textId="77777777" w:rsidTr="00395B1A">
        <w:trPr>
          <w:jc w:val="center"/>
        </w:trPr>
        <w:tc>
          <w:tcPr>
            <w:tcW w:w="1908"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2198" w:type="dxa"/>
            <w:vAlign w:val="center"/>
          </w:tcPr>
          <w:p w14:paraId="2166C5FF" w14:textId="4C916ABA" w:rsidR="00395B1A" w:rsidRDefault="00395B1A" w:rsidP="00395B1A">
            <w:pPr>
              <w:pStyle w:val="T2"/>
              <w:spacing w:after="0"/>
              <w:ind w:left="0" w:right="0"/>
              <w:rPr>
                <w:b w:val="0"/>
                <w:sz w:val="20"/>
              </w:rPr>
            </w:pPr>
            <w:r>
              <w:rPr>
                <w:b w:val="0"/>
                <w:sz w:val="20"/>
                <w:lang w:val="en-CA" w:eastAsia="zh-CN"/>
              </w:rPr>
              <w:t>Huawei Technologies Co., Ltd</w:t>
            </w:r>
          </w:p>
        </w:tc>
        <w:tc>
          <w:tcPr>
            <w:tcW w:w="1701" w:type="dxa"/>
            <w:vAlign w:val="center"/>
          </w:tcPr>
          <w:p w14:paraId="7EC694E2" w14:textId="77777777" w:rsidR="00395B1A" w:rsidRDefault="00395B1A" w:rsidP="00395B1A">
            <w:pPr>
              <w:pStyle w:val="T2"/>
              <w:spacing w:after="0"/>
              <w:ind w:left="0" w:right="0"/>
              <w:rPr>
                <w:b w:val="0"/>
                <w:sz w:val="20"/>
                <w:lang w:eastAsia="zh-CN"/>
              </w:rPr>
            </w:pPr>
          </w:p>
        </w:tc>
        <w:tc>
          <w:tcPr>
            <w:tcW w:w="1134" w:type="dxa"/>
            <w:vAlign w:val="center"/>
          </w:tcPr>
          <w:p w14:paraId="234AACB9" w14:textId="77777777" w:rsidR="00395B1A" w:rsidRDefault="00395B1A" w:rsidP="00395B1A">
            <w:pPr>
              <w:pStyle w:val="T2"/>
              <w:spacing w:after="0"/>
              <w:ind w:left="0" w:right="0"/>
              <w:rPr>
                <w:b w:val="0"/>
                <w:sz w:val="20"/>
              </w:rPr>
            </w:pPr>
          </w:p>
        </w:tc>
        <w:tc>
          <w:tcPr>
            <w:tcW w:w="2635"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5A763D3" w:rsidR="007226C5" w:rsidRDefault="007226C5" w:rsidP="000F4F3C">
                            <w:pPr>
                              <w:jc w:val="both"/>
                              <w:rPr>
                                <w:sz w:val="24"/>
                              </w:rPr>
                            </w:pPr>
                            <w:r>
                              <w:rPr>
                                <w:sz w:val="24"/>
                              </w:rPr>
                              <w:t xml:space="preserve">CSD proposal </w:t>
                            </w:r>
                            <w:r w:rsidR="009D7418">
                              <w:rPr>
                                <w:sz w:val="24"/>
                              </w:rPr>
                              <w:t>for</w:t>
                            </w:r>
                            <w:r>
                              <w:rPr>
                                <w:sz w:val="24"/>
                              </w:rPr>
                              <w:t xml:space="preserve"> IEEE 802.11 </w:t>
                            </w:r>
                            <w:r w:rsidR="00AB16EE" w:rsidRPr="00321B68">
                              <w:rPr>
                                <w:sz w:val="24"/>
                                <w:lang w:val="en-CA"/>
                              </w:rPr>
                              <w:t>Post-Quantum Cryptography Security Enhancements</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BdxVFjhAAAADwEAAA8AAABkcnMvZG93&#13;&#10;bnJldi54bWxMT0tOw0AM3SNxh5GR2KB20pY2JM2k4iMQ25YewEncJCLjiTLTJr09ZgVeWLL9/D7Z&#13;&#10;brKdutDgW8cGFvMIFHHpqpZrA8ev99kTKB+QK+wck4EredjltzcZppUbeU+XQ6iVkLBP0UATQp9q&#13;&#10;7cuGLPq564nldnKDxSDjUOtqwFHIbaeXUbTRFlsWhQZ7em2o/D6crYHT5/iwTsbiIxzj/ePmBdu4&#13;&#10;cFdj7u+mt6205y2oQFP4+4DfDOIfcjFWuDNXXnUGZotoLVADq2UMSgBJspKEhSykQOeZ/p8j/wE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AXcVRY4QAAAA8BAAAPAAAAAAAAAAAAAAAA&#13;&#10;AE8EAABkcnMvZG93bnJldi54bWxQSwUGAAAAAAQABADzAAAAXQUAAAAA&#13;&#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5A763D3" w:rsidR="007226C5" w:rsidRDefault="007226C5" w:rsidP="000F4F3C">
                      <w:pPr>
                        <w:jc w:val="both"/>
                        <w:rPr>
                          <w:sz w:val="24"/>
                        </w:rPr>
                      </w:pPr>
                      <w:r>
                        <w:rPr>
                          <w:sz w:val="24"/>
                        </w:rPr>
                        <w:t xml:space="preserve">CSD proposal </w:t>
                      </w:r>
                      <w:r w:rsidR="009D7418">
                        <w:rPr>
                          <w:sz w:val="24"/>
                        </w:rPr>
                        <w:t>for</w:t>
                      </w:r>
                      <w:r>
                        <w:rPr>
                          <w:sz w:val="24"/>
                        </w:rPr>
                        <w:t xml:space="preserve"> IEEE 802.11 </w:t>
                      </w:r>
                      <w:r w:rsidR="00AB16EE" w:rsidRPr="00321B68">
                        <w:rPr>
                          <w:sz w:val="24"/>
                          <w:lang w:val="en-CA"/>
                        </w:rPr>
                        <w:t>Post-Quantum Cryptography Security Enhancements</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2193D11C" w14:textId="59AA0127" w:rsidR="00D20A3A" w:rsidRDefault="008012EC" w:rsidP="00295579">
      <w:pPr>
        <w:pStyle w:val="NoSpacing"/>
      </w:pPr>
      <w:r>
        <w:t>(TBD)</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5410FAB4" w14:textId="47FE1111" w:rsidR="00275593" w:rsidRDefault="008012EC" w:rsidP="00837CBD">
      <w:r>
        <w:t>(TBD)</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7EDD88FF" w:rsidR="0031172F" w:rsidRDefault="002B3032" w:rsidP="00837CBD">
      <w:pPr>
        <w:rPr>
          <w:lang w:val="en-US"/>
        </w:rPr>
      </w:pPr>
      <w:r>
        <w:rPr>
          <w:lang w:val="en-US"/>
        </w:rPr>
        <w:t>(TBD)</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3CC4B55D" w:rsidR="001D4BC6" w:rsidRDefault="002B3032" w:rsidP="00D4020B">
      <w:pPr>
        <w:widowControl w:val="0"/>
        <w:autoSpaceDE w:val="0"/>
        <w:autoSpaceDN w:val="0"/>
        <w:adjustRightInd w:val="0"/>
        <w:rPr>
          <w:sz w:val="24"/>
          <w:szCs w:val="22"/>
        </w:rPr>
      </w:pPr>
      <w:r>
        <w:rPr>
          <w:szCs w:val="22"/>
          <w:lang w:val="en-US"/>
        </w:rPr>
        <w:t>(TBD)</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10"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23132756" w14:textId="7E6EA150" w:rsidR="009A494A" w:rsidRPr="00EA6A21" w:rsidRDefault="008023D7" w:rsidP="00EA6A21">
      <w:pPr>
        <w:rPr>
          <w:sz w:val="24"/>
          <w:szCs w:val="22"/>
          <w:lang w:val="en-US"/>
        </w:rPr>
      </w:pPr>
      <w:r>
        <w:rPr>
          <w:sz w:val="24"/>
          <w:szCs w:val="22"/>
          <w:lang w:val="en-US"/>
        </w:rPr>
        <w:t>(TBD)</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EBDD30" w:rsidR="000F6681" w:rsidRDefault="008023D7" w:rsidP="00717025">
      <w:pPr>
        <w:widowControl w:val="0"/>
        <w:autoSpaceDE w:val="0"/>
        <w:autoSpaceDN w:val="0"/>
        <w:adjustRightInd w:val="0"/>
        <w:rPr>
          <w:sz w:val="24"/>
          <w:szCs w:val="22"/>
        </w:rPr>
      </w:pPr>
      <w:r>
        <w:rPr>
          <w:sz w:val="24"/>
          <w:szCs w:val="22"/>
        </w:rPr>
        <w:t>(TBD)</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30690048" w:rsidR="000F6681" w:rsidRPr="00546FF9" w:rsidRDefault="008023D7" w:rsidP="00837CBD">
      <w:pPr>
        <w:rPr>
          <w:sz w:val="24"/>
          <w:szCs w:val="24"/>
        </w:rPr>
      </w:pPr>
      <w:r>
        <w:rPr>
          <w:sz w:val="24"/>
          <w:szCs w:val="24"/>
        </w:rPr>
        <w:t>(TBD)</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7DB76CE6" w:rsidR="00E10026" w:rsidRDefault="008023D7" w:rsidP="00837CBD">
      <w:pPr>
        <w:rPr>
          <w:lang w:val="en-US"/>
        </w:rPr>
      </w:pPr>
      <w:r>
        <w:rPr>
          <w:lang w:val="en-US"/>
        </w:rPr>
        <w:lastRenderedPageBreak/>
        <w:t>(TBD)</w:t>
      </w: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53F9C29E" w:rsidR="00093DC2" w:rsidRDefault="008023D7" w:rsidP="00837CBD">
      <w:r>
        <w:rPr>
          <w:lang w:val="en-US"/>
        </w:rPr>
        <w:t>(TBD)</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FC48" w14:textId="77777777" w:rsidR="00CA0141" w:rsidRDefault="00CA0141">
      <w:r>
        <w:separator/>
      </w:r>
    </w:p>
  </w:endnote>
  <w:endnote w:type="continuationSeparator" w:id="0">
    <w:p w14:paraId="5924CB5C" w14:textId="77777777" w:rsidR="00CA0141" w:rsidRDefault="00CA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A56E92" w:rsidRDefault="00A73849">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41E7EF0D" w14:textId="79CA91B2"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226C5" w:rsidRPr="009D7418" w:rsidRDefault="00A73849">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69A684DA" w14:textId="344384B9"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rsidR="007226C5">
      <w:fldChar w:fldCharType="begin"/>
    </w:r>
    <w:r w:rsidR="007226C5" w:rsidRPr="009D7418">
      <w:rPr>
        <w:lang w:val="es-ES"/>
      </w:rPr>
      <w:instrText xml:space="preserve"> SUBJECT  \* MERGEFORMAT </w:instrText>
    </w:r>
    <w:r w:rsidR="007226C5">
      <w:fldChar w:fldCharType="separate"/>
    </w:r>
    <w:proofErr w:type="spellStart"/>
    <w:r w:rsidR="007226C5" w:rsidRPr="009D7418">
      <w:rPr>
        <w:lang w:val="es-ES"/>
      </w:rPr>
      <w:t>Submission</w:t>
    </w:r>
    <w:proofErr w:type="spellEnd"/>
    <w:r w:rsidR="007226C5">
      <w:fldChar w:fldCharType="end"/>
    </w:r>
    <w:r w:rsidR="007226C5" w:rsidRPr="009D7418">
      <w:rPr>
        <w:lang w:val="es-ES"/>
      </w:rPr>
      <w:tab/>
      <w:t xml:space="preserve">page </w:t>
    </w:r>
    <w:r w:rsidR="007226C5">
      <w:fldChar w:fldCharType="begin"/>
    </w:r>
    <w:r w:rsidR="007226C5" w:rsidRPr="009D7418">
      <w:rPr>
        <w:lang w:val="es-ES"/>
      </w:rPr>
      <w:instrText xml:space="preserve">page </w:instrText>
    </w:r>
    <w:r w:rsidR="007226C5">
      <w:fldChar w:fldCharType="separate"/>
    </w:r>
    <w:r w:rsidR="00F87EE5" w:rsidRPr="009D7418">
      <w:rPr>
        <w:noProof/>
        <w:lang w:val="es-ES"/>
      </w:rPr>
      <w:t>7</w:t>
    </w:r>
    <w:r w:rsidR="007226C5">
      <w:fldChar w:fldCharType="end"/>
    </w:r>
    <w:r w:rsidR="007226C5" w:rsidRPr="009D7418">
      <w:rPr>
        <w:lang w:val="es-ES"/>
      </w:rPr>
      <w:tab/>
    </w:r>
    <w:r w:rsidR="009D7418" w:rsidRPr="009D7418">
      <w:rPr>
        <w:lang w:val="es-ES"/>
      </w:rPr>
      <w:t xml:space="preserve">Juan-Carlos </w:t>
    </w:r>
    <w:proofErr w:type="spellStart"/>
    <w:r w:rsidR="009D7418" w:rsidRPr="009D7418">
      <w:rPr>
        <w:lang w:val="es-ES"/>
      </w:rPr>
      <w:t>Zuniga</w:t>
    </w:r>
    <w:proofErr w:type="spellEnd"/>
    <w:r w:rsidR="009D7418" w:rsidRPr="009D7418">
      <w:rPr>
        <w:lang w:val="es-ES"/>
      </w:rPr>
      <w:t xml:space="preserve">, Cisco </w:t>
    </w:r>
    <w:proofErr w:type="spellStart"/>
    <w:r w:rsidR="009D7418">
      <w:rPr>
        <w:lang w:val="es-ES"/>
      </w:rPr>
      <w:t>Systems</w:t>
    </w:r>
    <w:proofErr w:type="spellEnd"/>
    <w:r>
      <w:rPr>
        <w:lang w:val="es-ES"/>
      </w:rPr>
      <w:t>, et al.</w:t>
    </w:r>
    <w:r w:rsidR="007226C5">
      <w:fldChar w:fldCharType="begin"/>
    </w:r>
    <w:r w:rsidR="007226C5" w:rsidRPr="009D7418">
      <w:rPr>
        <w:lang w:val="es-ES"/>
      </w:rPr>
      <w:instrText xml:space="preserve"> COMMENTS  \* MERGEFORMAT </w:instrText>
    </w:r>
    <w:r w:rsidR="007226C5">
      <w:fldChar w:fldCharType="end"/>
    </w:r>
  </w:p>
  <w:p w14:paraId="0B878A0E" w14:textId="77777777" w:rsidR="007226C5" w:rsidRPr="009D7418" w:rsidRDefault="007226C5">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A56E92" w:rsidRDefault="00A73849">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6128A7EF" w14:textId="6FBF67CB" w:rsidR="00A73849" w:rsidRPr="00A73849" w:rsidRDefault="00A73849"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6EFC" w14:textId="77777777" w:rsidR="00CA0141" w:rsidRDefault="00CA0141">
      <w:r>
        <w:separator/>
      </w:r>
    </w:p>
  </w:footnote>
  <w:footnote w:type="continuationSeparator" w:id="0">
    <w:p w14:paraId="6C0530EB" w14:textId="77777777" w:rsidR="00CA0141" w:rsidRDefault="00CA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0FE46443" w:rsidR="007226C5" w:rsidRDefault="00E04C0C" w:rsidP="0098025D">
    <w:pPr>
      <w:pStyle w:val="Header"/>
      <w:tabs>
        <w:tab w:val="clear" w:pos="6480"/>
        <w:tab w:val="center" w:pos="4680"/>
        <w:tab w:val="right" w:pos="9360"/>
      </w:tabs>
    </w:pPr>
    <w:r>
      <w:t xml:space="preserve">March </w:t>
    </w:r>
    <w:r w:rsidR="007226C5">
      <w:t>20</w:t>
    </w:r>
    <w:r w:rsidR="00271344">
      <w:t>2</w:t>
    </w:r>
    <w:r w:rsidR="00097246">
      <w:t>5</w:t>
    </w:r>
    <w:r w:rsidR="007226C5">
      <w:tab/>
    </w:r>
    <w:r w:rsidR="007226C5">
      <w:tab/>
    </w:r>
    <w:r w:rsidR="00642F78" w:rsidRPr="00642F78">
      <w:t>doc.: IEEE 802.11-25/XXXXr0</w:t>
    </w:r>
    <w:r w:rsidR="00642F7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50556"/>
    <w:rsid w:val="00353182"/>
    <w:rsid w:val="00360681"/>
    <w:rsid w:val="0036443F"/>
    <w:rsid w:val="00364FBC"/>
    <w:rsid w:val="00374285"/>
    <w:rsid w:val="00382AA6"/>
    <w:rsid w:val="00384B63"/>
    <w:rsid w:val="00395B1A"/>
    <w:rsid w:val="003A31A0"/>
    <w:rsid w:val="003A366F"/>
    <w:rsid w:val="003B0117"/>
    <w:rsid w:val="003B78C2"/>
    <w:rsid w:val="003E0869"/>
    <w:rsid w:val="003E0DAA"/>
    <w:rsid w:val="003F2960"/>
    <w:rsid w:val="003F3A8E"/>
    <w:rsid w:val="003F4814"/>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3777C"/>
    <w:rsid w:val="00546FF9"/>
    <w:rsid w:val="005521F7"/>
    <w:rsid w:val="00556276"/>
    <w:rsid w:val="00562E22"/>
    <w:rsid w:val="00562F2C"/>
    <w:rsid w:val="00575D42"/>
    <w:rsid w:val="0059111F"/>
    <w:rsid w:val="005947B3"/>
    <w:rsid w:val="00597F98"/>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42465"/>
    <w:rsid w:val="00642F78"/>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C83"/>
    <w:rsid w:val="007F3B0A"/>
    <w:rsid w:val="007F7EC9"/>
    <w:rsid w:val="008012EC"/>
    <w:rsid w:val="008023D7"/>
    <w:rsid w:val="008068E2"/>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73F6A"/>
    <w:rsid w:val="0098025D"/>
    <w:rsid w:val="009828D5"/>
    <w:rsid w:val="0098623E"/>
    <w:rsid w:val="00991933"/>
    <w:rsid w:val="009965C9"/>
    <w:rsid w:val="00996A7A"/>
    <w:rsid w:val="009A494A"/>
    <w:rsid w:val="009A639A"/>
    <w:rsid w:val="009B0C6C"/>
    <w:rsid w:val="009C0910"/>
    <w:rsid w:val="009C51C0"/>
    <w:rsid w:val="009D0446"/>
    <w:rsid w:val="009D5492"/>
    <w:rsid w:val="009D7418"/>
    <w:rsid w:val="009E0BDE"/>
    <w:rsid w:val="009E5214"/>
    <w:rsid w:val="009E6A21"/>
    <w:rsid w:val="009E7CED"/>
    <w:rsid w:val="00A00B0B"/>
    <w:rsid w:val="00A0386D"/>
    <w:rsid w:val="00A0600D"/>
    <w:rsid w:val="00A102BE"/>
    <w:rsid w:val="00A1413B"/>
    <w:rsid w:val="00A16002"/>
    <w:rsid w:val="00A20206"/>
    <w:rsid w:val="00A2269B"/>
    <w:rsid w:val="00A24D54"/>
    <w:rsid w:val="00A30165"/>
    <w:rsid w:val="00A3403D"/>
    <w:rsid w:val="00A4771A"/>
    <w:rsid w:val="00A56E30"/>
    <w:rsid w:val="00A56E92"/>
    <w:rsid w:val="00A73849"/>
    <w:rsid w:val="00A84AB6"/>
    <w:rsid w:val="00A85451"/>
    <w:rsid w:val="00A947D3"/>
    <w:rsid w:val="00AA427C"/>
    <w:rsid w:val="00AA78C3"/>
    <w:rsid w:val="00AA7F3A"/>
    <w:rsid w:val="00AB066B"/>
    <w:rsid w:val="00AB16EE"/>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6F3C"/>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141"/>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A7C35"/>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48AA"/>
    <w:rsid w:val="00F4454A"/>
    <w:rsid w:val="00F51823"/>
    <w:rsid w:val="00F5550B"/>
    <w:rsid w:val="00F60833"/>
    <w:rsid w:val="00F61C71"/>
    <w:rsid w:val="00F644AA"/>
    <w:rsid w:val="00F71587"/>
    <w:rsid w:val="00F82003"/>
    <w:rsid w:val="00F87EE5"/>
    <w:rsid w:val="00F96B5F"/>
    <w:rsid w:val="00FA2B74"/>
    <w:rsid w:val="00FA2E63"/>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568</Words>
  <Characters>3117</Characters>
  <Application>Microsoft Office Word</Application>
  <DocSecurity>0</DocSecurity>
  <Lines>124</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802.11-25/XXXXr0</vt:lpstr>
      <vt:lpstr>doc.: IEEE 802.11-17/1603r0</vt:lpstr>
    </vt:vector>
  </TitlesOfParts>
  <Manager/>
  <Company>Cisco Systems</Company>
  <LinksUpToDate>false</LinksUpToDate>
  <CharactersWithSpaces>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Juan Carlos Zuniga</dc:creator>
  <cp:keywords>March 2025</cp:keywords>
  <dc:description/>
  <cp:lastModifiedBy>Juan Carlos Zuniga (juzuniga)</cp:lastModifiedBy>
  <cp:revision>16</cp:revision>
  <cp:lastPrinted>1901-01-01T05:00:00Z</cp:lastPrinted>
  <dcterms:created xsi:type="dcterms:W3CDTF">2025-01-16T09:09:00Z</dcterms:created>
  <dcterms:modified xsi:type="dcterms:W3CDTF">2025-03-11T22:27:00Z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