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516E03A" w:rsidR="005731EF" w:rsidRPr="008C1F13" w:rsidRDefault="002F1053" w:rsidP="00FB5A3F">
            <w:pPr>
              <w:pStyle w:val="T2"/>
              <w:rPr>
                <w:rFonts w:asciiTheme="minorHAnsi" w:hAnsiTheme="minorHAnsi" w:cstheme="minorHAnsi"/>
                <w:b w:val="0"/>
                <w:bCs/>
                <w:sz w:val="22"/>
                <w:szCs w:val="22"/>
              </w:rPr>
            </w:pPr>
            <w:r w:rsidRPr="002F1053">
              <w:rPr>
                <w:rFonts w:asciiTheme="minorHAnsi" w:hAnsiTheme="minorHAnsi" w:cstheme="minorHAnsi"/>
                <w:b w:val="0"/>
                <w:bCs/>
                <w:sz w:val="22"/>
                <w:szCs w:val="22"/>
                <w:lang w:eastAsia="ko-KR"/>
              </w:rPr>
              <w:t>clarification of the EDCAF operation for the case of no CS busy event</w:t>
            </w:r>
          </w:p>
        </w:tc>
      </w:tr>
      <w:tr w:rsidR="005731EF" w:rsidRPr="005731EF" w14:paraId="4D0531B6" w14:textId="77777777" w:rsidTr="00FB5A3F">
        <w:trPr>
          <w:trHeight w:val="359"/>
          <w:jc w:val="center"/>
        </w:trPr>
        <w:tc>
          <w:tcPr>
            <w:tcW w:w="9576" w:type="dxa"/>
            <w:gridSpan w:val="5"/>
            <w:vAlign w:val="center"/>
          </w:tcPr>
          <w:p w14:paraId="6F9BF4A4" w14:textId="6F626B59" w:rsidR="005731EF" w:rsidRPr="00967C76" w:rsidRDefault="005731EF" w:rsidP="00FB5A3F">
            <w:pPr>
              <w:pStyle w:val="T2"/>
              <w:ind w:left="0"/>
              <w:rPr>
                <w:rFonts w:asciiTheme="minorHAnsi" w:eastAsiaTheme="minorEastAsia" w:hAnsiTheme="minorHAnsi" w:cstheme="minorHAnsi"/>
                <w:b w:val="0"/>
                <w:sz w:val="22"/>
                <w:szCs w:val="22"/>
                <w:lang w:eastAsia="zh-CN"/>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02</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w:t>
            </w:r>
            <w:r w:rsidR="00967C76">
              <w:rPr>
                <w:rFonts w:asciiTheme="minorHAnsi" w:eastAsiaTheme="minorEastAsia" w:hAnsiTheme="minorHAnsi" w:cstheme="minorHAnsi" w:hint="eastAsia"/>
                <w:b w:val="0"/>
                <w:sz w:val="22"/>
                <w:szCs w:val="22"/>
                <w:lang w:eastAsia="zh-CN"/>
              </w:rPr>
              <w:t>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A98701C" w:rsidR="008A2E30" w:rsidRPr="004D081C" w:rsidRDefault="004D081C"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EastAsia" w:eastAsiaTheme="minorEastAsia" w:hAnsiTheme="minorEastAsia" w:cstheme="minorHAnsi" w:hint="eastAsia"/>
                <w:b w:val="0"/>
                <w:sz w:val="22"/>
                <w:szCs w:val="22"/>
                <w:lang w:eastAsia="zh-CN"/>
              </w:rPr>
              <w:t>Ya</w:t>
            </w:r>
            <w:r>
              <w:rPr>
                <w:rFonts w:asciiTheme="minorHAnsi" w:eastAsiaTheme="minorEastAsia" w:hAnsiTheme="minorHAnsi" w:cstheme="minorHAnsi" w:hint="eastAsia"/>
                <w:b w:val="0"/>
                <w:sz w:val="22"/>
                <w:szCs w:val="22"/>
                <w:lang w:eastAsia="zh-CN"/>
              </w:rPr>
              <w:t>nchao Xu</w:t>
            </w:r>
          </w:p>
        </w:tc>
        <w:tc>
          <w:tcPr>
            <w:tcW w:w="1890" w:type="dxa"/>
            <w:vAlign w:val="center"/>
          </w:tcPr>
          <w:p w14:paraId="1546101D" w14:textId="46ABCDE2" w:rsidR="008A2E30" w:rsidRPr="004D081C" w:rsidRDefault="004D081C" w:rsidP="008A2E3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Amlogic</w:t>
            </w:r>
            <w:proofErr w:type="spellEnd"/>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70056FA" w:rsidR="008A2E30" w:rsidRPr="004D081C" w:rsidRDefault="004D081C" w:rsidP="008A2E30">
            <w:pPr>
              <w:pStyle w:val="T2"/>
              <w:spacing w:after="0"/>
              <w:ind w:left="0" w:right="0"/>
              <w:jc w:val="left"/>
              <w:rPr>
                <w:rFonts w:asciiTheme="minorHAnsi" w:eastAsiaTheme="minorEastAsia" w:hAnsiTheme="minorHAnsi" w:cstheme="minorHAnsi"/>
                <w:b w:val="0"/>
                <w:bCs/>
                <w:sz w:val="22"/>
                <w:szCs w:val="22"/>
                <w:lang w:eastAsia="ko-KR"/>
              </w:rPr>
            </w:pPr>
            <w:r>
              <w:rPr>
                <w:rFonts w:asciiTheme="minorHAnsi" w:eastAsiaTheme="minorEastAsia" w:hAnsiTheme="minorHAnsi" w:cstheme="minorHAnsi"/>
                <w:b w:val="0"/>
                <w:bCs/>
                <w:noProof/>
                <w:sz w:val="22"/>
                <w:szCs w:val="22"/>
                <w:lang w:val="en-US" w:eastAsia="zh-CN"/>
              </w:rPr>
              <w:t>Y</w:t>
            </w:r>
            <w:r>
              <w:rPr>
                <w:rFonts w:asciiTheme="minorHAnsi" w:eastAsiaTheme="minorEastAsia" w:hAnsiTheme="minorHAnsi" w:cstheme="minorHAnsi" w:hint="eastAsia"/>
                <w:b w:val="0"/>
                <w:bCs/>
                <w:noProof/>
                <w:sz w:val="22"/>
                <w:szCs w:val="22"/>
                <w:lang w:val="en-US" w:eastAsia="zh-CN"/>
              </w:rPr>
              <w:t>anchao.xu@amlogic.com</w:t>
            </w:r>
          </w:p>
        </w:tc>
      </w:tr>
      <w:tr w:rsidR="00B276A8" w:rsidRPr="005731EF" w14:paraId="69E78837" w14:textId="77777777" w:rsidTr="00965B17">
        <w:trPr>
          <w:trHeight w:val="359"/>
          <w:jc w:val="center"/>
        </w:trPr>
        <w:tc>
          <w:tcPr>
            <w:tcW w:w="1975" w:type="dxa"/>
            <w:vAlign w:val="center"/>
          </w:tcPr>
          <w:p w14:paraId="1CEF073B" w14:textId="75E570E6" w:rsidR="00B276A8" w:rsidRPr="004D081C" w:rsidRDefault="004D081C"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hint="eastAsia"/>
                <w:b w:val="0"/>
                <w:sz w:val="22"/>
                <w:szCs w:val="22"/>
                <w:lang w:eastAsia="zh-CN"/>
              </w:rPr>
              <w:t>Henry Yu</w:t>
            </w:r>
          </w:p>
        </w:tc>
        <w:tc>
          <w:tcPr>
            <w:tcW w:w="1890" w:type="dxa"/>
            <w:vAlign w:val="center"/>
          </w:tcPr>
          <w:p w14:paraId="18F5280B" w14:textId="2B5EF3F1" w:rsidR="00B276A8" w:rsidRPr="004D081C" w:rsidRDefault="004D081C" w:rsidP="008C156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Amlogic</w:t>
            </w:r>
            <w:proofErr w:type="spellEnd"/>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24AF1B9B" w:rsidR="00B276A8" w:rsidRPr="004D081C" w:rsidRDefault="004D081C" w:rsidP="008C1560">
            <w:pPr>
              <w:pStyle w:val="T2"/>
              <w:spacing w:after="0"/>
              <w:ind w:left="0" w:right="0"/>
              <w:jc w:val="left"/>
              <w:rPr>
                <w:rFonts w:eastAsiaTheme="minorEastAsia"/>
                <w:noProof/>
                <w:lang w:val="en-US" w:eastAsia="zh-CN"/>
              </w:rPr>
            </w:pPr>
            <w:r w:rsidRPr="004D081C">
              <w:rPr>
                <w:rFonts w:asciiTheme="minorHAnsi" w:eastAsiaTheme="minorEastAsia" w:hAnsiTheme="minorHAnsi" w:cstheme="minorHAnsi"/>
                <w:b w:val="0"/>
                <w:bCs/>
                <w:noProof/>
                <w:sz w:val="22"/>
                <w:szCs w:val="22"/>
                <w:lang w:val="en-US" w:eastAsia="zh-CN"/>
              </w:rPr>
              <w:t>H</w:t>
            </w:r>
            <w:r w:rsidRPr="004D081C">
              <w:rPr>
                <w:rFonts w:asciiTheme="minorHAnsi" w:eastAsiaTheme="minorEastAsia" w:hAnsiTheme="minorHAnsi" w:cstheme="minorHAnsi" w:hint="eastAsia"/>
                <w:b w:val="0"/>
                <w:bCs/>
                <w:noProof/>
                <w:sz w:val="22"/>
                <w:szCs w:val="22"/>
                <w:lang w:val="en-US" w:eastAsia="zh-CN"/>
              </w:rPr>
              <w:t>enry.yu@amlogic.com</w:t>
            </w: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776E0807" w:rsidR="001146DD" w:rsidRDefault="00371CC9" w:rsidP="001146DD">
      <w:pPr>
        <w:spacing w:after="0"/>
        <w:rPr>
          <w:rFonts w:cstheme="minorHAnsi"/>
          <w:sz w:val="24"/>
          <w:lang w:eastAsia="zh-CN"/>
        </w:rPr>
      </w:pPr>
      <w:r>
        <w:rPr>
          <w:rFonts w:cstheme="minorHAnsi" w:hint="eastAsia"/>
          <w:sz w:val="24"/>
          <w:lang w:eastAsia="zh-CN"/>
        </w:rPr>
        <w:t>(</w:t>
      </w:r>
      <w:r w:rsidR="00842636">
        <w:rPr>
          <w:rFonts w:cstheme="minorHAnsi"/>
          <w:sz w:val="24"/>
        </w:rPr>
        <w:t>No CID</w:t>
      </w:r>
      <w:r w:rsidR="00334877">
        <w:rPr>
          <w:rFonts w:cstheme="minorHAnsi" w:hint="eastAsia"/>
          <w:sz w:val="24"/>
          <w:lang w:eastAsia="zh-CN"/>
        </w:rPr>
        <w:t xml:space="preserve"> associated with this submission</w:t>
      </w:r>
      <w:r>
        <w:rPr>
          <w:rFonts w:cstheme="minorHAnsi" w:hint="eastAsia"/>
          <w:sz w:val="24"/>
          <w:lang w:eastAsia="zh-CN"/>
        </w:rPr>
        <w:t>)</w:t>
      </w:r>
    </w:p>
    <w:p w14:paraId="6C16A30C" w14:textId="64317586" w:rsidR="004C5294" w:rsidRPr="004C5294" w:rsidRDefault="004C5294" w:rsidP="001146DD">
      <w:pPr>
        <w:spacing w:after="0"/>
        <w:rPr>
          <w:rFonts w:cstheme="minorHAnsi"/>
          <w:sz w:val="24"/>
          <w:lang w:eastAsia="zh-CN"/>
        </w:rPr>
      </w:pPr>
      <w:r>
        <w:rPr>
          <w:rFonts w:cstheme="minorHAnsi" w:hint="eastAsia"/>
          <w:sz w:val="24"/>
          <w:lang w:eastAsia="zh-CN"/>
        </w:rPr>
        <w:t xml:space="preserve">In 802.11me D7.0, the EDCAF operations are all </w:t>
      </w:r>
      <w:r w:rsidRPr="004C5294">
        <w:rPr>
          <w:rFonts w:cstheme="minorHAnsi"/>
          <w:sz w:val="24"/>
          <w:lang w:eastAsia="zh-CN"/>
        </w:rPr>
        <w:t>be performed at slot boundaries</w:t>
      </w:r>
      <w:r>
        <w:rPr>
          <w:rFonts w:cstheme="minorHAnsi" w:hint="eastAsia"/>
          <w:sz w:val="24"/>
          <w:lang w:eastAsia="zh-CN"/>
        </w:rPr>
        <w:t xml:space="preserve"> and each </w:t>
      </w:r>
      <w:r>
        <w:rPr>
          <w:rFonts w:cstheme="minorHAnsi"/>
          <w:sz w:val="24"/>
          <w:lang w:eastAsia="zh-CN"/>
        </w:rPr>
        <w:t>available</w:t>
      </w:r>
      <w:r>
        <w:rPr>
          <w:rFonts w:cstheme="minorHAnsi" w:hint="eastAsia"/>
          <w:sz w:val="24"/>
          <w:lang w:eastAsia="zh-CN"/>
        </w:rPr>
        <w:t xml:space="preserve"> slot boundary is defined in the 10.23.2.4.  But the current defined </w:t>
      </w:r>
      <w:r>
        <w:rPr>
          <w:rFonts w:cstheme="minorHAnsi"/>
          <w:sz w:val="24"/>
          <w:lang w:eastAsia="zh-CN"/>
        </w:rPr>
        <w:t>available</w:t>
      </w:r>
      <w:r>
        <w:rPr>
          <w:rFonts w:cstheme="minorHAnsi" w:hint="eastAsia"/>
          <w:sz w:val="24"/>
          <w:lang w:eastAsia="zh-CN"/>
        </w:rPr>
        <w:t xml:space="preserve"> slot </w:t>
      </w:r>
      <w:r>
        <w:rPr>
          <w:rFonts w:cstheme="minorHAnsi"/>
          <w:sz w:val="24"/>
          <w:lang w:eastAsia="zh-CN"/>
        </w:rPr>
        <w:t>boundar</w:t>
      </w:r>
      <w:r>
        <w:rPr>
          <w:rFonts w:cstheme="minorHAnsi" w:hint="eastAsia"/>
          <w:sz w:val="24"/>
          <w:lang w:eastAsia="zh-CN"/>
        </w:rPr>
        <w:t xml:space="preserve">ies can only be triggered after a </w:t>
      </w:r>
      <w:r>
        <w:rPr>
          <w:rFonts w:cstheme="minorHAnsi"/>
          <w:sz w:val="24"/>
          <w:lang w:eastAsia="zh-CN"/>
        </w:rPr>
        <w:t>“</w:t>
      </w:r>
      <w:r w:rsidR="0007777E">
        <w:rPr>
          <w:rFonts w:cstheme="minorHAnsi" w:hint="eastAsia"/>
          <w:sz w:val="24"/>
          <w:lang w:eastAsia="zh-CN"/>
        </w:rPr>
        <w:t xml:space="preserve">cs </w:t>
      </w:r>
      <w:r>
        <w:rPr>
          <w:rFonts w:cstheme="minorHAnsi" w:hint="eastAsia"/>
          <w:sz w:val="24"/>
          <w:lang w:eastAsia="zh-CN"/>
        </w:rPr>
        <w:t>busy event</w:t>
      </w:r>
      <w:r>
        <w:rPr>
          <w:rFonts w:cstheme="minorHAnsi"/>
          <w:sz w:val="24"/>
          <w:lang w:eastAsia="zh-CN"/>
        </w:rPr>
        <w:t>”</w:t>
      </w:r>
      <w:r>
        <w:rPr>
          <w:rFonts w:cstheme="minorHAnsi" w:hint="eastAsia"/>
          <w:sz w:val="24"/>
          <w:lang w:eastAsia="zh-CN"/>
        </w:rPr>
        <w:t xml:space="preserve"> (e.g. Rx end, Tx end, Other CS busy</w:t>
      </w:r>
      <w:r w:rsidR="00111686">
        <w:rPr>
          <w:rFonts w:cstheme="minorHAnsi"/>
          <w:sz w:val="24"/>
          <w:lang w:eastAsia="zh-CN"/>
        </w:rPr>
        <w:t xml:space="preserve"> </w:t>
      </w:r>
      <w:r w:rsidR="00111686">
        <w:rPr>
          <w:rFonts w:cstheme="minorHAnsi" w:hint="eastAsia"/>
          <w:sz w:val="24"/>
          <w:lang w:eastAsia="zh-CN"/>
        </w:rPr>
        <w:t>event</w:t>
      </w:r>
      <w:r>
        <w:rPr>
          <w:rFonts w:cstheme="minorHAnsi"/>
          <w:sz w:val="24"/>
          <w:lang w:eastAsia="zh-CN"/>
        </w:rPr>
        <w:t>…</w:t>
      </w:r>
      <w:r>
        <w:rPr>
          <w:rFonts w:cstheme="minorHAnsi" w:hint="eastAsia"/>
          <w:sz w:val="24"/>
          <w:lang w:eastAsia="zh-CN"/>
        </w:rPr>
        <w:t>).  In this contribution, we are trying to deal with the case when there is no</w:t>
      </w:r>
      <w:r w:rsidR="0007777E">
        <w:rPr>
          <w:rFonts w:cstheme="minorHAnsi" w:hint="eastAsia"/>
          <w:sz w:val="24"/>
          <w:lang w:eastAsia="zh-CN"/>
        </w:rPr>
        <w:t xml:space="preserve"> </w:t>
      </w:r>
      <w:r w:rsidR="00066E06">
        <w:rPr>
          <w:rFonts w:cstheme="minorHAnsi" w:hint="eastAsia"/>
          <w:sz w:val="24"/>
          <w:lang w:eastAsia="zh-CN"/>
        </w:rPr>
        <w:t>CS</w:t>
      </w:r>
      <w:r>
        <w:rPr>
          <w:rFonts w:cstheme="minorHAnsi" w:hint="eastAsia"/>
          <w:sz w:val="24"/>
          <w:lang w:eastAsia="zh-CN"/>
        </w:rPr>
        <w:t xml:space="preserve"> busy event and how to define a slot boundary to perform the EDCA operation</w:t>
      </w:r>
      <w:r w:rsidR="00946CAE">
        <w:rPr>
          <w:rFonts w:cstheme="minorHAnsi" w:hint="eastAsia"/>
          <w:sz w:val="24"/>
          <w:lang w:eastAsia="zh-CN"/>
        </w:rPr>
        <w:t>.</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F6B9A30" w:rsidR="0052197D" w:rsidRPr="00AA7A4F" w:rsidRDefault="0052197D" w:rsidP="0052197D">
      <w:pPr>
        <w:pStyle w:val="T"/>
        <w:rPr>
          <w:b/>
          <w:i/>
          <w:iCs/>
          <w:sz w:val="28"/>
          <w:szCs w:val="28"/>
        </w:rPr>
      </w:pPr>
      <w:r w:rsidRPr="00AA7A4F">
        <w:rPr>
          <w:b/>
          <w:i/>
          <w:iCs/>
          <w:sz w:val="28"/>
          <w:szCs w:val="28"/>
        </w:rPr>
        <w:lastRenderedPageBreak/>
        <w:t>Comment</w:t>
      </w:r>
      <w:r w:rsidR="00AA7A4F" w:rsidRPr="00AA7A4F">
        <w:rPr>
          <w:rFonts w:hint="eastAsia"/>
          <w:b/>
          <w:i/>
          <w:iCs/>
          <w:sz w:val="28"/>
          <w:szCs w:val="28"/>
          <w:lang w:eastAsia="zh-CN"/>
        </w:rPr>
        <w:t xml:space="preserve"> and discussion</w:t>
      </w:r>
      <w:r w:rsidRPr="00AA7A4F">
        <w:rPr>
          <w:b/>
          <w:i/>
          <w:iCs/>
          <w:sz w:val="28"/>
          <w:szCs w:val="28"/>
        </w:rPr>
        <w:t>:</w:t>
      </w:r>
    </w:p>
    <w:p w14:paraId="218FEAA5" w14:textId="77777777" w:rsidR="00B87DD6" w:rsidRDefault="00B87DD6" w:rsidP="00897193">
      <w:pPr>
        <w:rPr>
          <w:lang w:eastAsia="zh-CN"/>
        </w:rPr>
      </w:pPr>
    </w:p>
    <w:p w14:paraId="1AC1FB52" w14:textId="405CEA28" w:rsidR="00A77015" w:rsidRPr="00A77015" w:rsidRDefault="00A77015" w:rsidP="00897193">
      <w:pPr>
        <w:rPr>
          <w:b/>
          <w:bCs/>
          <w:i/>
          <w:iCs/>
          <w:u w:val="single"/>
          <w:lang w:eastAsia="zh-CN"/>
        </w:rPr>
      </w:pPr>
      <w:r w:rsidRPr="00A77015">
        <w:rPr>
          <w:rFonts w:hint="eastAsia"/>
          <w:b/>
          <w:bCs/>
          <w:i/>
          <w:iCs/>
          <w:u w:val="single"/>
          <w:lang w:eastAsia="zh-CN"/>
        </w:rPr>
        <w:t>EDCAF operations defined in 802.11me</w:t>
      </w:r>
    </w:p>
    <w:p w14:paraId="52F26812" w14:textId="0E9239D9" w:rsidR="00AA7A4F" w:rsidRDefault="00AA7A4F" w:rsidP="00897193">
      <w:pPr>
        <w:rPr>
          <w:lang w:eastAsia="zh-CN"/>
        </w:rPr>
      </w:pPr>
      <w:r>
        <w:rPr>
          <w:rFonts w:hint="eastAsia"/>
          <w:lang w:eastAsia="zh-CN"/>
        </w:rPr>
        <w:t xml:space="preserve">According to 802.11me D7.0 </w:t>
      </w:r>
      <w:r w:rsidR="00DA1FF4">
        <w:rPr>
          <w:rFonts w:hint="eastAsia"/>
          <w:lang w:eastAsia="zh-CN"/>
        </w:rPr>
        <w:t>(</w:t>
      </w:r>
      <w:r w:rsidR="00DA1FF4" w:rsidRPr="00DA1FF4">
        <w:rPr>
          <w:lang w:eastAsia="zh-CN"/>
        </w:rPr>
        <w:t>10.23.2.4</w:t>
      </w:r>
      <w:r w:rsidR="00DA1FF4">
        <w:rPr>
          <w:rFonts w:hint="eastAsia"/>
          <w:lang w:eastAsia="zh-CN"/>
        </w:rPr>
        <w:t>)</w:t>
      </w:r>
      <w:r>
        <w:rPr>
          <w:rFonts w:hint="eastAsia"/>
          <w:lang w:eastAsia="zh-CN"/>
        </w:rPr>
        <w:t xml:space="preserve">, all the EDCAF operations </w:t>
      </w:r>
      <w:r w:rsidR="00DA1FF4" w:rsidRPr="00DA1FF4">
        <w:rPr>
          <w:lang w:eastAsia="zh-CN"/>
        </w:rPr>
        <w:t>shall be performed at slot boundaries</w:t>
      </w:r>
      <w:r w:rsidR="00DA1FF4">
        <w:rPr>
          <w:rFonts w:hint="eastAsia"/>
          <w:lang w:eastAsia="zh-CN"/>
        </w:rPr>
        <w:t xml:space="preserve">. The EDCAF operations include the following, </w:t>
      </w:r>
    </w:p>
    <w:p w14:paraId="3E8CA22D" w14:textId="4BBA869A" w:rsidR="0025512E" w:rsidRDefault="0025512E" w:rsidP="00897193">
      <w:pPr>
        <w:rPr>
          <w:lang w:eastAsia="zh-CN"/>
        </w:rPr>
      </w:pPr>
      <w:r>
        <w:rPr>
          <w:rFonts w:hint="eastAsia"/>
          <w:lang w:eastAsia="zh-CN"/>
        </w:rPr>
        <w:t xml:space="preserve">                 (Page 2015, 10.23.2.4)</w:t>
      </w:r>
    </w:p>
    <w:p w14:paraId="718D31E7" w14:textId="39E924DC" w:rsidR="00AA7A4F" w:rsidRDefault="00DA1FF4" w:rsidP="00DA1FF4">
      <w:pPr>
        <w:ind w:firstLineChars="350" w:firstLine="770"/>
        <w:rPr>
          <w:lang w:eastAsia="zh-CN"/>
        </w:rPr>
      </w:pPr>
      <w:r w:rsidRPr="00DA1FF4">
        <w:rPr>
          <w:noProof/>
          <w:lang w:eastAsia="zh-CN"/>
        </w:rPr>
        <w:drawing>
          <wp:inline distT="0" distB="0" distL="0" distR="0" wp14:anchorId="4037EB75" wp14:editId="37386B58">
            <wp:extent cx="5323840" cy="1217878"/>
            <wp:effectExtent l="0" t="0" r="0" b="1905"/>
            <wp:docPr id="62258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84499" name=""/>
                    <pic:cNvPicPr/>
                  </pic:nvPicPr>
                  <pic:blipFill>
                    <a:blip r:embed="rId8"/>
                    <a:stretch>
                      <a:fillRect/>
                    </a:stretch>
                  </pic:blipFill>
                  <pic:spPr>
                    <a:xfrm>
                      <a:off x="0" y="0"/>
                      <a:ext cx="5334839" cy="1220394"/>
                    </a:xfrm>
                    <a:prstGeom prst="rect">
                      <a:avLst/>
                    </a:prstGeom>
                  </pic:spPr>
                </pic:pic>
              </a:graphicData>
            </a:graphic>
          </wp:inline>
        </w:drawing>
      </w:r>
    </w:p>
    <w:p w14:paraId="14A6B419" w14:textId="2DB8D239" w:rsidR="0025512E" w:rsidRDefault="00DA1FF4" w:rsidP="00897193">
      <w:pPr>
        <w:rPr>
          <w:lang w:eastAsia="zh-CN"/>
        </w:rPr>
      </w:pPr>
      <w:r>
        <w:rPr>
          <w:rFonts w:hint="eastAsia"/>
          <w:lang w:eastAsia="zh-CN"/>
        </w:rPr>
        <w:t>And there are 6 different slot boundaries defined in 10.23.2.4</w:t>
      </w:r>
      <w:r w:rsidR="0025512E">
        <w:rPr>
          <w:rFonts w:hint="eastAsia"/>
          <w:lang w:eastAsia="zh-CN"/>
        </w:rPr>
        <w:t xml:space="preserve"> (Page 2014, 10.23.2.4))</w:t>
      </w:r>
      <w:r>
        <w:rPr>
          <w:rFonts w:hint="eastAsia"/>
          <w:lang w:eastAsia="zh-CN"/>
        </w:rPr>
        <w:t xml:space="preserve">, </w:t>
      </w:r>
    </w:p>
    <w:p w14:paraId="32E74550" w14:textId="5805CC8F" w:rsidR="00DA1FF4" w:rsidRDefault="0066585B" w:rsidP="0066585B">
      <w:pPr>
        <w:ind w:firstLineChars="750" w:firstLine="1650"/>
        <w:rPr>
          <w:lang w:eastAsia="zh-CN"/>
        </w:rPr>
      </w:pPr>
      <w:r w:rsidRPr="0066585B">
        <w:rPr>
          <w:noProof/>
          <w:lang w:eastAsia="zh-CN"/>
        </w:rPr>
        <w:lastRenderedPageBreak/>
        <w:drawing>
          <wp:inline distT="0" distB="0" distL="0" distR="0" wp14:anchorId="71857E4F" wp14:editId="5F4B89AE">
            <wp:extent cx="4215293" cy="5341620"/>
            <wp:effectExtent l="0" t="0" r="0" b="0"/>
            <wp:docPr id="579771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71895" name=""/>
                    <pic:cNvPicPr/>
                  </pic:nvPicPr>
                  <pic:blipFill>
                    <a:blip r:embed="rId9"/>
                    <a:stretch>
                      <a:fillRect/>
                    </a:stretch>
                  </pic:blipFill>
                  <pic:spPr>
                    <a:xfrm>
                      <a:off x="0" y="0"/>
                      <a:ext cx="4217219" cy="5344061"/>
                    </a:xfrm>
                    <a:prstGeom prst="rect">
                      <a:avLst/>
                    </a:prstGeom>
                  </pic:spPr>
                </pic:pic>
              </a:graphicData>
            </a:graphic>
          </wp:inline>
        </w:drawing>
      </w:r>
    </w:p>
    <w:p w14:paraId="021C7024" w14:textId="0B3B72DB" w:rsidR="0066585B" w:rsidRDefault="0066585B" w:rsidP="00897193">
      <w:pPr>
        <w:rPr>
          <w:lang w:eastAsia="zh-CN"/>
        </w:rPr>
      </w:pPr>
      <w:r>
        <w:rPr>
          <w:rFonts w:hint="eastAsia"/>
          <w:lang w:eastAsia="zh-CN"/>
        </w:rPr>
        <w:t xml:space="preserve">Here we can further </w:t>
      </w:r>
      <w:r w:rsidR="00701C7E">
        <w:rPr>
          <w:rFonts w:hint="eastAsia"/>
          <w:lang w:eastAsia="zh-CN"/>
        </w:rPr>
        <w:t>provide some simple illustration</w:t>
      </w:r>
      <w:r w:rsidR="00647D1D">
        <w:rPr>
          <w:rFonts w:hint="eastAsia"/>
          <w:lang w:eastAsia="zh-CN"/>
        </w:rPr>
        <w:t>s</w:t>
      </w:r>
      <w:r w:rsidR="00701C7E">
        <w:rPr>
          <w:rFonts w:hint="eastAsia"/>
          <w:lang w:eastAsia="zh-CN"/>
        </w:rPr>
        <w:t xml:space="preserve"> for</w:t>
      </w:r>
      <w:r>
        <w:rPr>
          <w:rFonts w:hint="eastAsia"/>
          <w:lang w:eastAsia="zh-CN"/>
        </w:rPr>
        <w:t xml:space="preserve"> all the above slot </w:t>
      </w:r>
      <w:r>
        <w:rPr>
          <w:lang w:eastAsia="zh-CN"/>
        </w:rPr>
        <w:t>boundar</w:t>
      </w:r>
      <w:r>
        <w:rPr>
          <w:rFonts w:hint="eastAsia"/>
          <w:lang w:eastAsia="zh-CN"/>
        </w:rPr>
        <w:t>ies for a specific EDCAF:</w:t>
      </w:r>
    </w:p>
    <w:p w14:paraId="503BAC23" w14:textId="3758A0E8" w:rsidR="00AA7A4F" w:rsidRPr="009D631F" w:rsidRDefault="0066585B" w:rsidP="0066585B">
      <w:pPr>
        <w:pStyle w:val="ListParagraph"/>
        <w:numPr>
          <w:ilvl w:val="0"/>
          <w:numId w:val="26"/>
        </w:numPr>
        <w:rPr>
          <w:lang w:eastAsia="zh-CN"/>
        </w:rPr>
      </w:pPr>
      <w:r>
        <w:rPr>
          <w:rFonts w:eastAsiaTheme="minorEastAsia" w:hint="eastAsia"/>
          <w:lang w:eastAsia="zh-CN"/>
        </w:rPr>
        <w:t>The case a) above is for the Reception Correct case, which will trigger a slot boundary after AIFS idle time following the PHY Rx end event.</w:t>
      </w:r>
    </w:p>
    <w:p w14:paraId="434DDE46" w14:textId="727F0C2D" w:rsidR="009D631F" w:rsidRPr="0066585B" w:rsidRDefault="00394996" w:rsidP="009D631F">
      <w:pPr>
        <w:ind w:left="48" w:firstLineChars="100" w:firstLine="220"/>
        <w:rPr>
          <w:lang w:eastAsia="zh-CN"/>
        </w:rPr>
      </w:pPr>
      <w:r>
        <w:rPr>
          <w:noProof/>
        </w:rPr>
        <w:drawing>
          <wp:inline distT="0" distB="0" distL="0" distR="0" wp14:anchorId="1FF6B809" wp14:editId="566552C9">
            <wp:extent cx="6301740" cy="1011003"/>
            <wp:effectExtent l="0" t="0" r="0" b="0"/>
            <wp:docPr id="1922173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8547" cy="1012095"/>
                    </a:xfrm>
                    <a:prstGeom prst="rect">
                      <a:avLst/>
                    </a:prstGeom>
                    <a:noFill/>
                    <a:ln>
                      <a:noFill/>
                    </a:ln>
                  </pic:spPr>
                </pic:pic>
              </a:graphicData>
            </a:graphic>
          </wp:inline>
        </w:drawing>
      </w:r>
    </w:p>
    <w:p w14:paraId="57E94F48" w14:textId="37AF0346" w:rsidR="0066585B" w:rsidRPr="00394996" w:rsidRDefault="0066585B" w:rsidP="0066585B">
      <w:pPr>
        <w:pStyle w:val="ListParagraph"/>
        <w:numPr>
          <w:ilvl w:val="0"/>
          <w:numId w:val="26"/>
        </w:numPr>
        <w:rPr>
          <w:lang w:eastAsia="zh-CN"/>
        </w:rPr>
      </w:pPr>
      <w:r>
        <w:rPr>
          <w:rFonts w:eastAsiaTheme="minorEastAsia" w:hint="eastAsia"/>
          <w:lang w:eastAsia="zh-CN"/>
        </w:rPr>
        <w:t>The case b) above is for the Reception Error case, which will trigger a slot boundary after EIFS idle time following the PHY Rx end event.</w:t>
      </w:r>
    </w:p>
    <w:p w14:paraId="7F58CF9A" w14:textId="264F16A4" w:rsidR="00394996" w:rsidRPr="0066585B" w:rsidRDefault="00394996" w:rsidP="00394996">
      <w:pPr>
        <w:ind w:left="48"/>
        <w:rPr>
          <w:lang w:eastAsia="zh-CN"/>
        </w:rPr>
      </w:pPr>
      <w:r>
        <w:rPr>
          <w:noProof/>
        </w:rPr>
        <w:lastRenderedPageBreak/>
        <w:drawing>
          <wp:inline distT="0" distB="0" distL="0" distR="0" wp14:anchorId="5ECE294C" wp14:editId="1D26039D">
            <wp:extent cx="6364547" cy="1021080"/>
            <wp:effectExtent l="0" t="0" r="0" b="0"/>
            <wp:docPr id="14094972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4438" cy="1024271"/>
                    </a:xfrm>
                    <a:prstGeom prst="rect">
                      <a:avLst/>
                    </a:prstGeom>
                    <a:noFill/>
                    <a:ln>
                      <a:noFill/>
                    </a:ln>
                  </pic:spPr>
                </pic:pic>
              </a:graphicData>
            </a:graphic>
          </wp:inline>
        </w:drawing>
      </w:r>
    </w:p>
    <w:p w14:paraId="42557876" w14:textId="0A5F7061" w:rsidR="0066585B" w:rsidRPr="0066585B" w:rsidRDefault="0066585B" w:rsidP="0066585B">
      <w:pPr>
        <w:pStyle w:val="ListParagraph"/>
        <w:numPr>
          <w:ilvl w:val="0"/>
          <w:numId w:val="26"/>
        </w:numPr>
        <w:rPr>
          <w:lang w:eastAsia="zh-CN"/>
        </w:rPr>
      </w:pPr>
      <w:r>
        <w:rPr>
          <w:rFonts w:eastAsiaTheme="minorEastAsia" w:hint="eastAsia"/>
          <w:lang w:eastAsia="zh-CN"/>
        </w:rPr>
        <w:t>The case c) above is for the Transmission case (caused by other EDCAF), which includes Tx success and Tx failure cases,</w:t>
      </w:r>
    </w:p>
    <w:p w14:paraId="17EB29A2" w14:textId="0E95D7AE" w:rsidR="0066585B" w:rsidRPr="00394996" w:rsidRDefault="0066585B" w:rsidP="0066585B">
      <w:pPr>
        <w:pStyle w:val="ListParagraph"/>
        <w:numPr>
          <w:ilvl w:val="1"/>
          <w:numId w:val="26"/>
        </w:numPr>
        <w:rPr>
          <w:lang w:eastAsia="zh-CN"/>
        </w:rPr>
      </w:pPr>
      <w:r>
        <w:rPr>
          <w:rFonts w:eastAsiaTheme="minorEastAsia" w:hint="eastAsia"/>
          <w:lang w:eastAsia="zh-CN"/>
        </w:rPr>
        <w:t xml:space="preserve">For the Tx failure case, it will trigger a slot boundary after AIFS idle time after the </w:t>
      </w:r>
      <w:proofErr w:type="spellStart"/>
      <w:r>
        <w:rPr>
          <w:rFonts w:eastAsiaTheme="minorEastAsia" w:hint="eastAsia"/>
          <w:lang w:eastAsia="zh-CN"/>
        </w:rPr>
        <w:t>AckTimeout</w:t>
      </w:r>
      <w:proofErr w:type="spellEnd"/>
      <w:r>
        <w:rPr>
          <w:rFonts w:eastAsiaTheme="minorEastAsia" w:hint="eastAsia"/>
          <w:lang w:eastAsia="zh-CN"/>
        </w:rPr>
        <w:t xml:space="preserve"> following the PHY Tx end event</w:t>
      </w:r>
    </w:p>
    <w:p w14:paraId="51BA4D82" w14:textId="3055FF0B" w:rsidR="00394996" w:rsidRPr="0066585B" w:rsidRDefault="00394996" w:rsidP="00394996">
      <w:pPr>
        <w:rPr>
          <w:lang w:eastAsia="zh-CN"/>
        </w:rPr>
      </w:pPr>
      <w:r>
        <w:rPr>
          <w:noProof/>
        </w:rPr>
        <w:drawing>
          <wp:inline distT="0" distB="0" distL="0" distR="0" wp14:anchorId="43E8CE01" wp14:editId="1EEDA029">
            <wp:extent cx="5821680" cy="936721"/>
            <wp:effectExtent l="0" t="0" r="0" b="0"/>
            <wp:docPr id="20581005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882" cy="938845"/>
                    </a:xfrm>
                    <a:prstGeom prst="rect">
                      <a:avLst/>
                    </a:prstGeom>
                    <a:noFill/>
                    <a:ln>
                      <a:noFill/>
                    </a:ln>
                  </pic:spPr>
                </pic:pic>
              </a:graphicData>
            </a:graphic>
          </wp:inline>
        </w:drawing>
      </w:r>
    </w:p>
    <w:p w14:paraId="64F6ADFD" w14:textId="257FD926" w:rsidR="0066585B" w:rsidRPr="00394996" w:rsidRDefault="0066585B" w:rsidP="0066585B">
      <w:pPr>
        <w:pStyle w:val="ListParagraph"/>
        <w:numPr>
          <w:ilvl w:val="1"/>
          <w:numId w:val="26"/>
        </w:numPr>
        <w:rPr>
          <w:lang w:eastAsia="zh-CN"/>
        </w:rPr>
      </w:pPr>
      <w:r>
        <w:rPr>
          <w:rFonts w:eastAsiaTheme="minorEastAsia" w:hint="eastAsia"/>
          <w:lang w:eastAsia="zh-CN"/>
        </w:rPr>
        <w:t xml:space="preserve">For the Tx </w:t>
      </w:r>
      <w:r>
        <w:rPr>
          <w:rFonts w:eastAsiaTheme="minorEastAsia"/>
          <w:lang w:eastAsia="zh-CN"/>
        </w:rPr>
        <w:t>success</w:t>
      </w:r>
      <w:r>
        <w:rPr>
          <w:rFonts w:eastAsiaTheme="minorEastAsia" w:hint="eastAsia"/>
          <w:lang w:eastAsia="zh-CN"/>
        </w:rPr>
        <w:t xml:space="preserve"> case, it will trigger a slot boundary after AIFS idle time after the AIFS idle time following the PHY Rx end event</w:t>
      </w:r>
    </w:p>
    <w:p w14:paraId="5E19228F" w14:textId="7E6EFC79" w:rsidR="00394996" w:rsidRPr="0066585B" w:rsidRDefault="00394996" w:rsidP="00394996">
      <w:pPr>
        <w:rPr>
          <w:lang w:eastAsia="zh-CN"/>
        </w:rPr>
      </w:pPr>
      <w:r>
        <w:rPr>
          <w:noProof/>
        </w:rPr>
        <w:drawing>
          <wp:inline distT="0" distB="0" distL="0" distR="0" wp14:anchorId="427CE21B" wp14:editId="64F17A4C">
            <wp:extent cx="5989320" cy="963695"/>
            <wp:effectExtent l="0" t="0" r="0" b="0"/>
            <wp:docPr id="20185098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2555" cy="967434"/>
                    </a:xfrm>
                    <a:prstGeom prst="rect">
                      <a:avLst/>
                    </a:prstGeom>
                    <a:noFill/>
                    <a:ln>
                      <a:noFill/>
                    </a:ln>
                  </pic:spPr>
                </pic:pic>
              </a:graphicData>
            </a:graphic>
          </wp:inline>
        </w:drawing>
      </w:r>
    </w:p>
    <w:p w14:paraId="056F151F" w14:textId="67D08886" w:rsidR="0066585B" w:rsidRPr="00394996" w:rsidRDefault="0066585B" w:rsidP="0066585B">
      <w:pPr>
        <w:pStyle w:val="ListParagraph"/>
        <w:numPr>
          <w:ilvl w:val="0"/>
          <w:numId w:val="26"/>
        </w:numPr>
        <w:rPr>
          <w:lang w:eastAsia="zh-CN"/>
        </w:rPr>
      </w:pPr>
      <w:r>
        <w:rPr>
          <w:rFonts w:eastAsiaTheme="minorEastAsia" w:hint="eastAsia"/>
          <w:lang w:eastAsia="zh-CN"/>
        </w:rPr>
        <w:t>The case d) above is for the Transmission case that does not need response, which will trigger a slot boundary after AIFS idle time following the PHY Tx end event</w:t>
      </w:r>
    </w:p>
    <w:p w14:paraId="7E81779B" w14:textId="5E71A278" w:rsidR="00394996" w:rsidRPr="0066585B" w:rsidRDefault="007203FD" w:rsidP="00394996">
      <w:pPr>
        <w:ind w:left="48"/>
        <w:rPr>
          <w:lang w:eastAsia="zh-CN"/>
        </w:rPr>
      </w:pPr>
      <w:r>
        <w:rPr>
          <w:noProof/>
        </w:rPr>
        <w:drawing>
          <wp:inline distT="0" distB="0" distL="0" distR="0" wp14:anchorId="5EB24781" wp14:editId="268C06E6">
            <wp:extent cx="5875020" cy="945304"/>
            <wp:effectExtent l="0" t="0" r="0" b="0"/>
            <wp:docPr id="17959313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7598" cy="947328"/>
                    </a:xfrm>
                    <a:prstGeom prst="rect">
                      <a:avLst/>
                    </a:prstGeom>
                    <a:noFill/>
                    <a:ln>
                      <a:noFill/>
                    </a:ln>
                  </pic:spPr>
                </pic:pic>
              </a:graphicData>
            </a:graphic>
          </wp:inline>
        </w:drawing>
      </w:r>
    </w:p>
    <w:p w14:paraId="70E7FD13" w14:textId="3CD704C1" w:rsidR="0066585B" w:rsidRPr="00394996" w:rsidRDefault="0066585B" w:rsidP="0066585B">
      <w:pPr>
        <w:pStyle w:val="ListParagraph"/>
        <w:numPr>
          <w:ilvl w:val="0"/>
          <w:numId w:val="26"/>
        </w:numPr>
        <w:rPr>
          <w:lang w:eastAsia="zh-CN"/>
        </w:rPr>
      </w:pPr>
      <w:r>
        <w:rPr>
          <w:rFonts w:eastAsiaTheme="minorEastAsia" w:hint="eastAsia"/>
          <w:lang w:eastAsia="zh-CN"/>
        </w:rPr>
        <w:t xml:space="preserve">The case e) above is for the </w:t>
      </w:r>
      <w:r w:rsidR="00CB6A2E">
        <w:rPr>
          <w:rFonts w:eastAsiaTheme="minorEastAsia" w:hint="eastAsia"/>
          <w:lang w:eastAsia="zh-CN"/>
        </w:rPr>
        <w:t xml:space="preserve">CS busy case that is not caused by the above a) to d) (i.e. not caused by the 802.11 Tx/Rx event). And this will trigger a slot </w:t>
      </w:r>
      <w:r w:rsidR="00CB6A2E">
        <w:rPr>
          <w:rFonts w:eastAsiaTheme="minorEastAsia"/>
          <w:lang w:eastAsia="zh-CN"/>
        </w:rPr>
        <w:t>boundary</w:t>
      </w:r>
      <w:r w:rsidR="00CB6A2E">
        <w:rPr>
          <w:rFonts w:eastAsiaTheme="minorEastAsia" w:hint="eastAsia"/>
          <w:lang w:eastAsia="zh-CN"/>
        </w:rPr>
        <w:t xml:space="preserve"> after the AIFS idle time following the last busy event. </w:t>
      </w:r>
    </w:p>
    <w:p w14:paraId="2AFE2EEA" w14:textId="5823E269" w:rsidR="00394996" w:rsidRPr="00E82EE6" w:rsidRDefault="00394996" w:rsidP="00394996">
      <w:pPr>
        <w:ind w:left="48"/>
        <w:rPr>
          <w:lang w:eastAsia="zh-CN"/>
        </w:rPr>
      </w:pPr>
      <w:r>
        <w:rPr>
          <w:noProof/>
        </w:rPr>
        <w:drawing>
          <wp:inline distT="0" distB="0" distL="0" distR="0" wp14:anchorId="6BF2F4BA" wp14:editId="6382A8A1">
            <wp:extent cx="5791200" cy="959031"/>
            <wp:effectExtent l="0" t="0" r="0" b="0"/>
            <wp:docPr id="8497090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4904" cy="961300"/>
                    </a:xfrm>
                    <a:prstGeom prst="rect">
                      <a:avLst/>
                    </a:prstGeom>
                    <a:noFill/>
                    <a:ln>
                      <a:noFill/>
                    </a:ln>
                  </pic:spPr>
                </pic:pic>
              </a:graphicData>
            </a:graphic>
          </wp:inline>
        </w:drawing>
      </w:r>
    </w:p>
    <w:p w14:paraId="50D78C31" w14:textId="72F3C02D" w:rsidR="00E82EE6" w:rsidRPr="004E24C7" w:rsidRDefault="00E82EE6" w:rsidP="004E24C7">
      <w:pPr>
        <w:pStyle w:val="ListParagraph"/>
        <w:numPr>
          <w:ilvl w:val="0"/>
          <w:numId w:val="26"/>
        </w:numPr>
        <w:rPr>
          <w:rFonts w:eastAsiaTheme="minorEastAsia"/>
          <w:lang w:eastAsia="zh-CN"/>
        </w:rPr>
      </w:pPr>
      <w:r>
        <w:rPr>
          <w:rFonts w:eastAsiaTheme="minorEastAsia" w:hint="eastAsia"/>
          <w:lang w:eastAsia="zh-CN"/>
        </w:rPr>
        <w:t>The case f) is a little different from a) to e)</w:t>
      </w:r>
      <w:r w:rsidR="00EA136B">
        <w:rPr>
          <w:rFonts w:eastAsiaTheme="minorEastAsia" w:hint="eastAsia"/>
          <w:lang w:eastAsia="zh-CN"/>
        </w:rPr>
        <w:t>. A</w:t>
      </w:r>
      <w:r>
        <w:rPr>
          <w:rFonts w:eastAsiaTheme="minorEastAsia" w:hint="eastAsia"/>
          <w:lang w:eastAsia="zh-CN"/>
        </w:rPr>
        <w:t xml:space="preserve">ccording to f) condition </w:t>
      </w:r>
      <w:r>
        <w:rPr>
          <w:rFonts w:eastAsiaTheme="minorEastAsia"/>
          <w:lang w:eastAsia="zh-CN"/>
        </w:rPr>
        <w:t>“</w:t>
      </w:r>
      <w:r w:rsidR="004E24C7" w:rsidRPr="004E24C7">
        <w:rPr>
          <w:rFonts w:eastAsiaTheme="minorEastAsia"/>
          <w:i/>
          <w:iCs/>
          <w:lang w:eastAsia="zh-CN"/>
        </w:rPr>
        <w:t xml:space="preserve">Following </w:t>
      </w:r>
      <w:proofErr w:type="spellStart"/>
      <w:r w:rsidR="004E24C7" w:rsidRPr="004E24C7">
        <w:rPr>
          <w:rFonts w:eastAsiaTheme="minorEastAsia"/>
          <w:i/>
          <w:iCs/>
          <w:lang w:eastAsia="zh-CN"/>
        </w:rPr>
        <w:t>aSlotTime</w:t>
      </w:r>
      <w:proofErr w:type="spellEnd"/>
      <w:r w:rsidR="004E24C7" w:rsidRPr="004E24C7">
        <w:rPr>
          <w:rFonts w:eastAsiaTheme="minorEastAsia"/>
          <w:i/>
          <w:iCs/>
          <w:lang w:eastAsia="zh-CN"/>
        </w:rPr>
        <w:t xml:space="preserve"> of idle medium, which occurs immediately after any of these conditions, a)</w:t>
      </w:r>
      <w:r w:rsidR="004E24C7" w:rsidRPr="004E24C7">
        <w:rPr>
          <w:rFonts w:eastAsiaTheme="minorEastAsia" w:hint="eastAsia"/>
          <w:i/>
          <w:iCs/>
          <w:lang w:eastAsia="zh-CN"/>
        </w:rPr>
        <w:t xml:space="preserve"> </w:t>
      </w:r>
      <w:r w:rsidR="004E24C7" w:rsidRPr="004E24C7">
        <w:rPr>
          <w:i/>
          <w:iCs/>
          <w:lang w:eastAsia="zh-CN"/>
        </w:rPr>
        <w:t>to f), is met for the EDCAF</w:t>
      </w:r>
      <w:r w:rsidRPr="004E24C7">
        <w:rPr>
          <w:lang w:eastAsia="zh-CN"/>
        </w:rPr>
        <w:t>”</w:t>
      </w:r>
      <w:r w:rsidRPr="004E24C7">
        <w:rPr>
          <w:rFonts w:hint="eastAsia"/>
          <w:lang w:eastAsia="zh-CN"/>
        </w:rPr>
        <w:t>, it can be inferred a slot boundary</w:t>
      </w:r>
      <w:r w:rsidR="0012380F">
        <w:rPr>
          <w:rFonts w:eastAsiaTheme="minorEastAsia" w:hint="eastAsia"/>
          <w:lang w:eastAsia="zh-CN"/>
        </w:rPr>
        <w:t xml:space="preserve"> for f)</w:t>
      </w:r>
      <w:r w:rsidRPr="004E24C7">
        <w:rPr>
          <w:rFonts w:hint="eastAsia"/>
          <w:lang w:eastAsia="zh-CN"/>
        </w:rPr>
        <w:t xml:space="preserve"> can be triggered for one of the following conditions, </w:t>
      </w:r>
    </w:p>
    <w:p w14:paraId="3FB5F7F6" w14:textId="0264E848" w:rsidR="00E82EE6" w:rsidRPr="00E82EE6" w:rsidRDefault="00E82EE6" w:rsidP="00E82EE6">
      <w:pPr>
        <w:pStyle w:val="ListParagraph"/>
        <w:numPr>
          <w:ilvl w:val="1"/>
          <w:numId w:val="26"/>
        </w:numPr>
        <w:rPr>
          <w:lang w:eastAsia="zh-CN"/>
        </w:rPr>
      </w:pPr>
      <w:r>
        <w:rPr>
          <w:rFonts w:eastAsiaTheme="minorEastAsia"/>
          <w:lang w:eastAsia="zh-CN"/>
        </w:rPr>
        <w:t>A</w:t>
      </w:r>
      <w:r>
        <w:rPr>
          <w:rFonts w:eastAsiaTheme="minorEastAsia" w:hint="eastAsia"/>
          <w:lang w:eastAsia="zh-CN"/>
        </w:rPr>
        <w:t xml:space="preserve">fter </w:t>
      </w:r>
      <w:proofErr w:type="spellStart"/>
      <w:r>
        <w:rPr>
          <w:rFonts w:eastAsiaTheme="minorEastAsia" w:hint="eastAsia"/>
          <w:lang w:eastAsia="zh-CN"/>
        </w:rPr>
        <w:t>aSlotTime</w:t>
      </w:r>
      <w:proofErr w:type="spellEnd"/>
      <w:r>
        <w:rPr>
          <w:rFonts w:eastAsiaTheme="minorEastAsia" w:hint="eastAsia"/>
          <w:lang w:eastAsia="zh-CN"/>
        </w:rPr>
        <w:t xml:space="preserve"> idle time following any one slot </w:t>
      </w:r>
      <w:r>
        <w:rPr>
          <w:rFonts w:eastAsiaTheme="minorEastAsia"/>
          <w:lang w:eastAsia="zh-CN"/>
        </w:rPr>
        <w:t>boundary</w:t>
      </w:r>
      <w:r>
        <w:rPr>
          <w:rFonts w:eastAsiaTheme="minorEastAsia" w:hint="eastAsia"/>
          <w:lang w:eastAsia="zh-CN"/>
        </w:rPr>
        <w:t xml:space="preserve"> caused by the a) to e); </w:t>
      </w:r>
    </w:p>
    <w:p w14:paraId="40ACDC35" w14:textId="77777777" w:rsidR="00E82EE6" w:rsidRPr="00E82EE6" w:rsidRDefault="00E82EE6" w:rsidP="00E82EE6">
      <w:pPr>
        <w:pStyle w:val="ListParagraph"/>
        <w:numPr>
          <w:ilvl w:val="1"/>
          <w:numId w:val="26"/>
        </w:numPr>
        <w:rPr>
          <w:lang w:eastAsia="zh-CN"/>
        </w:rPr>
      </w:pPr>
      <w:r>
        <w:rPr>
          <w:rFonts w:eastAsiaTheme="minorEastAsia" w:hint="eastAsia"/>
          <w:lang w:eastAsia="zh-CN"/>
        </w:rPr>
        <w:lastRenderedPageBreak/>
        <w:t xml:space="preserve">Or, after </w:t>
      </w:r>
      <w:proofErr w:type="spellStart"/>
      <w:r>
        <w:rPr>
          <w:rFonts w:eastAsiaTheme="minorEastAsia" w:hint="eastAsia"/>
          <w:lang w:eastAsia="zh-CN"/>
        </w:rPr>
        <w:t>aSlotTime</w:t>
      </w:r>
      <w:proofErr w:type="spellEnd"/>
      <w:r>
        <w:rPr>
          <w:rFonts w:eastAsiaTheme="minorEastAsia" w:hint="eastAsia"/>
          <w:lang w:eastAsia="zh-CN"/>
        </w:rPr>
        <w:t xml:space="preserve"> idle time </w:t>
      </w:r>
      <w:r>
        <w:rPr>
          <w:rFonts w:eastAsiaTheme="minorEastAsia"/>
          <w:lang w:eastAsia="zh-CN"/>
        </w:rPr>
        <w:t>following</w:t>
      </w:r>
      <w:r>
        <w:rPr>
          <w:rFonts w:eastAsiaTheme="minorEastAsia" w:hint="eastAsia"/>
          <w:lang w:eastAsia="zh-CN"/>
        </w:rPr>
        <w:t xml:space="preserve"> the previous slot </w:t>
      </w:r>
      <w:r>
        <w:rPr>
          <w:rFonts w:eastAsiaTheme="minorEastAsia"/>
          <w:lang w:eastAsia="zh-CN"/>
        </w:rPr>
        <w:t>boundary</w:t>
      </w:r>
      <w:r>
        <w:rPr>
          <w:rFonts w:eastAsiaTheme="minorEastAsia" w:hint="eastAsia"/>
          <w:lang w:eastAsia="zh-CN"/>
        </w:rPr>
        <w:t xml:space="preserve"> </w:t>
      </w:r>
      <w:r>
        <w:rPr>
          <w:rFonts w:eastAsiaTheme="minorEastAsia"/>
          <w:lang w:eastAsia="zh-CN"/>
        </w:rPr>
        <w:t>caused</w:t>
      </w:r>
      <w:r>
        <w:rPr>
          <w:rFonts w:eastAsiaTheme="minorEastAsia" w:hint="eastAsia"/>
          <w:lang w:eastAsia="zh-CN"/>
        </w:rPr>
        <w:t xml:space="preserve"> by f) itself.</w:t>
      </w:r>
    </w:p>
    <w:p w14:paraId="038F5C1F" w14:textId="3D160ADE" w:rsidR="00E82EE6" w:rsidRDefault="00E82EE6" w:rsidP="00E82EE6">
      <w:pPr>
        <w:pStyle w:val="ListParagraph"/>
        <w:ind w:left="488"/>
        <w:rPr>
          <w:rFonts w:eastAsiaTheme="minorEastAsia"/>
          <w:lang w:eastAsia="zh-CN"/>
        </w:rPr>
      </w:pPr>
      <w:r>
        <w:rPr>
          <w:rFonts w:eastAsiaTheme="minorEastAsia" w:hint="eastAsia"/>
          <w:lang w:eastAsia="zh-CN"/>
        </w:rPr>
        <w:t>Therefore, it</w:t>
      </w:r>
      <w:r>
        <w:rPr>
          <w:rFonts w:eastAsiaTheme="minorEastAsia"/>
          <w:lang w:eastAsia="zh-CN"/>
        </w:rPr>
        <w:t>’</w:t>
      </w:r>
      <w:r>
        <w:rPr>
          <w:rFonts w:eastAsiaTheme="minorEastAsia" w:hint="eastAsia"/>
          <w:lang w:eastAsia="zh-CN"/>
        </w:rPr>
        <w:t xml:space="preserve">s obvious that the condition f) is applied to when in the backoff procedure. </w:t>
      </w:r>
    </w:p>
    <w:p w14:paraId="654F7DC8" w14:textId="60C697C4" w:rsidR="00394996" w:rsidRPr="00E82EE6" w:rsidRDefault="00394996" w:rsidP="00394996">
      <w:pPr>
        <w:rPr>
          <w:lang w:eastAsia="zh-CN"/>
        </w:rPr>
      </w:pPr>
      <w:r>
        <w:rPr>
          <w:noProof/>
        </w:rPr>
        <w:drawing>
          <wp:inline distT="0" distB="0" distL="0" distR="0" wp14:anchorId="525D7759" wp14:editId="23A74805">
            <wp:extent cx="6316980" cy="1100128"/>
            <wp:effectExtent l="0" t="0" r="7620" b="0"/>
            <wp:docPr id="17076865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751" cy="1104790"/>
                    </a:xfrm>
                    <a:prstGeom prst="rect">
                      <a:avLst/>
                    </a:prstGeom>
                    <a:noFill/>
                    <a:ln>
                      <a:noFill/>
                    </a:ln>
                  </pic:spPr>
                </pic:pic>
              </a:graphicData>
            </a:graphic>
          </wp:inline>
        </w:drawing>
      </w:r>
    </w:p>
    <w:p w14:paraId="4633F826" w14:textId="0F22A66B" w:rsidR="00E82EE6" w:rsidRPr="0066585B" w:rsidRDefault="00E82EE6" w:rsidP="008F7779">
      <w:pPr>
        <w:rPr>
          <w:lang w:eastAsia="zh-CN"/>
        </w:rPr>
      </w:pPr>
    </w:p>
    <w:p w14:paraId="73D1ECE4" w14:textId="77777777" w:rsidR="00365A32" w:rsidRDefault="008F7779" w:rsidP="00BA26BC">
      <w:pPr>
        <w:rPr>
          <w:lang w:eastAsia="zh-CN"/>
        </w:rPr>
      </w:pPr>
      <w:r>
        <w:rPr>
          <w:rFonts w:hint="eastAsia"/>
          <w:lang w:eastAsia="zh-CN"/>
        </w:rPr>
        <w:t xml:space="preserve">All above are the total allowable slot boundaries defined in 802.11me D7.0. Except the slot boundary of f), all other slot boundaries are triggered after AIFS/EIFS time following a </w:t>
      </w:r>
      <w:r w:rsidR="008C0AF2">
        <w:rPr>
          <w:rFonts w:hint="eastAsia"/>
          <w:lang w:eastAsia="zh-CN"/>
        </w:rPr>
        <w:t xml:space="preserve">CS </w:t>
      </w:r>
      <w:r>
        <w:rPr>
          <w:rFonts w:hint="eastAsia"/>
          <w:lang w:eastAsia="zh-CN"/>
        </w:rPr>
        <w:t>busy event.</w:t>
      </w:r>
      <w:r w:rsidR="00A14B05">
        <w:rPr>
          <w:rFonts w:hint="eastAsia"/>
          <w:lang w:eastAsia="zh-CN"/>
        </w:rPr>
        <w:t xml:space="preserve"> Therefore, there is no slot boundary defined for the </w:t>
      </w:r>
      <w:r w:rsidR="00A14B05">
        <w:rPr>
          <w:lang w:eastAsia="zh-CN"/>
        </w:rPr>
        <w:t>“</w:t>
      </w:r>
      <w:r w:rsidR="00A14B05">
        <w:rPr>
          <w:rFonts w:hint="eastAsia"/>
          <w:lang w:eastAsia="zh-CN"/>
        </w:rPr>
        <w:t>no CS busy event</w:t>
      </w:r>
      <w:r w:rsidR="00A14B05">
        <w:rPr>
          <w:lang w:eastAsia="zh-CN"/>
        </w:rPr>
        <w:t>”</w:t>
      </w:r>
      <w:r w:rsidR="00A14B05">
        <w:rPr>
          <w:rFonts w:hint="eastAsia"/>
          <w:lang w:eastAsia="zh-CN"/>
        </w:rPr>
        <w:t xml:space="preserve"> case</w:t>
      </w:r>
      <w:r w:rsidR="00365A32">
        <w:rPr>
          <w:rFonts w:hint="eastAsia"/>
          <w:lang w:eastAsia="zh-CN"/>
        </w:rPr>
        <w:t xml:space="preserve">.  </w:t>
      </w:r>
    </w:p>
    <w:p w14:paraId="43BAEEAE" w14:textId="06D3B5C5" w:rsidR="0066585B" w:rsidRPr="00365A32" w:rsidRDefault="00365A32" w:rsidP="00BA26BC">
      <w:pPr>
        <w:rPr>
          <w:lang w:eastAsia="zh-CN"/>
        </w:rPr>
      </w:pPr>
      <w:r>
        <w:rPr>
          <w:rFonts w:hint="eastAsia"/>
          <w:lang w:eastAsia="zh-CN"/>
        </w:rPr>
        <w:t xml:space="preserve">For example, when a device firstly switches to a channel or powers up from the doze state, and there is not any event that can cause CS busy.  If the device wants to transmit (or to initiate a </w:t>
      </w:r>
      <w:proofErr w:type="spellStart"/>
      <w:r>
        <w:rPr>
          <w:rFonts w:hint="eastAsia"/>
          <w:lang w:eastAsia="zh-CN"/>
        </w:rPr>
        <w:t>TxOP</w:t>
      </w:r>
      <w:proofErr w:type="spellEnd"/>
      <w:r>
        <w:rPr>
          <w:rFonts w:hint="eastAsia"/>
          <w:lang w:eastAsia="zh-CN"/>
        </w:rPr>
        <w:t xml:space="preserve">), but there is no available slot boundary, the device cannot initiate a </w:t>
      </w:r>
      <w:proofErr w:type="spellStart"/>
      <w:r>
        <w:rPr>
          <w:rFonts w:hint="eastAsia"/>
          <w:lang w:eastAsia="zh-CN"/>
        </w:rPr>
        <w:t>TxOP</w:t>
      </w:r>
      <w:proofErr w:type="spellEnd"/>
      <w:r>
        <w:rPr>
          <w:rFonts w:hint="eastAsia"/>
          <w:lang w:eastAsia="zh-CN"/>
        </w:rPr>
        <w:t xml:space="preserve">, as </w:t>
      </w:r>
      <w:r>
        <w:rPr>
          <w:lang w:eastAsia="zh-CN"/>
        </w:rPr>
        <w:t>“</w:t>
      </w:r>
      <w:r>
        <w:rPr>
          <w:rFonts w:hint="eastAsia"/>
          <w:lang w:eastAsia="zh-CN"/>
        </w:rPr>
        <w:t xml:space="preserve">initiate a </w:t>
      </w:r>
      <w:proofErr w:type="spellStart"/>
      <w:r>
        <w:rPr>
          <w:rFonts w:hint="eastAsia"/>
          <w:lang w:eastAsia="zh-CN"/>
        </w:rPr>
        <w:t>TxOP</w:t>
      </w:r>
      <w:proofErr w:type="spellEnd"/>
      <w:r>
        <w:rPr>
          <w:lang w:eastAsia="zh-CN"/>
        </w:rPr>
        <w:t>”</w:t>
      </w:r>
      <w:r>
        <w:rPr>
          <w:rFonts w:hint="eastAsia"/>
          <w:lang w:eastAsia="zh-CN"/>
        </w:rPr>
        <w:t xml:space="preserve"> is an EDCAF operation that needs be performed at a slot boundary. </w:t>
      </w:r>
    </w:p>
    <w:p w14:paraId="00578159" w14:textId="6CE8A337" w:rsidR="0066585B" w:rsidRDefault="0007777E" w:rsidP="00BA26BC">
      <w:r>
        <w:rPr>
          <w:noProof/>
        </w:rPr>
        <w:drawing>
          <wp:inline distT="0" distB="0" distL="0" distR="0" wp14:anchorId="42ABF5AA" wp14:editId="55389535">
            <wp:extent cx="6756400" cy="1368425"/>
            <wp:effectExtent l="0" t="0" r="0" b="0"/>
            <wp:docPr id="6444197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0" cy="1368425"/>
                    </a:xfrm>
                    <a:prstGeom prst="rect">
                      <a:avLst/>
                    </a:prstGeom>
                    <a:noFill/>
                    <a:ln>
                      <a:noFill/>
                    </a:ln>
                  </pic:spPr>
                </pic:pic>
              </a:graphicData>
            </a:graphic>
          </wp:inline>
        </w:drawing>
      </w:r>
    </w:p>
    <w:p w14:paraId="41BFC28E" w14:textId="77777777" w:rsidR="00A77015" w:rsidRDefault="00A77015" w:rsidP="00BA26BC">
      <w:pPr>
        <w:rPr>
          <w:b/>
          <w:bCs/>
          <w:i/>
          <w:iCs/>
          <w:u w:val="single"/>
          <w:lang w:eastAsia="zh-CN"/>
        </w:rPr>
      </w:pPr>
    </w:p>
    <w:p w14:paraId="1F1B0E0F" w14:textId="12862193" w:rsidR="00A77015" w:rsidRPr="00A77015" w:rsidRDefault="00A77015" w:rsidP="00A77015">
      <w:pPr>
        <w:rPr>
          <w:b/>
          <w:bCs/>
          <w:i/>
          <w:iCs/>
          <w:u w:val="single"/>
          <w:lang w:eastAsia="zh-CN"/>
        </w:rPr>
      </w:pPr>
      <w:r>
        <w:rPr>
          <w:rFonts w:hint="eastAsia"/>
          <w:b/>
          <w:bCs/>
          <w:i/>
          <w:iCs/>
          <w:u w:val="single"/>
          <w:lang w:eastAsia="zh-CN"/>
        </w:rPr>
        <w:t>DCF</w:t>
      </w:r>
      <w:r w:rsidRPr="00A77015">
        <w:rPr>
          <w:rFonts w:hint="eastAsia"/>
          <w:b/>
          <w:bCs/>
          <w:i/>
          <w:iCs/>
          <w:u w:val="single"/>
          <w:lang w:eastAsia="zh-CN"/>
        </w:rPr>
        <w:t xml:space="preserve"> operations defined in 802.11</w:t>
      </w:r>
      <w:r>
        <w:rPr>
          <w:rFonts w:hint="eastAsia"/>
          <w:b/>
          <w:bCs/>
          <w:i/>
          <w:iCs/>
          <w:u w:val="single"/>
          <w:lang w:eastAsia="zh-CN"/>
        </w:rPr>
        <w:t>me</w:t>
      </w:r>
    </w:p>
    <w:p w14:paraId="1187BAEF" w14:textId="499E08F0" w:rsidR="00A77015" w:rsidRDefault="00F71261" w:rsidP="00BA26BC">
      <w:pPr>
        <w:rPr>
          <w:lang w:eastAsia="zh-CN"/>
        </w:rPr>
      </w:pPr>
      <w:r>
        <w:rPr>
          <w:rFonts w:hint="eastAsia"/>
          <w:lang w:eastAsia="zh-CN"/>
        </w:rPr>
        <w:t xml:space="preserve">Different from EDCA, the DCF can handle all the cases above, including the case with no cs busy event. </w:t>
      </w:r>
    </w:p>
    <w:p w14:paraId="2C840AF1" w14:textId="4D587C38" w:rsidR="00F71261" w:rsidRDefault="00AE1216" w:rsidP="00BA26BC">
      <w:pPr>
        <w:rPr>
          <w:lang w:eastAsia="zh-CN"/>
        </w:rPr>
      </w:pPr>
      <w:r>
        <w:rPr>
          <w:rFonts w:hint="eastAsia"/>
          <w:lang w:eastAsia="zh-CN"/>
        </w:rPr>
        <w:t>T</w:t>
      </w:r>
      <w:r w:rsidR="00047702">
        <w:rPr>
          <w:rFonts w:hint="eastAsia"/>
          <w:lang w:eastAsia="zh-CN"/>
        </w:rPr>
        <w:t xml:space="preserve">he following </w:t>
      </w:r>
      <w:r>
        <w:rPr>
          <w:rFonts w:hint="eastAsia"/>
          <w:lang w:eastAsia="zh-CN"/>
        </w:rPr>
        <w:t xml:space="preserve">is from the Basic Access </w:t>
      </w:r>
      <w:r w:rsidR="00047702">
        <w:rPr>
          <w:rFonts w:hint="eastAsia"/>
          <w:lang w:eastAsia="zh-CN"/>
        </w:rPr>
        <w:t>section for DCF (</w:t>
      </w:r>
      <w:r w:rsidR="00047702" w:rsidRPr="00047702">
        <w:rPr>
          <w:lang w:eastAsia="zh-CN"/>
        </w:rPr>
        <w:t>10.3.4.2</w:t>
      </w:r>
      <w:r w:rsidR="00047702">
        <w:rPr>
          <w:rFonts w:hint="eastAsia"/>
          <w:lang w:eastAsia="zh-CN"/>
        </w:rPr>
        <w:t xml:space="preserve">, p1930) in 802.11me D7.0, </w:t>
      </w:r>
    </w:p>
    <w:p w14:paraId="641D83EC" w14:textId="3186292E" w:rsidR="00047702" w:rsidRPr="00F71261" w:rsidRDefault="00AE1216" w:rsidP="002D5467">
      <w:pPr>
        <w:ind w:firstLineChars="350" w:firstLine="770"/>
        <w:rPr>
          <w:lang w:eastAsia="zh-CN"/>
        </w:rPr>
      </w:pPr>
      <w:r w:rsidRPr="00AE1216">
        <w:rPr>
          <w:noProof/>
          <w:lang w:eastAsia="zh-CN"/>
        </w:rPr>
        <w:drawing>
          <wp:inline distT="0" distB="0" distL="0" distR="0" wp14:anchorId="02E69146" wp14:editId="07B6EC09">
            <wp:extent cx="5017476" cy="736117"/>
            <wp:effectExtent l="0" t="0" r="0" b="6985"/>
            <wp:docPr id="154186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3442" name=""/>
                    <pic:cNvPicPr/>
                  </pic:nvPicPr>
                  <pic:blipFill>
                    <a:blip r:embed="rId18"/>
                    <a:stretch>
                      <a:fillRect/>
                    </a:stretch>
                  </pic:blipFill>
                  <pic:spPr>
                    <a:xfrm>
                      <a:off x="0" y="0"/>
                      <a:ext cx="5058293" cy="742105"/>
                    </a:xfrm>
                    <a:prstGeom prst="rect">
                      <a:avLst/>
                    </a:prstGeom>
                  </pic:spPr>
                </pic:pic>
              </a:graphicData>
            </a:graphic>
          </wp:inline>
        </w:drawing>
      </w:r>
    </w:p>
    <w:p w14:paraId="3F118A67" w14:textId="6269C2C9" w:rsidR="00A77015" w:rsidRDefault="004C3DEF" w:rsidP="00BA26BC">
      <w:pPr>
        <w:rPr>
          <w:lang w:eastAsia="zh-CN"/>
        </w:rPr>
      </w:pPr>
      <w:r>
        <w:rPr>
          <w:rFonts w:hint="eastAsia"/>
          <w:lang w:eastAsia="zh-CN"/>
        </w:rPr>
        <w:t xml:space="preserve">Based on the statement in red, for </w:t>
      </w:r>
      <w:r>
        <w:rPr>
          <w:lang w:eastAsia="zh-CN"/>
        </w:rPr>
        <w:t>the</w:t>
      </w:r>
      <w:r>
        <w:rPr>
          <w:rFonts w:hint="eastAsia"/>
          <w:lang w:eastAsia="zh-CN"/>
        </w:rPr>
        <w:t xml:space="preserve"> case of no CS busy event</w:t>
      </w:r>
      <w:r w:rsidR="00DE7229">
        <w:rPr>
          <w:rFonts w:hint="eastAsia"/>
          <w:lang w:eastAsia="zh-CN"/>
        </w:rPr>
        <w:t xml:space="preserve"> </w:t>
      </w:r>
      <w:r>
        <w:rPr>
          <w:rFonts w:hint="eastAsia"/>
          <w:lang w:eastAsia="zh-CN"/>
        </w:rPr>
        <w:t xml:space="preserve">(shown in Figure 8), under DCF, the device can transmit the frame after DIFS idle time following the time the frame is queued for transmission, </w:t>
      </w:r>
      <w:r w:rsidR="00CC4F5A">
        <w:rPr>
          <w:rFonts w:hint="eastAsia"/>
          <w:lang w:eastAsia="zh-CN"/>
        </w:rPr>
        <w:t xml:space="preserve">as shown below, </w:t>
      </w:r>
    </w:p>
    <w:p w14:paraId="112C62BB" w14:textId="63C7E21A" w:rsidR="005B30BD" w:rsidRPr="004C3DEF" w:rsidRDefault="00853C76" w:rsidP="00236C44">
      <w:pPr>
        <w:ind w:firstLineChars="250" w:firstLine="550"/>
        <w:rPr>
          <w:lang w:eastAsia="zh-CN"/>
        </w:rPr>
      </w:pPr>
      <w:r>
        <w:rPr>
          <w:noProof/>
        </w:rPr>
        <w:lastRenderedPageBreak/>
        <w:drawing>
          <wp:inline distT="0" distB="0" distL="0" distR="0" wp14:anchorId="481C400D" wp14:editId="2BBDD4B6">
            <wp:extent cx="5339861" cy="1226060"/>
            <wp:effectExtent l="0" t="0" r="0" b="0"/>
            <wp:docPr id="788149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2253" cy="1228905"/>
                    </a:xfrm>
                    <a:prstGeom prst="rect">
                      <a:avLst/>
                    </a:prstGeom>
                    <a:noFill/>
                    <a:ln>
                      <a:noFill/>
                    </a:ln>
                  </pic:spPr>
                </pic:pic>
              </a:graphicData>
            </a:graphic>
          </wp:inline>
        </w:drawing>
      </w:r>
    </w:p>
    <w:p w14:paraId="2816A5AD" w14:textId="77777777" w:rsidR="002D5467" w:rsidRDefault="002D5467" w:rsidP="00BA26BC">
      <w:pPr>
        <w:rPr>
          <w:b/>
          <w:bCs/>
          <w:i/>
          <w:iCs/>
          <w:u w:val="single"/>
          <w:lang w:eastAsia="zh-CN"/>
        </w:rPr>
      </w:pPr>
    </w:p>
    <w:p w14:paraId="6E80E987" w14:textId="33D64B3F" w:rsidR="0066585B" w:rsidRPr="00A77015" w:rsidRDefault="00A77015" w:rsidP="00BA26BC">
      <w:pPr>
        <w:rPr>
          <w:b/>
          <w:bCs/>
          <w:i/>
          <w:iCs/>
          <w:u w:val="single"/>
          <w:lang w:eastAsia="zh-CN"/>
        </w:rPr>
      </w:pPr>
      <w:r w:rsidRPr="00A77015">
        <w:rPr>
          <w:rFonts w:hint="eastAsia"/>
          <w:b/>
          <w:bCs/>
          <w:i/>
          <w:iCs/>
          <w:u w:val="single"/>
          <w:lang w:eastAsia="zh-CN"/>
        </w:rPr>
        <w:t>EDCAF operations defined in 802.11</w:t>
      </w:r>
      <w:r>
        <w:rPr>
          <w:rFonts w:hint="eastAsia"/>
          <w:b/>
          <w:bCs/>
          <w:i/>
          <w:iCs/>
          <w:u w:val="single"/>
          <w:lang w:eastAsia="zh-CN"/>
        </w:rPr>
        <w:t>-2012</w:t>
      </w:r>
    </w:p>
    <w:p w14:paraId="15F7FB17" w14:textId="172004FD" w:rsidR="006B68F7" w:rsidRDefault="00591B88" w:rsidP="00897193">
      <w:pPr>
        <w:rPr>
          <w:lang w:eastAsia="zh-CN"/>
        </w:rPr>
      </w:pPr>
      <w:r>
        <w:rPr>
          <w:rFonts w:hint="eastAsia"/>
          <w:lang w:eastAsia="zh-CN"/>
        </w:rPr>
        <w:t xml:space="preserve">And </w:t>
      </w:r>
      <w:r w:rsidR="00726DD3">
        <w:rPr>
          <w:lang w:eastAsia="zh-CN"/>
        </w:rPr>
        <w:t>furthermore</w:t>
      </w:r>
      <w:r w:rsidR="001116AB">
        <w:rPr>
          <w:lang w:eastAsia="zh-CN"/>
        </w:rPr>
        <w:t>, we</w:t>
      </w:r>
      <w:r w:rsidR="003F43EB">
        <w:rPr>
          <w:rFonts w:hint="eastAsia"/>
          <w:lang w:eastAsia="zh-CN"/>
        </w:rPr>
        <w:t xml:space="preserve"> check</w:t>
      </w:r>
      <w:r w:rsidR="006E6884">
        <w:rPr>
          <w:rFonts w:hint="eastAsia"/>
          <w:lang w:eastAsia="zh-CN"/>
        </w:rPr>
        <w:t>ed</w:t>
      </w:r>
      <w:r w:rsidR="003F43EB">
        <w:rPr>
          <w:rFonts w:hint="eastAsia"/>
          <w:lang w:eastAsia="zh-CN"/>
        </w:rPr>
        <w:t xml:space="preserve"> the spec of 802.11-2012 version, its EDCAF slot boundaries are different from 802.11me (or different since 802.11-2016). The difference is for the condition e).  We try to list </w:t>
      </w:r>
      <w:r w:rsidR="00D53272">
        <w:rPr>
          <w:lang w:eastAsia="zh-CN"/>
        </w:rPr>
        <w:t>both</w:t>
      </w:r>
      <w:r w:rsidR="001641C2">
        <w:rPr>
          <w:rFonts w:hint="eastAsia"/>
          <w:lang w:eastAsia="zh-CN"/>
        </w:rPr>
        <w:t xml:space="preserve"> </w:t>
      </w:r>
      <w:r w:rsidR="00723642">
        <w:rPr>
          <w:lang w:eastAsia="zh-CN"/>
        </w:rPr>
        <w:t>definitions</w:t>
      </w:r>
      <w:r w:rsidR="003F43EB">
        <w:rPr>
          <w:rFonts w:hint="eastAsia"/>
          <w:lang w:eastAsia="zh-CN"/>
        </w:rPr>
        <w:t xml:space="preserve"> for comparison. </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4DEC0848" w14:textId="530F6BEB" w:rsidR="007E35A7" w:rsidRPr="00000C36" w:rsidRDefault="007E35A7" w:rsidP="00A678E2">
            <w:pPr>
              <w:pStyle w:val="ListParagraph"/>
              <w:numPr>
                <w:ilvl w:val="0"/>
                <w:numId w:val="25"/>
              </w:numPr>
            </w:pPr>
            <w:r>
              <w:rPr>
                <w:rFonts w:eastAsiaTheme="minorEastAsia" w:hint="eastAsia"/>
                <w:lang w:eastAsia="zh-CN"/>
              </w:rPr>
              <w:t>For the 802.11</w:t>
            </w:r>
            <w:r w:rsidR="00000C36">
              <w:rPr>
                <w:rFonts w:eastAsiaTheme="minorEastAsia" w:hint="eastAsia"/>
                <w:lang w:eastAsia="zh-CN"/>
              </w:rPr>
              <w:t>me D7.0</w:t>
            </w:r>
            <w:r>
              <w:rPr>
                <w:rFonts w:eastAsiaTheme="minorEastAsia" w:hint="eastAsia"/>
                <w:lang w:eastAsia="zh-CN"/>
              </w:rPr>
              <w:t xml:space="preserve">, the condition of e), </w:t>
            </w:r>
          </w:p>
          <w:p w14:paraId="5ACDB22F" w14:textId="77777777" w:rsidR="00000C36" w:rsidRPr="00000C36" w:rsidRDefault="00000C36" w:rsidP="00000C36">
            <w:pPr>
              <w:pStyle w:val="ListParagraph"/>
              <w:rPr>
                <w:i/>
                <w:iCs/>
              </w:rPr>
            </w:pPr>
            <w:r w:rsidRPr="00000C36">
              <w:rPr>
                <w:i/>
                <w:iCs/>
              </w:rPr>
              <w:t xml:space="preserve">Following AIFSN[AC] × </w:t>
            </w:r>
            <w:proofErr w:type="spellStart"/>
            <w:r w:rsidRPr="00000C36">
              <w:rPr>
                <w:i/>
                <w:iCs/>
              </w:rPr>
              <w:t>aSlotTime</w:t>
            </w:r>
            <w:proofErr w:type="spellEnd"/>
            <w:r w:rsidRPr="00000C36">
              <w:rPr>
                <w:i/>
                <w:iCs/>
              </w:rPr>
              <w:t xml:space="preserve"> + </w:t>
            </w:r>
            <w:proofErr w:type="spellStart"/>
            <w:r w:rsidRPr="00000C36">
              <w:rPr>
                <w:i/>
                <w:iCs/>
              </w:rPr>
              <w:t>aSIFSTime</w:t>
            </w:r>
            <w:proofErr w:type="spellEnd"/>
            <w:r w:rsidRPr="00000C36">
              <w:rPr>
                <w:i/>
                <w:iCs/>
              </w:rPr>
              <w:t xml:space="preserve"> – </w:t>
            </w:r>
            <w:proofErr w:type="spellStart"/>
            <w:r w:rsidRPr="00000C36">
              <w:rPr>
                <w:i/>
                <w:iCs/>
              </w:rPr>
              <w:t>aRxTxTurnaroundTime</w:t>
            </w:r>
            <w:proofErr w:type="spellEnd"/>
            <w:r w:rsidRPr="00000C36">
              <w:rPr>
                <w:i/>
                <w:iCs/>
              </w:rPr>
              <w:t xml:space="preserve"> of idle medium after</w:t>
            </w:r>
          </w:p>
          <w:p w14:paraId="20398FD1" w14:textId="77777777" w:rsidR="00000C36" w:rsidRPr="00000C36" w:rsidRDefault="00000C36" w:rsidP="00000C36">
            <w:pPr>
              <w:pStyle w:val="ListParagraph"/>
              <w:rPr>
                <w:i/>
                <w:iCs/>
              </w:rPr>
            </w:pPr>
            <w:r w:rsidRPr="00000C36">
              <w:rPr>
                <w:i/>
                <w:iCs/>
              </w:rPr>
              <w:t>the last indicated</w:t>
            </w:r>
            <w:r w:rsidRPr="00000C36">
              <w:rPr>
                <w:b/>
                <w:bCs/>
                <w:i/>
                <w:iCs/>
                <w:color w:val="FF0000"/>
              </w:rPr>
              <w:t xml:space="preserve"> busy </w:t>
            </w:r>
            <w:r w:rsidRPr="00000C36">
              <w:rPr>
                <w:i/>
                <w:iCs/>
              </w:rPr>
              <w:t>medium as indicated by the CS mechanism that is not covered by condition a)</w:t>
            </w:r>
          </w:p>
          <w:p w14:paraId="4B016FCC" w14:textId="5B4EF720" w:rsidR="00000C36" w:rsidRDefault="00000C36" w:rsidP="00000C36">
            <w:pPr>
              <w:pStyle w:val="ListParagraph"/>
              <w:rPr>
                <w:rFonts w:eastAsiaTheme="minorEastAsia"/>
                <w:i/>
                <w:iCs/>
                <w:lang w:eastAsia="zh-CN"/>
              </w:rPr>
            </w:pPr>
            <w:r w:rsidRPr="00000C36">
              <w:rPr>
                <w:i/>
                <w:iCs/>
              </w:rPr>
              <w:t>to condition d)</w:t>
            </w:r>
          </w:p>
          <w:p w14:paraId="70035AF0" w14:textId="77777777" w:rsidR="001B5B97" w:rsidRPr="001B5B97" w:rsidRDefault="001B5B97" w:rsidP="00000C36">
            <w:pPr>
              <w:pStyle w:val="ListParagraph"/>
              <w:rPr>
                <w:rFonts w:eastAsiaTheme="minorEastAsia"/>
                <w:i/>
                <w:iCs/>
                <w:lang w:eastAsia="zh-CN"/>
              </w:rPr>
            </w:pPr>
          </w:p>
          <w:p w14:paraId="5965989A" w14:textId="55C081E9" w:rsidR="00A678E2" w:rsidRPr="00000C36" w:rsidRDefault="007E35A7" w:rsidP="00A678E2">
            <w:pPr>
              <w:pStyle w:val="ListParagraph"/>
              <w:numPr>
                <w:ilvl w:val="0"/>
                <w:numId w:val="25"/>
              </w:numPr>
            </w:pPr>
            <w:r>
              <w:rPr>
                <w:rFonts w:eastAsiaTheme="minorEastAsia" w:hint="eastAsia"/>
                <w:lang w:eastAsia="zh-CN"/>
              </w:rPr>
              <w:t>For the 802.11</w:t>
            </w:r>
            <w:r w:rsidR="00000C36">
              <w:rPr>
                <w:rFonts w:eastAsiaTheme="minorEastAsia" w:hint="eastAsia"/>
                <w:lang w:eastAsia="zh-CN"/>
              </w:rPr>
              <w:t>-2012</w:t>
            </w:r>
            <w:r w:rsidR="004D2267">
              <w:rPr>
                <w:rFonts w:eastAsiaTheme="minorEastAsia" w:hint="eastAsia"/>
                <w:lang w:eastAsia="zh-CN"/>
              </w:rPr>
              <w:t xml:space="preserve"> </w:t>
            </w:r>
            <w:r w:rsidR="002A09B8">
              <w:rPr>
                <w:rFonts w:eastAsiaTheme="minorEastAsia" w:hint="eastAsia"/>
                <w:lang w:eastAsia="zh-CN"/>
              </w:rPr>
              <w:t>(</w:t>
            </w:r>
            <w:r w:rsidR="004D2267">
              <w:rPr>
                <w:rFonts w:eastAsiaTheme="minorEastAsia" w:hint="eastAsia"/>
                <w:lang w:eastAsia="zh-CN"/>
              </w:rPr>
              <w:t>p876</w:t>
            </w:r>
            <w:r w:rsidR="002A09B8">
              <w:rPr>
                <w:rFonts w:eastAsiaTheme="minorEastAsia" w:hint="eastAsia"/>
                <w:lang w:eastAsia="zh-CN"/>
              </w:rPr>
              <w:t>)</w:t>
            </w:r>
            <w:r>
              <w:rPr>
                <w:rFonts w:eastAsiaTheme="minorEastAsia" w:hint="eastAsia"/>
                <w:lang w:eastAsia="zh-CN"/>
              </w:rPr>
              <w:t xml:space="preserve">, the condition of e),  </w:t>
            </w:r>
          </w:p>
          <w:p w14:paraId="0D51018A" w14:textId="77777777" w:rsidR="00000C36" w:rsidRPr="00000C36" w:rsidRDefault="00000C36" w:rsidP="00000C36">
            <w:pPr>
              <w:pStyle w:val="ListParagraph"/>
              <w:rPr>
                <w:i/>
                <w:iCs/>
              </w:rPr>
            </w:pPr>
            <w:r w:rsidRPr="00000C36">
              <w:rPr>
                <w:i/>
                <w:iCs/>
              </w:rPr>
              <w:t xml:space="preserve">Following AIFSN[AC] × </w:t>
            </w:r>
            <w:proofErr w:type="spellStart"/>
            <w:r w:rsidRPr="00000C36">
              <w:rPr>
                <w:i/>
                <w:iCs/>
              </w:rPr>
              <w:t>aSlotTime</w:t>
            </w:r>
            <w:proofErr w:type="spellEnd"/>
            <w:r w:rsidRPr="00000C36">
              <w:rPr>
                <w:i/>
                <w:iCs/>
              </w:rPr>
              <w:t xml:space="preserve"> + </w:t>
            </w:r>
            <w:proofErr w:type="spellStart"/>
            <w:r w:rsidRPr="00000C36">
              <w:rPr>
                <w:i/>
                <w:iCs/>
              </w:rPr>
              <w:t>aSIFSTime</w:t>
            </w:r>
            <w:proofErr w:type="spellEnd"/>
            <w:r w:rsidRPr="00000C36">
              <w:rPr>
                <w:i/>
                <w:iCs/>
              </w:rPr>
              <w:t xml:space="preserve"> – </w:t>
            </w:r>
            <w:proofErr w:type="spellStart"/>
            <w:r w:rsidRPr="00000C36">
              <w:rPr>
                <w:i/>
                <w:iCs/>
              </w:rPr>
              <w:t>aRxTxTurnaroundTime</w:t>
            </w:r>
            <w:proofErr w:type="spellEnd"/>
            <w:r w:rsidRPr="00000C36">
              <w:rPr>
                <w:i/>
                <w:iCs/>
              </w:rPr>
              <w:t xml:space="preserve"> of idle medium after</w:t>
            </w:r>
          </w:p>
          <w:p w14:paraId="36DD707A" w14:textId="77B4D5AF" w:rsidR="00000C36" w:rsidRDefault="00000C36" w:rsidP="00000C36">
            <w:pPr>
              <w:pStyle w:val="ListParagraph"/>
            </w:pPr>
            <w:r w:rsidRPr="00000C36">
              <w:rPr>
                <w:i/>
                <w:iCs/>
              </w:rPr>
              <w:t>the last indicated</w:t>
            </w:r>
            <w:r w:rsidRPr="00000C36">
              <w:rPr>
                <w:b/>
                <w:bCs/>
                <w:i/>
                <w:iCs/>
                <w:color w:val="FF0000"/>
              </w:rPr>
              <w:t xml:space="preserve"> idle</w:t>
            </w:r>
            <w:r w:rsidRPr="00000C36">
              <w:rPr>
                <w:i/>
                <w:iCs/>
              </w:rPr>
              <w:t xml:space="preserve"> medium as indicated by the CS mechanism that is not covered by a) to d)</w:t>
            </w:r>
          </w:p>
        </w:tc>
      </w:tr>
    </w:tbl>
    <w:p w14:paraId="4F437F59" w14:textId="77777777" w:rsidR="000F4735" w:rsidRDefault="000F4735" w:rsidP="00897193"/>
    <w:p w14:paraId="72A89550" w14:textId="0C035B41" w:rsidR="001E793F" w:rsidRPr="00C435DF" w:rsidRDefault="00000C36" w:rsidP="00897193">
      <w:pPr>
        <w:rPr>
          <w:lang w:eastAsia="zh-CN"/>
        </w:rPr>
      </w:pPr>
      <w:r>
        <w:rPr>
          <w:rFonts w:hint="eastAsia"/>
          <w:lang w:eastAsia="zh-CN"/>
        </w:rPr>
        <w:t xml:space="preserve">The difference is shown in red. </w:t>
      </w:r>
      <w:r w:rsidR="007D10D6">
        <w:rPr>
          <w:rFonts w:hint="eastAsia"/>
          <w:lang w:eastAsia="zh-CN"/>
        </w:rPr>
        <w:t xml:space="preserve">The original condition e) in 802.11-2012 version spec may be able to cover both the case for the cs busy event and the case for no cs busy event. But it may vary based on how to understand the </w:t>
      </w:r>
      <w:r w:rsidR="007D10D6">
        <w:rPr>
          <w:lang w:eastAsia="zh-CN"/>
        </w:rPr>
        <w:t>“</w:t>
      </w:r>
      <w:r w:rsidR="007D10D6">
        <w:rPr>
          <w:rFonts w:hint="eastAsia"/>
          <w:lang w:eastAsia="zh-CN"/>
        </w:rPr>
        <w:t xml:space="preserve">last indicated </w:t>
      </w:r>
      <w:r w:rsidR="007D10D6" w:rsidRPr="007D10D6">
        <w:rPr>
          <w:rFonts w:hint="eastAsia"/>
          <w:color w:val="FF0000"/>
          <w:lang w:eastAsia="zh-CN"/>
        </w:rPr>
        <w:t xml:space="preserve">IDLE </w:t>
      </w:r>
      <w:r w:rsidR="007D10D6">
        <w:rPr>
          <w:rFonts w:hint="eastAsia"/>
          <w:lang w:eastAsia="zh-CN"/>
        </w:rPr>
        <w:t>medium</w:t>
      </w:r>
      <w:r w:rsidR="007D10D6">
        <w:rPr>
          <w:lang w:eastAsia="zh-CN"/>
        </w:rPr>
        <w:t>”</w:t>
      </w:r>
      <w:r w:rsidR="007D10D6">
        <w:rPr>
          <w:rFonts w:hint="eastAsia"/>
          <w:lang w:eastAsia="zh-CN"/>
        </w:rPr>
        <w:t xml:space="preserve"> in 802.11-2012</w:t>
      </w:r>
      <w:r w:rsidR="00C435DF">
        <w:rPr>
          <w:rFonts w:hint="eastAsia"/>
          <w:lang w:eastAsia="zh-CN"/>
        </w:rPr>
        <w:t xml:space="preserve">, especially whether it can cover the case </w:t>
      </w:r>
      <w:r w:rsidR="00C435DF">
        <w:rPr>
          <w:lang w:eastAsia="zh-CN"/>
        </w:rPr>
        <w:t>illustrated</w:t>
      </w:r>
      <w:r w:rsidR="00C435DF">
        <w:rPr>
          <w:rFonts w:hint="eastAsia"/>
          <w:lang w:eastAsia="zh-CN"/>
        </w:rPr>
        <w:t xml:space="preserve"> by the condition e) in 802.11me (i.e. the case shown in figure 6). </w:t>
      </w:r>
    </w:p>
    <w:p w14:paraId="0472A2B9" w14:textId="4F36CC97" w:rsidR="000F4735" w:rsidRDefault="001E793F" w:rsidP="00897193">
      <w:pPr>
        <w:rPr>
          <w:lang w:eastAsia="zh-CN"/>
        </w:rPr>
      </w:pPr>
      <w:r>
        <w:rPr>
          <w:rFonts w:hint="eastAsia"/>
          <w:lang w:eastAsia="zh-CN"/>
        </w:rPr>
        <w:t xml:space="preserve">We found the document (doc 16/228, reference [2]) that firstly introduced this change (from </w:t>
      </w:r>
      <w:r>
        <w:rPr>
          <w:lang w:eastAsia="zh-CN"/>
        </w:rPr>
        <w:t>“</w:t>
      </w:r>
      <w:r>
        <w:rPr>
          <w:rFonts w:hint="eastAsia"/>
          <w:lang w:eastAsia="zh-CN"/>
        </w:rPr>
        <w:t>idle</w:t>
      </w:r>
      <w:r>
        <w:rPr>
          <w:lang w:eastAsia="zh-CN"/>
        </w:rPr>
        <w:t>”</w:t>
      </w:r>
      <w:r>
        <w:rPr>
          <w:rFonts w:hint="eastAsia"/>
          <w:lang w:eastAsia="zh-CN"/>
        </w:rPr>
        <w:t xml:space="preserve"> to </w:t>
      </w:r>
      <w:r>
        <w:rPr>
          <w:lang w:eastAsia="zh-CN"/>
        </w:rPr>
        <w:t>“</w:t>
      </w:r>
      <w:r>
        <w:rPr>
          <w:rFonts w:hint="eastAsia"/>
          <w:lang w:eastAsia="zh-CN"/>
        </w:rPr>
        <w:t>busy</w:t>
      </w:r>
      <w:r>
        <w:rPr>
          <w:lang w:eastAsia="zh-CN"/>
        </w:rPr>
        <w:t>”</w:t>
      </w:r>
      <w:r>
        <w:rPr>
          <w:rFonts w:hint="eastAsia"/>
          <w:lang w:eastAsia="zh-CN"/>
        </w:rPr>
        <w:t xml:space="preserve">). But the doc </w:t>
      </w:r>
      <w:r>
        <w:rPr>
          <w:lang w:eastAsia="zh-CN"/>
        </w:rPr>
        <w:t>just</w:t>
      </w:r>
      <w:r>
        <w:rPr>
          <w:rFonts w:hint="eastAsia"/>
          <w:lang w:eastAsia="zh-CN"/>
        </w:rPr>
        <w:t xml:space="preserve"> said the </w:t>
      </w:r>
      <w:r>
        <w:rPr>
          <w:lang w:eastAsia="zh-CN"/>
        </w:rPr>
        <w:t>“</w:t>
      </w:r>
      <w:r>
        <w:rPr>
          <w:rFonts w:hint="eastAsia"/>
          <w:lang w:eastAsia="zh-CN"/>
        </w:rPr>
        <w:t xml:space="preserve">last indicated </w:t>
      </w:r>
      <w:r w:rsidRPr="007D10D6">
        <w:rPr>
          <w:rFonts w:hint="eastAsia"/>
          <w:color w:val="FF0000"/>
          <w:lang w:eastAsia="zh-CN"/>
        </w:rPr>
        <w:t xml:space="preserve">IDLE </w:t>
      </w:r>
      <w:r>
        <w:rPr>
          <w:rFonts w:hint="eastAsia"/>
          <w:lang w:eastAsia="zh-CN"/>
        </w:rPr>
        <w:t>medium</w:t>
      </w:r>
      <w:r>
        <w:rPr>
          <w:lang w:eastAsia="zh-CN"/>
        </w:rPr>
        <w:t>”</w:t>
      </w:r>
      <w:r>
        <w:rPr>
          <w:rFonts w:hint="eastAsia"/>
          <w:lang w:eastAsia="zh-CN"/>
        </w:rPr>
        <w:t xml:space="preserve"> might be incorrect and should be changed to </w:t>
      </w:r>
      <w:r>
        <w:rPr>
          <w:lang w:eastAsia="zh-CN"/>
        </w:rPr>
        <w:t>“</w:t>
      </w:r>
      <w:r>
        <w:rPr>
          <w:rFonts w:hint="eastAsia"/>
          <w:lang w:eastAsia="zh-CN"/>
        </w:rPr>
        <w:t>busy</w:t>
      </w:r>
      <w:r>
        <w:rPr>
          <w:lang w:eastAsia="zh-CN"/>
        </w:rPr>
        <w:t>”</w:t>
      </w:r>
      <w:r>
        <w:rPr>
          <w:rFonts w:hint="eastAsia"/>
          <w:lang w:eastAsia="zh-CN"/>
        </w:rPr>
        <w:t xml:space="preserve">.  </w:t>
      </w:r>
      <w:r w:rsidR="0035761F">
        <w:rPr>
          <w:rFonts w:hint="eastAsia"/>
          <w:lang w:eastAsia="zh-CN"/>
        </w:rPr>
        <w:t xml:space="preserve">There may be </w:t>
      </w:r>
      <w:r>
        <w:rPr>
          <w:rFonts w:hint="eastAsia"/>
          <w:lang w:eastAsia="zh-CN"/>
        </w:rPr>
        <w:t>other documents that may have exact explanation for this change of the condition e)</w:t>
      </w:r>
      <w:r w:rsidR="0035761F">
        <w:rPr>
          <w:rFonts w:hint="eastAsia"/>
          <w:lang w:eastAsia="zh-CN"/>
        </w:rPr>
        <w:t>, but we haven</w:t>
      </w:r>
      <w:r w:rsidR="0035761F">
        <w:rPr>
          <w:lang w:eastAsia="zh-CN"/>
        </w:rPr>
        <w:t>’</w:t>
      </w:r>
      <w:r w:rsidR="0035761F">
        <w:rPr>
          <w:rFonts w:hint="eastAsia"/>
          <w:lang w:eastAsia="zh-CN"/>
        </w:rPr>
        <w:t>t found one</w:t>
      </w:r>
      <w:r>
        <w:rPr>
          <w:rFonts w:hint="eastAsia"/>
          <w:lang w:eastAsia="zh-CN"/>
        </w:rPr>
        <w:t xml:space="preserve">.  </w:t>
      </w:r>
      <w:r w:rsidR="007D10D6">
        <w:rPr>
          <w:rFonts w:hint="eastAsia"/>
          <w:lang w:eastAsia="zh-CN"/>
        </w:rPr>
        <w:t xml:space="preserve">  </w:t>
      </w:r>
    </w:p>
    <w:p w14:paraId="3550ACEF" w14:textId="71819AE1" w:rsidR="00DE46C2" w:rsidRDefault="00DE46C2" w:rsidP="006C63A6">
      <w:pPr>
        <w:pStyle w:val="T"/>
        <w:rPr>
          <w:bCs/>
          <w:lang w:eastAsia="zh-CN"/>
        </w:rPr>
      </w:pPr>
    </w:p>
    <w:p w14:paraId="49173B4A" w14:textId="77777777" w:rsidR="00A77015" w:rsidRDefault="00A77015" w:rsidP="006C63A6">
      <w:pPr>
        <w:pStyle w:val="T"/>
        <w:rPr>
          <w:bCs/>
          <w:lang w:eastAsia="zh-CN"/>
        </w:rPr>
      </w:pPr>
    </w:p>
    <w:p w14:paraId="0EE55247" w14:textId="77777777" w:rsidR="00A77015" w:rsidRPr="006C63A6" w:rsidRDefault="00A77015" w:rsidP="006C63A6">
      <w:pPr>
        <w:pStyle w:val="T"/>
        <w:rPr>
          <w:bCs/>
          <w:lang w:eastAsia="zh-CN"/>
        </w:rPr>
      </w:pPr>
    </w:p>
    <w:p w14:paraId="574DC394" w14:textId="6AA2869C" w:rsidR="001B317B" w:rsidRDefault="004B7400" w:rsidP="001B317B">
      <w:pPr>
        <w:pStyle w:val="T"/>
        <w:rPr>
          <w:b/>
          <w:i/>
          <w:iCs/>
          <w:sz w:val="28"/>
          <w:szCs w:val="28"/>
        </w:rPr>
      </w:pPr>
      <w:r>
        <w:rPr>
          <w:rFonts w:hint="eastAsia"/>
          <w:b/>
          <w:i/>
          <w:iCs/>
          <w:sz w:val="28"/>
          <w:szCs w:val="28"/>
          <w:lang w:eastAsia="zh-CN"/>
        </w:rPr>
        <w:t>Possible p</w:t>
      </w:r>
      <w:r w:rsidR="001B317B">
        <w:rPr>
          <w:rFonts w:hint="eastAsia"/>
          <w:b/>
          <w:i/>
          <w:iCs/>
          <w:sz w:val="28"/>
          <w:szCs w:val="28"/>
          <w:lang w:eastAsia="zh-CN"/>
        </w:rPr>
        <w:t>roposed change</w:t>
      </w:r>
      <w:r w:rsidR="001B317B" w:rsidRPr="00AA7A4F">
        <w:rPr>
          <w:b/>
          <w:i/>
          <w:iCs/>
          <w:sz w:val="28"/>
          <w:szCs w:val="28"/>
        </w:rPr>
        <w:t>:</w:t>
      </w:r>
    </w:p>
    <w:p w14:paraId="0325D7F3" w14:textId="7D26E2EE" w:rsidR="001B317B" w:rsidRPr="001B317B" w:rsidRDefault="001B317B" w:rsidP="001B317B">
      <w:pPr>
        <w:pStyle w:val="T"/>
        <w:rPr>
          <w:rFonts w:asciiTheme="minorHAnsi" w:hAnsiTheme="minorHAnsi" w:cstheme="minorBidi"/>
          <w:color w:val="auto"/>
          <w:w w:val="100"/>
          <w:sz w:val="22"/>
          <w:szCs w:val="22"/>
          <w:lang w:eastAsia="zh-CN"/>
        </w:rPr>
      </w:pPr>
      <w:r>
        <w:rPr>
          <w:rFonts w:asciiTheme="minorHAnsi" w:hAnsiTheme="minorHAnsi" w:cstheme="minorBidi" w:hint="eastAsia"/>
          <w:color w:val="auto"/>
          <w:w w:val="100"/>
          <w:sz w:val="22"/>
          <w:szCs w:val="22"/>
          <w:lang w:eastAsia="zh-CN"/>
        </w:rPr>
        <w:t xml:space="preserve">If the condition e) cannot be reverted to the </w:t>
      </w:r>
      <w:r>
        <w:rPr>
          <w:rFonts w:asciiTheme="minorHAnsi" w:hAnsiTheme="minorHAnsi" w:cstheme="minorBidi"/>
          <w:color w:val="auto"/>
          <w:w w:val="100"/>
          <w:sz w:val="22"/>
          <w:szCs w:val="22"/>
          <w:lang w:eastAsia="zh-CN"/>
        </w:rPr>
        <w:t>original</w:t>
      </w:r>
      <w:r>
        <w:rPr>
          <w:rFonts w:asciiTheme="minorHAnsi" w:hAnsiTheme="minorHAnsi" w:cstheme="minorBidi" w:hint="eastAsia"/>
          <w:color w:val="auto"/>
          <w:w w:val="100"/>
          <w:sz w:val="22"/>
          <w:szCs w:val="22"/>
          <w:lang w:eastAsia="zh-CN"/>
        </w:rPr>
        <w:t xml:space="preserve"> statement in 802.11-2012</w:t>
      </w:r>
      <w:r w:rsidR="007E512A">
        <w:rPr>
          <w:rFonts w:asciiTheme="minorHAnsi" w:hAnsiTheme="minorHAnsi" w:cstheme="minorBidi" w:hint="eastAsia"/>
          <w:color w:val="auto"/>
          <w:w w:val="100"/>
          <w:sz w:val="22"/>
          <w:szCs w:val="22"/>
          <w:lang w:eastAsia="zh-CN"/>
        </w:rPr>
        <w:t xml:space="preserve">, here another condition g) is proposed to cover the case of no cs busy event. </w:t>
      </w:r>
    </w:p>
    <w:tbl>
      <w:tblPr>
        <w:tblStyle w:val="TableGrid"/>
        <w:tblW w:w="0" w:type="auto"/>
        <w:tblLook w:val="04A0" w:firstRow="1" w:lastRow="0" w:firstColumn="1" w:lastColumn="0" w:noHBand="0" w:noVBand="1"/>
      </w:tblPr>
      <w:tblGrid>
        <w:gridCol w:w="10630"/>
      </w:tblGrid>
      <w:tr w:rsidR="001665BB" w14:paraId="0DB8C2ED" w14:textId="77777777" w:rsidTr="00052800">
        <w:tc>
          <w:tcPr>
            <w:tcW w:w="10630" w:type="dxa"/>
          </w:tcPr>
          <w:p w14:paraId="7BF808BD" w14:textId="699C8E52" w:rsidR="001665BB" w:rsidRDefault="001665BB" w:rsidP="001665BB">
            <w:pPr>
              <w:pStyle w:val="ListParagraph"/>
              <w:numPr>
                <w:ilvl w:val="0"/>
                <w:numId w:val="27"/>
              </w:numPr>
            </w:pPr>
            <w:r>
              <w:t xml:space="preserve">Following AIFSN[AC] × </w:t>
            </w:r>
            <w:proofErr w:type="spellStart"/>
            <w:r>
              <w:t>aSlotTime</w:t>
            </w:r>
            <w:proofErr w:type="spellEnd"/>
            <w:r>
              <w:t xml:space="preserve"> – </w:t>
            </w:r>
            <w:proofErr w:type="spellStart"/>
            <w:r>
              <w:t>aRxTxTurnaroundTime</w:t>
            </w:r>
            <w:proofErr w:type="spellEnd"/>
            <w:r>
              <w:t xml:space="preserve"> of idle medium after a SIFS(#6587)</w:t>
            </w:r>
          </w:p>
          <w:p w14:paraId="75743E62" w14:textId="77777777" w:rsidR="001665BB" w:rsidRDefault="001665BB" w:rsidP="001665BB">
            <w:pPr>
              <w:pStyle w:val="ListParagraph"/>
              <w:ind w:left="1160"/>
            </w:pPr>
            <w:r>
              <w:t>(not necessarily idle medium during the SIFS) after the last busy medium on the antenna that was</w:t>
            </w:r>
          </w:p>
          <w:p w14:paraId="078A1C08" w14:textId="77777777" w:rsidR="001665BB" w:rsidRDefault="001665BB" w:rsidP="001665BB">
            <w:pPr>
              <w:pStyle w:val="ListParagraph"/>
              <w:ind w:left="1160"/>
            </w:pPr>
            <w:r>
              <w:t>the result of a reception of a frame with a correct FCS or of an S1G frame. Note that upon reception</w:t>
            </w:r>
          </w:p>
          <w:p w14:paraId="58621E12" w14:textId="77777777" w:rsidR="001665BB" w:rsidRDefault="001665BB" w:rsidP="001665BB">
            <w:pPr>
              <w:pStyle w:val="ListParagraph"/>
              <w:ind w:left="1160"/>
            </w:pPr>
            <w:r>
              <w:t>of an S1G frame, an S1G STA updates its RID counter based on information obtained from the</w:t>
            </w:r>
          </w:p>
          <w:p w14:paraId="47287719" w14:textId="77777777" w:rsidR="001665BB" w:rsidRDefault="001665BB" w:rsidP="001665BB">
            <w:pPr>
              <w:pStyle w:val="ListParagraph"/>
              <w:ind w:left="1160"/>
            </w:pPr>
            <w:r>
              <w:t>RXVECTOR as described in 10.3.2.5 (Setting and resetting the RID) and this update does not</w:t>
            </w:r>
          </w:p>
          <w:p w14:paraId="766DDCC2" w14:textId="77777777" w:rsidR="001665BB" w:rsidRDefault="001665BB" w:rsidP="001665BB">
            <w:pPr>
              <w:pStyle w:val="ListParagraph"/>
              <w:ind w:left="1160"/>
            </w:pPr>
            <w:r>
              <w:lastRenderedPageBreak/>
              <w:t>depend on the outcome of the FCS check.</w:t>
            </w:r>
          </w:p>
          <w:p w14:paraId="6FBB0725" w14:textId="5D4826B7" w:rsidR="001665BB" w:rsidRDefault="001665BB" w:rsidP="001665BB">
            <w:pPr>
              <w:pStyle w:val="ListParagraph"/>
              <w:numPr>
                <w:ilvl w:val="0"/>
                <w:numId w:val="27"/>
              </w:numPr>
            </w:pPr>
            <w:r>
              <w:t xml:space="preserve">Following EIFS – DIFS + AIFSN[AC] × </w:t>
            </w:r>
            <w:proofErr w:type="spellStart"/>
            <w:r>
              <w:t>aSlotTime</w:t>
            </w:r>
            <w:proofErr w:type="spellEnd"/>
            <w:r>
              <w:t xml:space="preserve"> + </w:t>
            </w:r>
            <w:proofErr w:type="spellStart"/>
            <w:r>
              <w:t>aSIFSTime</w:t>
            </w:r>
            <w:proofErr w:type="spellEnd"/>
            <w:r>
              <w:t xml:space="preserve"> – </w:t>
            </w:r>
            <w:proofErr w:type="spellStart"/>
            <w:r>
              <w:t>aRxTxTurnaroundTime</w:t>
            </w:r>
            <w:proofErr w:type="spellEnd"/>
            <w:r>
              <w:t xml:space="preserve"> of idle</w:t>
            </w:r>
          </w:p>
          <w:p w14:paraId="750DFC44" w14:textId="77777777" w:rsidR="001665BB" w:rsidRDefault="001665BB" w:rsidP="001665BB">
            <w:pPr>
              <w:pStyle w:val="ListParagraph"/>
              <w:ind w:left="1160"/>
            </w:pPr>
            <w:r>
              <w:t>medium after the last indicated busy medium as determined by the physical CS mechanism that was</w:t>
            </w:r>
          </w:p>
          <w:p w14:paraId="3493B736" w14:textId="77777777" w:rsidR="001665BB" w:rsidRDefault="001665BB" w:rsidP="001665BB">
            <w:pPr>
              <w:pStyle w:val="ListParagraph"/>
              <w:ind w:left="1160"/>
            </w:pPr>
            <w:r>
              <w:t>the result of a non-S1G frame reception that has resulted in FCS error, or of a frame reception that</w:t>
            </w:r>
          </w:p>
          <w:p w14:paraId="21E86BDC" w14:textId="77777777" w:rsidR="001665BB" w:rsidRDefault="001665BB" w:rsidP="001665BB">
            <w:pPr>
              <w:pStyle w:val="ListParagraph"/>
              <w:ind w:left="1160"/>
            </w:pPr>
            <w:r>
              <w:t>has resulted in PHY-</w:t>
            </w:r>
            <w:proofErr w:type="spellStart"/>
            <w:r>
              <w:t>RXEND.indication</w:t>
            </w:r>
            <w:proofErr w:type="spellEnd"/>
            <w:r>
              <w:t xml:space="preserve"> (RXERROR) primitive where the value of RXERROR is</w:t>
            </w:r>
          </w:p>
          <w:p w14:paraId="6C7E9735" w14:textId="77777777" w:rsidR="001665BB" w:rsidRDefault="001665BB" w:rsidP="001665BB">
            <w:pPr>
              <w:pStyle w:val="ListParagraph"/>
              <w:ind w:left="1160"/>
            </w:pPr>
            <w:r>
              <w:t>not NoError.</w:t>
            </w:r>
          </w:p>
          <w:p w14:paraId="4F7BC69C" w14:textId="447E4A19" w:rsidR="001665BB" w:rsidRDefault="001665BB" w:rsidP="001665BB">
            <w:pPr>
              <w:pStyle w:val="ListParagraph"/>
              <w:numPr>
                <w:ilvl w:val="0"/>
                <w:numId w:val="27"/>
              </w:numPr>
            </w:pPr>
            <w:r>
              <w:t>When any other EDCAF at this STA transmitted a frame requiring immediate acknowledgment, the</w:t>
            </w:r>
          </w:p>
          <w:p w14:paraId="5A7F4056" w14:textId="77777777" w:rsidR="001665BB" w:rsidRDefault="001665BB" w:rsidP="001665BB">
            <w:pPr>
              <w:pStyle w:val="ListParagraph"/>
              <w:ind w:left="1160"/>
            </w:pPr>
            <w:r>
              <w:t>earlier of</w:t>
            </w:r>
          </w:p>
          <w:p w14:paraId="5ED41222" w14:textId="18A00695" w:rsidR="001665BB" w:rsidRDefault="001665BB" w:rsidP="001665BB">
            <w:pPr>
              <w:pStyle w:val="ListParagraph"/>
              <w:numPr>
                <w:ilvl w:val="1"/>
                <w:numId w:val="27"/>
              </w:numPr>
            </w:pPr>
            <w:r>
              <w:t xml:space="preserve">The end of the </w:t>
            </w:r>
            <w:proofErr w:type="spellStart"/>
            <w:r>
              <w:t>AckTimeout</w:t>
            </w:r>
            <w:proofErr w:type="spellEnd"/>
            <w:r>
              <w:t xml:space="preserve"> interval timed from the PHY-</w:t>
            </w:r>
            <w:proofErr w:type="spellStart"/>
            <w:r>
              <w:t>TXEND.confirm</w:t>
            </w:r>
            <w:proofErr w:type="spellEnd"/>
            <w:r>
              <w:t xml:space="preserve"> primitive, followed</w:t>
            </w:r>
          </w:p>
          <w:p w14:paraId="08C89BF7" w14:textId="77777777" w:rsidR="001665BB" w:rsidRDefault="001665BB" w:rsidP="001665BB">
            <w:pPr>
              <w:pStyle w:val="ListParagraph"/>
              <w:ind w:left="1160"/>
            </w:pPr>
            <w:r>
              <w:t xml:space="preserve">by AIFSN[AC] × </w:t>
            </w:r>
            <w:proofErr w:type="spellStart"/>
            <w:r>
              <w:t>aSlotTime</w:t>
            </w:r>
            <w:proofErr w:type="spellEnd"/>
            <w:r>
              <w:t xml:space="preserve"> + </w:t>
            </w:r>
            <w:proofErr w:type="spellStart"/>
            <w:r>
              <w:t>aSIFSTime</w:t>
            </w:r>
            <w:proofErr w:type="spellEnd"/>
            <w:r>
              <w:t xml:space="preserve"> – </w:t>
            </w:r>
            <w:proofErr w:type="spellStart"/>
            <w:r>
              <w:t>aRxTxTurnaroundTime</w:t>
            </w:r>
            <w:proofErr w:type="spellEnd"/>
            <w:r>
              <w:t xml:space="preserve"> of idle medium, and</w:t>
            </w:r>
          </w:p>
          <w:p w14:paraId="1313FEA4" w14:textId="0DA93522" w:rsidR="001665BB" w:rsidRDefault="001665BB" w:rsidP="001665BB">
            <w:pPr>
              <w:pStyle w:val="ListParagraph"/>
              <w:numPr>
                <w:ilvl w:val="1"/>
                <w:numId w:val="27"/>
              </w:numPr>
            </w:pPr>
            <w:r>
              <w:t xml:space="preserve">The end of the first AIFSN[AC] × </w:t>
            </w:r>
            <w:proofErr w:type="spellStart"/>
            <w:r>
              <w:t>aSlotTime</w:t>
            </w:r>
            <w:proofErr w:type="spellEnd"/>
            <w:r>
              <w:t xml:space="preserve"> – </w:t>
            </w:r>
            <w:proofErr w:type="spellStart"/>
            <w:r>
              <w:t>aRxTxTurnaroundTime</w:t>
            </w:r>
            <w:proofErr w:type="spellEnd"/>
            <w:r>
              <w:t xml:space="preserve"> of idle medium after a</w:t>
            </w:r>
          </w:p>
          <w:p w14:paraId="011C9DFE" w14:textId="77777777" w:rsidR="001665BB" w:rsidRDefault="001665BB" w:rsidP="001665BB">
            <w:pPr>
              <w:pStyle w:val="ListParagraph"/>
              <w:ind w:left="1160"/>
            </w:pPr>
            <w:r>
              <w:t>SIFS(#6587) (not necessarily medium idle during the SIFS, the start of the SIFS implied by the</w:t>
            </w:r>
          </w:p>
          <w:p w14:paraId="41E5C688" w14:textId="77777777" w:rsidR="001665BB" w:rsidRDefault="001665BB" w:rsidP="001665BB">
            <w:pPr>
              <w:pStyle w:val="ListParagraph"/>
              <w:ind w:left="1160"/>
            </w:pPr>
            <w:r>
              <w:t>length in the PHY header of the previous frame) when a PHY-</w:t>
            </w:r>
            <w:proofErr w:type="spellStart"/>
            <w:r>
              <w:t>RXEND.indication</w:t>
            </w:r>
            <w:proofErr w:type="spellEnd"/>
            <w:r>
              <w:t xml:space="preserve"> primitive</w:t>
            </w:r>
          </w:p>
          <w:p w14:paraId="27478175" w14:textId="77777777" w:rsidR="001665BB" w:rsidRDefault="001665BB" w:rsidP="001665BB">
            <w:pPr>
              <w:pStyle w:val="ListParagraph"/>
              <w:ind w:left="1160"/>
              <w:rPr>
                <w:rFonts w:eastAsiaTheme="minorEastAsia"/>
                <w:lang w:eastAsia="zh-CN"/>
              </w:rPr>
            </w:pPr>
            <w:r>
              <w:t>occurs as specified in 10.3.2.11 (Acknowledgment procedure).</w:t>
            </w:r>
          </w:p>
          <w:p w14:paraId="75308194" w14:textId="518E315A"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AIFSN[AC] × </w:t>
            </w:r>
            <w:proofErr w:type="spellStart"/>
            <w:r w:rsidRPr="001665BB">
              <w:rPr>
                <w:rFonts w:eastAsiaTheme="minorEastAsia"/>
                <w:lang w:eastAsia="zh-CN"/>
              </w:rPr>
              <w:t>aSlotTime</w:t>
            </w:r>
            <w:proofErr w:type="spellEnd"/>
            <w:r w:rsidRPr="001665BB">
              <w:rPr>
                <w:rFonts w:eastAsiaTheme="minorEastAsia"/>
                <w:lang w:eastAsia="zh-CN"/>
              </w:rPr>
              <w:t xml:space="preserve"> – </w:t>
            </w:r>
            <w:proofErr w:type="spellStart"/>
            <w:r w:rsidRPr="001665BB">
              <w:rPr>
                <w:rFonts w:eastAsiaTheme="minorEastAsia"/>
                <w:lang w:eastAsia="zh-CN"/>
              </w:rPr>
              <w:t>aRxTxTurnaroundTime</w:t>
            </w:r>
            <w:proofErr w:type="spellEnd"/>
            <w:r w:rsidRPr="001665BB">
              <w:rPr>
                <w:rFonts w:eastAsiaTheme="minorEastAsia"/>
                <w:lang w:eastAsia="zh-CN"/>
              </w:rPr>
              <w:t xml:space="preserve"> of idle medium after a SIFS(#6587)</w:t>
            </w:r>
          </w:p>
          <w:p w14:paraId="60E81169"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(not necessarily medium idle during the SIFS) after the last busy medium on the antenna that was</w:t>
            </w:r>
          </w:p>
          <w:p w14:paraId="41F0D2B8"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the result of a transmission of a frame for any EDCAF and which did not require an</w:t>
            </w:r>
          </w:p>
          <w:p w14:paraId="4ED0B40F"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acknowledgment and after the expiration of the TXNAV timer if nonzero, and, if</w:t>
            </w:r>
          </w:p>
          <w:p w14:paraId="37988DC6"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dot11MCCAActivated is true, the expiration of the RAV timer if nonzero.</w:t>
            </w:r>
          </w:p>
          <w:p w14:paraId="7283B51A" w14:textId="69916540"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AIFSN[AC] × </w:t>
            </w:r>
            <w:proofErr w:type="spellStart"/>
            <w:r w:rsidRPr="001665BB">
              <w:rPr>
                <w:rFonts w:eastAsiaTheme="minorEastAsia"/>
                <w:lang w:eastAsia="zh-CN"/>
              </w:rPr>
              <w:t>aSlotTime</w:t>
            </w:r>
            <w:proofErr w:type="spellEnd"/>
            <w:r w:rsidRPr="001665BB">
              <w:rPr>
                <w:rFonts w:eastAsiaTheme="minorEastAsia"/>
                <w:lang w:eastAsia="zh-CN"/>
              </w:rPr>
              <w:t xml:space="preserve"> + </w:t>
            </w:r>
            <w:proofErr w:type="spellStart"/>
            <w:r w:rsidRPr="001665BB">
              <w:rPr>
                <w:rFonts w:eastAsiaTheme="minorEastAsia"/>
                <w:lang w:eastAsia="zh-CN"/>
              </w:rPr>
              <w:t>aSIFSTime</w:t>
            </w:r>
            <w:proofErr w:type="spellEnd"/>
            <w:r w:rsidRPr="001665BB">
              <w:rPr>
                <w:rFonts w:eastAsiaTheme="minorEastAsia"/>
                <w:lang w:eastAsia="zh-CN"/>
              </w:rPr>
              <w:t xml:space="preserve"> – </w:t>
            </w:r>
            <w:proofErr w:type="spellStart"/>
            <w:r w:rsidRPr="001665BB">
              <w:rPr>
                <w:rFonts w:eastAsiaTheme="minorEastAsia"/>
                <w:lang w:eastAsia="zh-CN"/>
              </w:rPr>
              <w:t>aRxTxTurnaroundTime</w:t>
            </w:r>
            <w:proofErr w:type="spellEnd"/>
            <w:r w:rsidRPr="001665BB">
              <w:rPr>
                <w:rFonts w:eastAsiaTheme="minorEastAsia"/>
                <w:lang w:eastAsia="zh-CN"/>
              </w:rPr>
              <w:t xml:space="preserve"> of idle medium after</w:t>
            </w:r>
          </w:p>
          <w:p w14:paraId="41C78DEC"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the last indicated busy medium as indicated by the CS mechanism that is not covered by condition a)</w:t>
            </w:r>
          </w:p>
          <w:p w14:paraId="1F9C6ABB"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to condition d).</w:t>
            </w:r>
          </w:p>
          <w:p w14:paraId="4EB75329" w14:textId="2F68032A"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w:t>
            </w:r>
            <w:proofErr w:type="spellStart"/>
            <w:r w:rsidRPr="001665BB">
              <w:rPr>
                <w:rFonts w:eastAsiaTheme="minorEastAsia"/>
                <w:lang w:eastAsia="zh-CN"/>
              </w:rPr>
              <w:t>aSlotTime</w:t>
            </w:r>
            <w:proofErr w:type="spellEnd"/>
            <w:r w:rsidRPr="001665BB">
              <w:rPr>
                <w:rFonts w:eastAsiaTheme="minorEastAsia"/>
                <w:lang w:eastAsia="zh-CN"/>
              </w:rPr>
              <w:t xml:space="preserve"> of idle medium, which occurs immediately after any of these conditions, a)</w:t>
            </w:r>
          </w:p>
          <w:p w14:paraId="46DC7595" w14:textId="77777777" w:rsidR="001665BB" w:rsidRDefault="001665BB" w:rsidP="001665BB">
            <w:pPr>
              <w:pStyle w:val="ListParagraph"/>
              <w:ind w:left="1160"/>
              <w:rPr>
                <w:rFonts w:eastAsiaTheme="minorEastAsia"/>
                <w:lang w:eastAsia="zh-CN"/>
              </w:rPr>
            </w:pPr>
            <w:r w:rsidRPr="001665BB">
              <w:rPr>
                <w:rFonts w:eastAsiaTheme="minorEastAsia"/>
                <w:lang w:eastAsia="zh-CN"/>
              </w:rPr>
              <w:t>to f), is met for the EDCAF</w:t>
            </w:r>
          </w:p>
          <w:p w14:paraId="583EA6D9" w14:textId="516C34AD" w:rsidR="00CC1DEE" w:rsidRPr="00CC1DEE" w:rsidRDefault="00CC1DEE" w:rsidP="00CC1DEE">
            <w:pPr>
              <w:pStyle w:val="ListParagraph"/>
              <w:numPr>
                <w:ilvl w:val="0"/>
                <w:numId w:val="27"/>
              </w:numPr>
              <w:rPr>
                <w:rFonts w:eastAsiaTheme="minorEastAsia"/>
                <w:color w:val="FF0000"/>
                <w:lang w:eastAsia="zh-CN"/>
              </w:rPr>
            </w:pPr>
            <w:r w:rsidRPr="00CC1DEE">
              <w:rPr>
                <w:rFonts w:eastAsiaTheme="minorEastAsia" w:hint="eastAsia"/>
                <w:color w:val="FF0000"/>
                <w:lang w:eastAsia="zh-CN"/>
              </w:rPr>
              <w:t xml:space="preserve">If none of the above a) to f) </w:t>
            </w:r>
            <w:r w:rsidRPr="00CC1DEE">
              <w:rPr>
                <w:rFonts w:eastAsiaTheme="minorEastAsia"/>
                <w:color w:val="FF0000"/>
                <w:lang w:eastAsia="zh-CN"/>
              </w:rPr>
              <w:t>conditions</w:t>
            </w:r>
            <w:r w:rsidRPr="00CC1DEE">
              <w:rPr>
                <w:rFonts w:eastAsiaTheme="minorEastAsia" w:hint="eastAsia"/>
                <w:color w:val="FF0000"/>
                <w:lang w:eastAsia="zh-CN"/>
              </w:rPr>
              <w:t xml:space="preserve"> is met for the </w:t>
            </w:r>
            <w:r w:rsidR="00723C65" w:rsidRPr="00CC1DEE">
              <w:rPr>
                <w:rFonts w:eastAsiaTheme="minorEastAsia"/>
                <w:color w:val="FF0000"/>
                <w:lang w:eastAsia="zh-CN"/>
              </w:rPr>
              <w:t>EDCAF, following</w:t>
            </w:r>
            <w:r w:rsidRPr="00CC1DEE">
              <w:rPr>
                <w:rFonts w:eastAsiaTheme="minorEastAsia" w:hint="eastAsia"/>
                <w:color w:val="FF0000"/>
                <w:lang w:eastAsia="zh-CN"/>
              </w:rPr>
              <w:t xml:space="preserve"> </w:t>
            </w:r>
            <w:proofErr w:type="spellStart"/>
            <w:r w:rsidRPr="00CC1DEE">
              <w:rPr>
                <w:rFonts w:eastAsiaTheme="minorEastAsia" w:hint="eastAsia"/>
                <w:color w:val="FF0000"/>
                <w:lang w:eastAsia="zh-CN"/>
              </w:rPr>
              <w:t>aSlotTime</w:t>
            </w:r>
            <w:proofErr w:type="spellEnd"/>
            <w:r w:rsidRPr="00CC1DEE">
              <w:rPr>
                <w:rFonts w:eastAsiaTheme="minorEastAsia" w:hint="eastAsia"/>
                <w:color w:val="FF0000"/>
                <w:lang w:eastAsia="zh-CN"/>
              </w:rPr>
              <w:t xml:space="preserve"> of idle </w:t>
            </w:r>
            <w:r w:rsidRPr="00CC1DEE">
              <w:rPr>
                <w:rFonts w:eastAsiaTheme="minorEastAsia"/>
                <w:color w:val="FF0000"/>
                <w:lang w:eastAsia="zh-CN"/>
              </w:rPr>
              <w:t>medium</w:t>
            </w:r>
            <w:r w:rsidRPr="00CC1DEE">
              <w:rPr>
                <w:rFonts w:eastAsiaTheme="minorEastAsia" w:hint="eastAsia"/>
                <w:color w:val="FF0000"/>
                <w:lang w:eastAsia="zh-CN"/>
              </w:rPr>
              <w:t xml:space="preserve"> after </w:t>
            </w:r>
            <w:r w:rsidRPr="00CC1DEE">
              <w:rPr>
                <w:rFonts w:eastAsiaTheme="minorEastAsia"/>
                <w:color w:val="FF0000"/>
                <w:lang w:eastAsia="zh-CN"/>
              </w:rPr>
              <w:t xml:space="preserve">last indicated </w:t>
            </w:r>
            <w:r w:rsidRPr="00CC1DEE">
              <w:rPr>
                <w:rFonts w:eastAsiaTheme="minorEastAsia" w:hint="eastAsia"/>
                <w:b/>
                <w:bCs/>
                <w:color w:val="FF0000"/>
                <w:lang w:eastAsia="zh-CN"/>
              </w:rPr>
              <w:t>IDLE</w:t>
            </w:r>
            <w:r w:rsidRPr="00CC1DEE">
              <w:rPr>
                <w:rFonts w:eastAsiaTheme="minorEastAsia"/>
                <w:color w:val="FF0000"/>
                <w:lang w:eastAsia="zh-CN"/>
              </w:rPr>
              <w:t xml:space="preserve"> medium as indicated by the CS mechanism</w:t>
            </w:r>
          </w:p>
          <w:p w14:paraId="224D6B05" w14:textId="77777777" w:rsidR="001665BB" w:rsidRDefault="001665BB" w:rsidP="001665BB">
            <w:pPr>
              <w:rPr>
                <w:lang w:eastAsia="zh-CN"/>
              </w:rPr>
            </w:pPr>
          </w:p>
          <w:p w14:paraId="701C6E1A" w14:textId="69FE33D1" w:rsidR="001665BB" w:rsidRPr="001665BB" w:rsidRDefault="001665BB" w:rsidP="001665BB">
            <w:pPr>
              <w:rPr>
                <w:lang w:eastAsia="zh-CN"/>
              </w:rPr>
            </w:pPr>
          </w:p>
        </w:tc>
      </w:tr>
    </w:tbl>
    <w:p w14:paraId="041AABBC" w14:textId="77777777" w:rsidR="001665BB" w:rsidRDefault="001665BB" w:rsidP="001665BB"/>
    <w:p w14:paraId="21BB85E6" w14:textId="0D81D4D3" w:rsidR="00DE46C2" w:rsidRDefault="00AF10C1" w:rsidP="001D6FA5">
      <w:pPr>
        <w:pStyle w:val="T"/>
        <w:rPr>
          <w:b/>
          <w:i/>
          <w:iCs/>
          <w:sz w:val="28"/>
          <w:szCs w:val="28"/>
        </w:rPr>
      </w:pPr>
      <w:r>
        <w:rPr>
          <w:rFonts w:hint="eastAsia"/>
          <w:b/>
          <w:i/>
          <w:iCs/>
          <w:sz w:val="28"/>
          <w:szCs w:val="28"/>
          <w:lang w:eastAsia="zh-CN"/>
        </w:rPr>
        <w:t>Reference</w:t>
      </w:r>
      <w:r w:rsidRPr="00AA7A4F">
        <w:rPr>
          <w:b/>
          <w:i/>
          <w:iCs/>
          <w:sz w:val="28"/>
          <w:szCs w:val="28"/>
        </w:rPr>
        <w:t>:</w:t>
      </w:r>
    </w:p>
    <w:p w14:paraId="72F1B8CE" w14:textId="6074D1FA" w:rsidR="00AF10C1" w:rsidRDefault="00AF10C1" w:rsidP="001D6FA5">
      <w:pPr>
        <w:pStyle w:val="T"/>
        <w:rPr>
          <w:rFonts w:asciiTheme="minorHAnsi" w:hAnsiTheme="minorHAnsi" w:cstheme="minorBidi"/>
          <w:color w:val="auto"/>
          <w:w w:val="100"/>
          <w:sz w:val="22"/>
          <w:szCs w:val="22"/>
          <w:lang w:eastAsia="zh-CN"/>
        </w:rPr>
      </w:pPr>
      <w:r w:rsidRPr="00AF10C1">
        <w:rPr>
          <w:rFonts w:asciiTheme="minorHAnsi" w:hAnsiTheme="minorHAnsi" w:cstheme="minorBidi" w:hint="eastAsia"/>
          <w:color w:val="auto"/>
          <w:w w:val="100"/>
          <w:sz w:val="22"/>
          <w:szCs w:val="22"/>
          <w:lang w:eastAsia="zh-CN"/>
        </w:rPr>
        <w:t xml:space="preserve">[1] </w:t>
      </w:r>
      <w:r>
        <w:rPr>
          <w:rFonts w:asciiTheme="minorHAnsi" w:hAnsiTheme="minorHAnsi" w:cstheme="minorBidi" w:hint="eastAsia"/>
          <w:color w:val="auto"/>
          <w:w w:val="100"/>
          <w:sz w:val="22"/>
          <w:szCs w:val="22"/>
          <w:lang w:eastAsia="zh-CN"/>
        </w:rPr>
        <w:t>802.11me D7.0</w:t>
      </w:r>
    </w:p>
    <w:p w14:paraId="139F1224" w14:textId="197455C1" w:rsidR="00AF10C1" w:rsidRPr="00AF10C1" w:rsidRDefault="00AF10C1" w:rsidP="001D6FA5">
      <w:pPr>
        <w:pStyle w:val="T"/>
        <w:rPr>
          <w:rFonts w:asciiTheme="minorHAnsi" w:hAnsiTheme="minorHAnsi" w:cstheme="minorBidi"/>
          <w:color w:val="auto"/>
          <w:w w:val="100"/>
          <w:sz w:val="22"/>
          <w:szCs w:val="22"/>
          <w:lang w:eastAsia="zh-CN"/>
        </w:rPr>
      </w:pPr>
      <w:r>
        <w:rPr>
          <w:rFonts w:asciiTheme="minorHAnsi" w:hAnsiTheme="minorHAnsi" w:cstheme="minorBidi" w:hint="eastAsia"/>
          <w:color w:val="auto"/>
          <w:w w:val="100"/>
          <w:sz w:val="22"/>
          <w:szCs w:val="22"/>
          <w:lang w:eastAsia="zh-CN"/>
        </w:rPr>
        <w:t xml:space="preserve">[2] </w:t>
      </w:r>
      <w:hyperlink r:id="rId20" w:history="1">
        <w:r w:rsidRPr="00CD455B">
          <w:rPr>
            <w:rStyle w:val="Hyperlink"/>
            <w:rFonts w:asciiTheme="minorHAnsi" w:hAnsiTheme="minorHAnsi" w:cstheme="minorBidi"/>
            <w:w w:val="100"/>
            <w:sz w:val="22"/>
            <w:szCs w:val="22"/>
            <w:lang w:eastAsia="zh-CN"/>
          </w:rPr>
          <w:t>11-16-0228-13-000m-resolution-for-cids-7087-7088-edca</w:t>
        </w:r>
        <w:r w:rsidR="00D440C1" w:rsidRPr="00CD455B">
          <w:rPr>
            <w:rStyle w:val="Hyperlink"/>
            <w:rFonts w:asciiTheme="minorHAnsi" w:hAnsiTheme="minorHAnsi" w:cstheme="minorBidi" w:hint="eastAsia"/>
            <w:w w:val="100"/>
            <w:sz w:val="22"/>
            <w:szCs w:val="22"/>
            <w:lang w:eastAsia="zh-CN"/>
          </w:rPr>
          <w:t xml:space="preserve">.doc </w:t>
        </w:r>
      </w:hyperlink>
      <w:r w:rsidR="00D440C1">
        <w:rPr>
          <w:rFonts w:asciiTheme="minorHAnsi" w:hAnsiTheme="minorHAnsi" w:cstheme="minorBidi" w:hint="eastAsia"/>
          <w:color w:val="auto"/>
          <w:w w:val="100"/>
          <w:sz w:val="22"/>
          <w:szCs w:val="22"/>
          <w:lang w:eastAsia="zh-CN"/>
        </w:rPr>
        <w:t xml:space="preserve"> </w:t>
      </w:r>
    </w:p>
    <w:sectPr w:rsidR="00AF10C1" w:rsidRPr="00AF10C1" w:rsidSect="00E74DE8">
      <w:headerReference w:type="default" r:id="rId21"/>
      <w:footerReference w:type="even" r:id="rId22"/>
      <w:footerReference w:type="default" r:id="rId23"/>
      <w:footerReference w:type="first" r:id="rId24"/>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932A" w14:textId="77777777" w:rsidR="00133F7A" w:rsidRDefault="00133F7A" w:rsidP="00766E54">
      <w:pPr>
        <w:spacing w:after="0"/>
      </w:pPr>
      <w:r>
        <w:separator/>
      </w:r>
    </w:p>
  </w:endnote>
  <w:endnote w:type="continuationSeparator" w:id="0">
    <w:p w14:paraId="1ADD943E" w14:textId="77777777" w:rsidR="00133F7A" w:rsidRDefault="00133F7A" w:rsidP="00766E54">
      <w:pPr>
        <w:spacing w:after="0"/>
      </w:pPr>
      <w:r>
        <w:continuationSeparator/>
      </w:r>
    </w:p>
  </w:endnote>
  <w:endnote w:type="continuationNotice" w:id="1">
    <w:p w14:paraId="503D68B2" w14:textId="77777777" w:rsidR="00133F7A" w:rsidRDefault="00133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71AF03B3" w:rsidR="002F28E1" w:rsidRPr="009C5BD9" w:rsidRDefault="002F28E1" w:rsidP="009C5BD9">
    <w:pPr>
      <w:pStyle w:val="Footer"/>
      <w:pBdr>
        <w:top w:val="single" w:sz="8" w:space="1" w:color="auto"/>
      </w:pBdr>
      <w:rPr>
        <w:sz w:val="24"/>
        <w:lang w:eastAsia="zh-CN"/>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AA7A4F">
      <w:rPr>
        <w:rFonts w:hint="eastAsia"/>
        <w:noProof/>
        <w:sz w:val="24"/>
        <w:lang w:eastAsia="zh-CN"/>
      </w:rPr>
      <w:t>Yanchao Xu</w:t>
    </w:r>
    <w:r w:rsidR="009A11E1">
      <w:rPr>
        <w:noProof/>
        <w:sz w:val="24"/>
      </w:rPr>
      <w:t xml:space="preserve">, </w:t>
    </w:r>
    <w:r w:rsidR="00AA7A4F">
      <w:rPr>
        <w:rFonts w:hint="eastAsia"/>
        <w:noProof/>
        <w:sz w:val="24"/>
        <w:lang w:eastAsia="zh-CN"/>
      </w:rPr>
      <w:t>Amlogic</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395C4" w14:textId="77777777" w:rsidR="00133F7A" w:rsidRDefault="00133F7A" w:rsidP="00766E54">
      <w:pPr>
        <w:spacing w:after="0"/>
      </w:pPr>
      <w:r>
        <w:separator/>
      </w:r>
    </w:p>
  </w:footnote>
  <w:footnote w:type="continuationSeparator" w:id="0">
    <w:p w14:paraId="147AC96A" w14:textId="77777777" w:rsidR="00133F7A" w:rsidRDefault="00133F7A" w:rsidP="00766E54">
      <w:pPr>
        <w:spacing w:after="0"/>
      </w:pPr>
      <w:r>
        <w:continuationSeparator/>
      </w:r>
    </w:p>
  </w:footnote>
  <w:footnote w:type="continuationNotice" w:id="1">
    <w:p w14:paraId="664E5265" w14:textId="77777777" w:rsidR="00133F7A" w:rsidRDefault="00133F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7B1ED209" w:rsidR="007D6180" w:rsidRPr="00B21A42" w:rsidRDefault="00B61143" w:rsidP="00B21A42">
    <w:pPr>
      <w:pStyle w:val="Header"/>
      <w:pBdr>
        <w:bottom w:val="single" w:sz="8" w:space="1" w:color="auto"/>
      </w:pBdr>
      <w:tabs>
        <w:tab w:val="clear" w:pos="4680"/>
        <w:tab w:val="center" w:pos="8280"/>
      </w:tabs>
      <w:rPr>
        <w:sz w:val="28"/>
      </w:rPr>
    </w:pPr>
    <w:r>
      <w:rPr>
        <w:sz w:val="28"/>
      </w:rPr>
      <w:t>Feb 2025</w:t>
    </w:r>
    <w:r w:rsidR="002F28E1">
      <w:rPr>
        <w:sz w:val="28"/>
      </w:rPr>
      <w:tab/>
      <w:t>IEEE P802.11-</w:t>
    </w:r>
    <w:r>
      <w:rPr>
        <w:sz w:val="28"/>
      </w:rPr>
      <w:t>25/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A1614"/>
    <w:multiLevelType w:val="hybridMultilevel"/>
    <w:tmpl w:val="4F1C7CF4"/>
    <w:lvl w:ilvl="0" w:tplc="04090019">
      <w:start w:val="1"/>
      <w:numFmt w:val="lowerLetter"/>
      <w:lvlText w:val="%1)"/>
      <w:lvlJc w:val="left"/>
      <w:pPr>
        <w:ind w:left="1160" w:hanging="440"/>
      </w:pPr>
    </w:lvl>
    <w:lvl w:ilvl="1" w:tplc="0CAA4A6A">
      <w:start w:val="1"/>
      <w:numFmt w:val="decimal"/>
      <w:lvlText w:val="%2)"/>
      <w:lvlJc w:val="left"/>
      <w:pPr>
        <w:ind w:left="1520" w:hanging="360"/>
      </w:pPr>
      <w:rPr>
        <w:rFonts w:hint="default"/>
      </w:r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075B4"/>
    <w:multiLevelType w:val="hybridMultilevel"/>
    <w:tmpl w:val="7A9E6ABA"/>
    <w:lvl w:ilvl="0" w:tplc="04090019">
      <w:start w:val="1"/>
      <w:numFmt w:val="lowerLetter"/>
      <w:lvlText w:val="%1)"/>
      <w:lvlJc w:val="left"/>
      <w:pPr>
        <w:ind w:left="488" w:hanging="440"/>
      </w:pPr>
    </w:lvl>
    <w:lvl w:ilvl="1" w:tplc="04090011">
      <w:start w:val="1"/>
      <w:numFmt w:val="decimal"/>
      <w:lvlText w:val="%2)"/>
      <w:lvlJc w:val="left"/>
      <w:pPr>
        <w:ind w:left="928" w:hanging="440"/>
      </w:pPr>
    </w:lvl>
    <w:lvl w:ilvl="2" w:tplc="0409001B" w:tentative="1">
      <w:start w:val="1"/>
      <w:numFmt w:val="lowerRoman"/>
      <w:lvlText w:val="%3."/>
      <w:lvlJc w:val="right"/>
      <w:pPr>
        <w:ind w:left="1368" w:hanging="440"/>
      </w:pPr>
    </w:lvl>
    <w:lvl w:ilvl="3" w:tplc="0409000F" w:tentative="1">
      <w:start w:val="1"/>
      <w:numFmt w:val="decimal"/>
      <w:lvlText w:val="%4."/>
      <w:lvlJc w:val="left"/>
      <w:pPr>
        <w:ind w:left="1808" w:hanging="440"/>
      </w:pPr>
    </w:lvl>
    <w:lvl w:ilvl="4" w:tplc="04090019" w:tentative="1">
      <w:start w:val="1"/>
      <w:numFmt w:val="lowerLetter"/>
      <w:lvlText w:val="%5)"/>
      <w:lvlJc w:val="left"/>
      <w:pPr>
        <w:ind w:left="2248" w:hanging="440"/>
      </w:pPr>
    </w:lvl>
    <w:lvl w:ilvl="5" w:tplc="0409001B" w:tentative="1">
      <w:start w:val="1"/>
      <w:numFmt w:val="lowerRoman"/>
      <w:lvlText w:val="%6."/>
      <w:lvlJc w:val="right"/>
      <w:pPr>
        <w:ind w:left="2688" w:hanging="440"/>
      </w:pPr>
    </w:lvl>
    <w:lvl w:ilvl="6" w:tplc="0409000F" w:tentative="1">
      <w:start w:val="1"/>
      <w:numFmt w:val="decimal"/>
      <w:lvlText w:val="%7."/>
      <w:lvlJc w:val="left"/>
      <w:pPr>
        <w:ind w:left="3128" w:hanging="440"/>
      </w:pPr>
    </w:lvl>
    <w:lvl w:ilvl="7" w:tplc="04090019" w:tentative="1">
      <w:start w:val="1"/>
      <w:numFmt w:val="lowerLetter"/>
      <w:lvlText w:val="%8)"/>
      <w:lvlJc w:val="left"/>
      <w:pPr>
        <w:ind w:left="3568" w:hanging="440"/>
      </w:pPr>
    </w:lvl>
    <w:lvl w:ilvl="8" w:tplc="0409001B" w:tentative="1">
      <w:start w:val="1"/>
      <w:numFmt w:val="lowerRoman"/>
      <w:lvlText w:val="%9."/>
      <w:lvlJc w:val="right"/>
      <w:pPr>
        <w:ind w:left="4008" w:hanging="440"/>
      </w:p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983345428">
    <w:abstractNumId w:val="7"/>
  </w:num>
  <w:num w:numId="3" w16cid:durableId="1492481346">
    <w:abstractNumId w:val="1"/>
  </w:num>
  <w:num w:numId="4" w16cid:durableId="276097">
    <w:abstractNumId w:val="15"/>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9"/>
  </w:num>
  <w:num w:numId="11" w16cid:durableId="317807937">
    <w:abstractNumId w:val="21"/>
  </w:num>
  <w:num w:numId="12" w16cid:durableId="146635077">
    <w:abstractNumId w:val="19"/>
  </w:num>
  <w:num w:numId="13" w16cid:durableId="615647605">
    <w:abstractNumId w:val="8"/>
  </w:num>
  <w:num w:numId="14" w16cid:durableId="124322024">
    <w:abstractNumId w:val="26"/>
  </w:num>
  <w:num w:numId="15" w16cid:durableId="1382287547">
    <w:abstractNumId w:val="12"/>
  </w:num>
  <w:num w:numId="16" w16cid:durableId="1304197542">
    <w:abstractNumId w:val="18"/>
  </w:num>
  <w:num w:numId="17" w16cid:durableId="1933854608">
    <w:abstractNumId w:val="5"/>
  </w:num>
  <w:num w:numId="18" w16cid:durableId="1006712424">
    <w:abstractNumId w:val="23"/>
  </w:num>
  <w:num w:numId="19" w16cid:durableId="254704002">
    <w:abstractNumId w:val="6"/>
  </w:num>
  <w:num w:numId="20" w16cid:durableId="200461">
    <w:abstractNumId w:val="16"/>
  </w:num>
  <w:num w:numId="21" w16cid:durableId="168182368">
    <w:abstractNumId w:val="17"/>
  </w:num>
  <w:num w:numId="22" w16cid:durableId="1331442579">
    <w:abstractNumId w:val="24"/>
  </w:num>
  <w:num w:numId="23" w16cid:durableId="988022153">
    <w:abstractNumId w:val="4"/>
  </w:num>
  <w:num w:numId="24" w16cid:durableId="317802931">
    <w:abstractNumId w:val="25"/>
  </w:num>
  <w:num w:numId="25" w16cid:durableId="2075001639">
    <w:abstractNumId w:val="14"/>
  </w:num>
  <w:num w:numId="26" w16cid:durableId="1448504856">
    <w:abstractNumId w:val="20"/>
  </w:num>
  <w:num w:numId="27" w16cid:durableId="49888499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C36"/>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702"/>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E06"/>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77E"/>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47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686"/>
    <w:rsid w:val="001116AB"/>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80F"/>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3F7A"/>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1C2"/>
    <w:rsid w:val="00164470"/>
    <w:rsid w:val="00164623"/>
    <w:rsid w:val="001648A4"/>
    <w:rsid w:val="00164D1D"/>
    <w:rsid w:val="0016504E"/>
    <w:rsid w:val="00165343"/>
    <w:rsid w:val="0016576F"/>
    <w:rsid w:val="00165A0C"/>
    <w:rsid w:val="00166146"/>
    <w:rsid w:val="001665BB"/>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7B"/>
    <w:rsid w:val="001B318C"/>
    <w:rsid w:val="001B38C1"/>
    <w:rsid w:val="001B39C1"/>
    <w:rsid w:val="001B42BA"/>
    <w:rsid w:val="001B4350"/>
    <w:rsid w:val="001B44DB"/>
    <w:rsid w:val="001B49A9"/>
    <w:rsid w:val="001B5B97"/>
    <w:rsid w:val="001B60D4"/>
    <w:rsid w:val="001B613C"/>
    <w:rsid w:val="001B6346"/>
    <w:rsid w:val="001B68A9"/>
    <w:rsid w:val="001B6BFB"/>
    <w:rsid w:val="001B7BF6"/>
    <w:rsid w:val="001B7D71"/>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CAC"/>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E793F"/>
    <w:rsid w:val="001F04D2"/>
    <w:rsid w:val="001F0ED8"/>
    <w:rsid w:val="001F1E43"/>
    <w:rsid w:val="001F2069"/>
    <w:rsid w:val="001F2448"/>
    <w:rsid w:val="001F25AD"/>
    <w:rsid w:val="001F2C35"/>
    <w:rsid w:val="001F2F1B"/>
    <w:rsid w:val="001F2FB8"/>
    <w:rsid w:val="001F3EA3"/>
    <w:rsid w:val="001F4113"/>
    <w:rsid w:val="001F44AB"/>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6C44"/>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47DA3"/>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12E"/>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0F7"/>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9B8"/>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467"/>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53"/>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877"/>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61F"/>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A32"/>
    <w:rsid w:val="00365C1A"/>
    <w:rsid w:val="00365F20"/>
    <w:rsid w:val="0036607F"/>
    <w:rsid w:val="00366930"/>
    <w:rsid w:val="003670ED"/>
    <w:rsid w:val="0036712D"/>
    <w:rsid w:val="00367C97"/>
    <w:rsid w:val="003707A8"/>
    <w:rsid w:val="00370879"/>
    <w:rsid w:val="00370D5A"/>
    <w:rsid w:val="0037117E"/>
    <w:rsid w:val="00371936"/>
    <w:rsid w:val="00371AFB"/>
    <w:rsid w:val="00371CC9"/>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996"/>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40AB"/>
    <w:rsid w:val="003F43E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35E"/>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07"/>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400"/>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3DEF"/>
    <w:rsid w:val="004C4592"/>
    <w:rsid w:val="004C45AE"/>
    <w:rsid w:val="004C5294"/>
    <w:rsid w:val="004C5AEB"/>
    <w:rsid w:val="004C5B42"/>
    <w:rsid w:val="004C69C7"/>
    <w:rsid w:val="004C70F7"/>
    <w:rsid w:val="004C7985"/>
    <w:rsid w:val="004D0206"/>
    <w:rsid w:val="004D081C"/>
    <w:rsid w:val="004D0BD7"/>
    <w:rsid w:val="004D101E"/>
    <w:rsid w:val="004D160B"/>
    <w:rsid w:val="004D1BB4"/>
    <w:rsid w:val="004D1CA6"/>
    <w:rsid w:val="004D1F84"/>
    <w:rsid w:val="004D21C5"/>
    <w:rsid w:val="004D2267"/>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4C7"/>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4CF8"/>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1B88"/>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0BD"/>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47D1D"/>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85B"/>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884"/>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1C7E"/>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3FD"/>
    <w:rsid w:val="0072098D"/>
    <w:rsid w:val="00720A74"/>
    <w:rsid w:val="0072142A"/>
    <w:rsid w:val="00721D96"/>
    <w:rsid w:val="00722AE1"/>
    <w:rsid w:val="0072349E"/>
    <w:rsid w:val="0072362A"/>
    <w:rsid w:val="00723642"/>
    <w:rsid w:val="0072392A"/>
    <w:rsid w:val="00723C65"/>
    <w:rsid w:val="00723CC0"/>
    <w:rsid w:val="00723ECD"/>
    <w:rsid w:val="007240B2"/>
    <w:rsid w:val="00724B5D"/>
    <w:rsid w:val="00725269"/>
    <w:rsid w:val="007254AB"/>
    <w:rsid w:val="00725AB7"/>
    <w:rsid w:val="00726187"/>
    <w:rsid w:val="007264B2"/>
    <w:rsid w:val="007266CE"/>
    <w:rsid w:val="00726CC4"/>
    <w:rsid w:val="00726DD3"/>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302"/>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11D"/>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0D6"/>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5A7"/>
    <w:rsid w:val="007E38AA"/>
    <w:rsid w:val="007E4756"/>
    <w:rsid w:val="007E4887"/>
    <w:rsid w:val="007E4D68"/>
    <w:rsid w:val="007E503D"/>
    <w:rsid w:val="007E512A"/>
    <w:rsid w:val="007E51C1"/>
    <w:rsid w:val="007E5341"/>
    <w:rsid w:val="007E597B"/>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3C7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0AF2"/>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74E"/>
    <w:rsid w:val="008F4A5F"/>
    <w:rsid w:val="008F4DEC"/>
    <w:rsid w:val="008F5FDB"/>
    <w:rsid w:val="008F63DB"/>
    <w:rsid w:val="008F6AFD"/>
    <w:rsid w:val="008F6DA2"/>
    <w:rsid w:val="008F7779"/>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981"/>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6CAE"/>
    <w:rsid w:val="00947827"/>
    <w:rsid w:val="00950788"/>
    <w:rsid w:val="009507BC"/>
    <w:rsid w:val="009507E1"/>
    <w:rsid w:val="00950B65"/>
    <w:rsid w:val="00950EB0"/>
    <w:rsid w:val="00950F9D"/>
    <w:rsid w:val="009513D1"/>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C76"/>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31F"/>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B05"/>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015"/>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A7A4F"/>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5ED9"/>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59E"/>
    <w:rsid w:val="00AD3FAB"/>
    <w:rsid w:val="00AD470A"/>
    <w:rsid w:val="00AD47F9"/>
    <w:rsid w:val="00AD4A43"/>
    <w:rsid w:val="00AD4C0A"/>
    <w:rsid w:val="00AD6508"/>
    <w:rsid w:val="00AD6ED9"/>
    <w:rsid w:val="00AD70B4"/>
    <w:rsid w:val="00AD796D"/>
    <w:rsid w:val="00AD7FAC"/>
    <w:rsid w:val="00AE0978"/>
    <w:rsid w:val="00AE10C8"/>
    <w:rsid w:val="00AE1216"/>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0C1"/>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0A"/>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0E49"/>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53E"/>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5DF"/>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2E"/>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1DEE"/>
    <w:rsid w:val="00CC2068"/>
    <w:rsid w:val="00CC2560"/>
    <w:rsid w:val="00CC2609"/>
    <w:rsid w:val="00CC36CA"/>
    <w:rsid w:val="00CC3B26"/>
    <w:rsid w:val="00CC3CE5"/>
    <w:rsid w:val="00CC3DD9"/>
    <w:rsid w:val="00CC4671"/>
    <w:rsid w:val="00CC4AB9"/>
    <w:rsid w:val="00CC4F1D"/>
    <w:rsid w:val="00CC4F5A"/>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5B"/>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437"/>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3AD"/>
    <w:rsid w:val="00D37741"/>
    <w:rsid w:val="00D37765"/>
    <w:rsid w:val="00D37CB9"/>
    <w:rsid w:val="00D37D9C"/>
    <w:rsid w:val="00D4036A"/>
    <w:rsid w:val="00D4112B"/>
    <w:rsid w:val="00D42D77"/>
    <w:rsid w:val="00D43578"/>
    <w:rsid w:val="00D437D6"/>
    <w:rsid w:val="00D440C1"/>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0BB2"/>
    <w:rsid w:val="00D51538"/>
    <w:rsid w:val="00D519F6"/>
    <w:rsid w:val="00D51EA0"/>
    <w:rsid w:val="00D51EF2"/>
    <w:rsid w:val="00D525F2"/>
    <w:rsid w:val="00D5327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FF4"/>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E7229"/>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5F63"/>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EE6"/>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36B"/>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1F2F"/>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261"/>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1F00"/>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31D"/>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15"/>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styleId="FollowedHyperlink">
    <w:name w:val="FollowedHyperlink"/>
    <w:basedOn w:val="DefaultParagraphFont"/>
    <w:uiPriority w:val="99"/>
    <w:semiHidden/>
    <w:unhideWhenUsed/>
    <w:rsid w:val="00CD4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03853406">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0071141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entor.ieee.org/802.11/dcn/16/11-16-0228-13-000m-resolution-for-cids-7087-7088-ed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155</TotalTime>
  <Pages>7</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Yanchao Xu</dc:creator>
  <cp:keywords>25/0255</cp:keywords>
  <dc:description/>
  <cp:lastModifiedBy>Yanchao Xu</cp:lastModifiedBy>
  <cp:revision>106</cp:revision>
  <dcterms:created xsi:type="dcterms:W3CDTF">2025-02-26T08:47:00Z</dcterms:created>
  <dcterms:modified xsi:type="dcterms:W3CDTF">2025-03-03T07:51:00Z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