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6EB7234" w:rsidR="00C723BC" w:rsidRPr="00183F4C" w:rsidRDefault="0041125C" w:rsidP="00BA1853">
            <w:pPr>
              <w:pStyle w:val="T2"/>
            </w:pPr>
            <w:r>
              <w:t xml:space="preserve">Detailed Text </w:t>
            </w:r>
            <w:r w:rsidR="00B27BA8">
              <w:t xml:space="preserve">Proposal </w:t>
            </w:r>
            <w:r w:rsidR="009308FE">
              <w:t>of BSR Enhancement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45FBD46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F56A1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9308FE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308FE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4C76EB3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3339694" w14:textId="34FE1A0C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2D2475F2" w14:textId="363905FA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Qualcomm</w:t>
            </w:r>
          </w:p>
        </w:tc>
        <w:tc>
          <w:tcPr>
            <w:tcW w:w="2610" w:type="dxa"/>
            <w:vAlign w:val="center"/>
          </w:tcPr>
          <w:p w14:paraId="6ACD9802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4D6F6C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8753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30112FB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269EAF2" w14:textId="3A3B3483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Bilal Sadiq</w:t>
            </w:r>
          </w:p>
        </w:tc>
        <w:tc>
          <w:tcPr>
            <w:tcW w:w="1440" w:type="dxa"/>
            <w:vAlign w:val="center"/>
          </w:tcPr>
          <w:p w14:paraId="646738C7" w14:textId="3045220F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66FA15AA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1DFFC3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E9AFFC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61B7DA2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CF8ABF" w14:textId="3B10D54B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Abdel Ajami</w:t>
            </w:r>
          </w:p>
        </w:tc>
        <w:tc>
          <w:tcPr>
            <w:tcW w:w="1440" w:type="dxa"/>
            <w:vAlign w:val="center"/>
          </w:tcPr>
          <w:p w14:paraId="2C0AB29B" w14:textId="1F8B4552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Ap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ple</w:t>
            </w:r>
          </w:p>
        </w:tc>
        <w:tc>
          <w:tcPr>
            <w:tcW w:w="2610" w:type="dxa"/>
            <w:vAlign w:val="center"/>
          </w:tcPr>
          <w:p w14:paraId="3172A965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D94D4D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7752F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AA7835" w:rsidRPr="00183F4C" w14:paraId="5C58696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1239A5" w14:textId="37F41F50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573A6B06" w14:textId="4288FF62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pple</w:t>
            </w:r>
          </w:p>
        </w:tc>
        <w:tc>
          <w:tcPr>
            <w:tcW w:w="2610" w:type="dxa"/>
            <w:vAlign w:val="center"/>
          </w:tcPr>
          <w:p w14:paraId="77289739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3E61F0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401452" w14:textId="77777777" w:rsidR="00AA7835" w:rsidRDefault="00AA7835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2E6E6C41" w:rsidR="005E768D" w:rsidRPr="004D2D75" w:rsidRDefault="005E768D">
      <w:pPr>
        <w:pStyle w:val="T1"/>
        <w:spacing w:after="120"/>
        <w:rPr>
          <w:sz w:val="22"/>
        </w:rPr>
      </w:pPr>
    </w:p>
    <w:p w14:paraId="6CD591AA" w14:textId="5D3BB7CD" w:rsidR="005E768D" w:rsidRPr="004D2D75" w:rsidRDefault="00F56A1F" w:rsidP="005E768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FF0D815">
                <wp:simplePos x="0" y="0"/>
                <wp:positionH relativeFrom="margin">
                  <wp:posOffset>177800</wp:posOffset>
                </wp:positionH>
                <wp:positionV relativeFrom="paragraph">
                  <wp:posOffset>5080</wp:posOffset>
                </wp:positionV>
                <wp:extent cx="60833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85B4C5" w14:textId="714BBA29" w:rsidR="00BF3F29" w:rsidRDefault="00B054B4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 w:rsidR="000078F1">
                              <w:rPr>
                                <w:lang w:eastAsia="ko-KR"/>
                              </w:rPr>
                              <w:t>draft text</w:t>
                            </w:r>
                            <w:r w:rsidR="009308FE">
                              <w:rPr>
                                <w:lang w:eastAsia="ko-KR"/>
                              </w:rPr>
                              <w:t xml:space="preserve"> of BSR enhancement in 11bn</w:t>
                            </w:r>
                            <w:r w:rsidR="00E52CC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414BCA8" w14:textId="77777777" w:rsidR="009308FE" w:rsidRDefault="009308FE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A263BD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4pt;width:479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85B4C5" w14:textId="714BBA29" w:rsidR="00BF3F29" w:rsidRDefault="00B054B4" w:rsidP="009308F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</w:t>
                      </w:r>
                      <w:r w:rsidR="000078F1">
                        <w:rPr>
                          <w:lang w:eastAsia="ko-KR"/>
                        </w:rPr>
                        <w:t>draft text</w:t>
                      </w:r>
                      <w:r w:rsidR="009308FE">
                        <w:rPr>
                          <w:lang w:eastAsia="ko-KR"/>
                        </w:rPr>
                        <w:t xml:space="preserve"> of BSR enhancement in 11bn</w:t>
                      </w:r>
                      <w:r w:rsidR="00E52CC5">
                        <w:rPr>
                          <w:lang w:eastAsia="ko-KR"/>
                        </w:rPr>
                        <w:t>.</w:t>
                      </w:r>
                    </w:p>
                    <w:p w14:paraId="6414BCA8" w14:textId="77777777" w:rsidR="009308FE" w:rsidRDefault="009308FE" w:rsidP="009308FE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A263BD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0ED5" w14:textId="77777777" w:rsidR="005E768D" w:rsidRPr="004D2D75" w:rsidRDefault="005E768D"/>
    <w:p w14:paraId="3EEF1C6A" w14:textId="308B6638" w:rsidR="00ED2EC8" w:rsidRDefault="005E768D" w:rsidP="009308FE">
      <w:pPr>
        <w:suppressAutoHyphens/>
        <w:rPr>
          <w:rFonts w:ascii="Arial" w:hAnsi="Arial" w:cs="Arial"/>
          <w:b/>
          <w:bCs/>
          <w:sz w:val="26"/>
          <w:szCs w:val="24"/>
          <w:u w:val="single"/>
        </w:rPr>
      </w:pPr>
      <w:r w:rsidRPr="004D2D75">
        <w:br w:type="page"/>
      </w:r>
    </w:p>
    <w:p w14:paraId="18FAFE5E" w14:textId="764E7FF9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proofErr w:type="spellStart"/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lastRenderedPageBreak/>
        <w:t>Discucssion</w:t>
      </w:r>
      <w:proofErr w:type="spellEnd"/>
    </w:p>
    <w:p w14:paraId="0F20DBA5" w14:textId="2D4177D4" w:rsidR="00536AF0" w:rsidRPr="0003289F" w:rsidRDefault="009F2BD9" w:rsidP="002F0DC2">
      <w:pPr>
        <w:rPr>
          <w:szCs w:val="22"/>
        </w:rPr>
      </w:pPr>
      <w:r w:rsidRPr="009F2BD9">
        <w:rPr>
          <w:rFonts w:eastAsia="新細明體"/>
          <w:szCs w:val="22"/>
          <w:lang w:val="en-US" w:eastAsia="zh-TW"/>
        </w:rPr>
        <w:t xml:space="preserve">The authors look forward to working with all interested participants to prepare an official proposal for specification text on </w:t>
      </w:r>
      <w:r>
        <w:rPr>
          <w:rFonts w:eastAsia="新細明體"/>
          <w:szCs w:val="22"/>
          <w:lang w:val="en-US" w:eastAsia="zh-TW"/>
        </w:rPr>
        <w:t>BSR enhancement</w:t>
      </w:r>
      <w:r w:rsidRPr="009F2BD9">
        <w:rPr>
          <w:rFonts w:eastAsia="新細明體"/>
          <w:szCs w:val="22"/>
          <w:lang w:val="en-US" w:eastAsia="zh-TW"/>
        </w:rPr>
        <w:t xml:space="preserve"> and intend this proposal to offer some ideas towards that goal.</w:t>
      </w:r>
      <w:r>
        <w:rPr>
          <w:rFonts w:eastAsia="新細明體"/>
          <w:szCs w:val="22"/>
          <w:lang w:val="en-US" w:eastAsia="zh-TW"/>
        </w:rPr>
        <w:t xml:space="preserve"> </w:t>
      </w:r>
    </w:p>
    <w:p w14:paraId="1D380D5E" w14:textId="77777777" w:rsidR="00E52CC5" w:rsidRDefault="00E52CC5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4D8ACBBA" w14:textId="725DE704" w:rsidR="00E52CC5" w:rsidRDefault="00E52CC5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bookmarkStart w:id="0" w:name="OLE_LINK2"/>
      <w:r>
        <w:rPr>
          <w:rFonts w:ascii="Arial" w:eastAsia="新細明體" w:hAnsi="Arial" w:cs="Arial" w:hint="eastAsia"/>
          <w:b/>
          <w:bCs/>
          <w:sz w:val="26"/>
          <w:szCs w:val="24"/>
          <w:u w:val="single"/>
          <w:lang w:eastAsia="zh-TW"/>
        </w:rPr>
        <w:t>M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otions in 11bn</w:t>
      </w:r>
    </w:p>
    <w:p w14:paraId="5D84D6FA" w14:textId="77777777" w:rsidR="00536AF0" w:rsidRDefault="00536AF0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bookmarkEnd w:id="0"/>
    <w:p w14:paraId="2FAEFBDB" w14:textId="77777777" w:rsidR="00DB7DF2" w:rsidRDefault="00DB7DF2" w:rsidP="00DB7DF2">
      <w:pPr>
        <w:numPr>
          <w:ilvl w:val="0"/>
          <w:numId w:val="42"/>
        </w:numPr>
        <w:rPr>
          <w:lang w:val="en-US"/>
        </w:rPr>
      </w:pPr>
      <w:proofErr w:type="spellStart"/>
      <w:r>
        <w:rPr>
          <w:bCs/>
          <w:lang w:val="en-US"/>
        </w:rPr>
        <w:t>TGbn</w:t>
      </w:r>
      <w:proofErr w:type="spellEnd"/>
      <w:r>
        <w:rPr>
          <w:bCs/>
          <w:lang w:val="en-US"/>
        </w:rPr>
        <w:t xml:space="preserve"> enables per-TID buffer size reporting of a larger queue in UHR.</w:t>
      </w:r>
    </w:p>
    <w:p w14:paraId="6700CA83" w14:textId="77777777" w:rsid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It is an optional feature.</w:t>
      </w:r>
    </w:p>
    <w:p w14:paraId="2A50808B" w14:textId="71202845" w:rsidR="001A7F39" w:rsidRP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In the baseline, the maximum approximate per-TID queue size to report is 2,147,328 octets</w:t>
      </w:r>
    </w:p>
    <w:p w14:paraId="0B2ECE27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1C93867C" w14:textId="289213E2" w:rsidR="00F77317" w:rsidRDefault="00F77317" w:rsidP="00F77317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Re</w:t>
      </w:r>
      <w:r w:rsidR="00F83CD1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ference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Documents</w:t>
      </w:r>
    </w:p>
    <w:p w14:paraId="5C452B45" w14:textId="77777777" w:rsidR="00536AF0" w:rsidRDefault="00536AF0" w:rsidP="001A7F39">
      <w:pPr>
        <w:jc w:val="both"/>
        <w:rPr>
          <w:rFonts w:eastAsia="新細明體"/>
          <w:szCs w:val="22"/>
          <w:lang w:eastAsia="zh-TW"/>
        </w:rPr>
      </w:pPr>
    </w:p>
    <w:p w14:paraId="7B12EE3B" w14:textId="69CD1827" w:rsidR="00F77317" w:rsidRDefault="00F77317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11-</w:t>
      </w:r>
      <w:r>
        <w:rPr>
          <w:rFonts w:eastAsia="新細明體" w:hint="eastAsia"/>
          <w:szCs w:val="22"/>
          <w:lang w:eastAsia="zh-TW"/>
        </w:rPr>
        <w:t>2</w:t>
      </w:r>
      <w:r>
        <w:rPr>
          <w:rFonts w:eastAsia="新細明體"/>
          <w:szCs w:val="22"/>
          <w:lang w:eastAsia="zh-TW"/>
        </w:rPr>
        <w:t xml:space="preserve">3/2007 </w:t>
      </w:r>
      <w:r w:rsidRPr="00F77317">
        <w:rPr>
          <w:rFonts w:eastAsia="新細明體"/>
          <w:szCs w:val="22"/>
          <w:lang w:eastAsia="zh-TW"/>
        </w:rPr>
        <w:t>Enhancement of BSR</w:t>
      </w:r>
    </w:p>
    <w:p w14:paraId="3E26F9AD" w14:textId="5E12AE28" w:rsidR="00FB525A" w:rsidRDefault="00FB525A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1</w:t>
      </w:r>
      <w:r>
        <w:rPr>
          <w:rFonts w:eastAsia="新細明體"/>
          <w:szCs w:val="22"/>
          <w:lang w:eastAsia="zh-TW"/>
        </w:rPr>
        <w:t>1-24/0963 Enhancement of BSR follow</w:t>
      </w:r>
      <w:r w:rsidR="00AD597B">
        <w:rPr>
          <w:rFonts w:eastAsia="新細明體"/>
          <w:szCs w:val="22"/>
          <w:lang w:eastAsia="zh-TW"/>
        </w:rPr>
        <w:t>-</w:t>
      </w:r>
      <w:r>
        <w:rPr>
          <w:rFonts w:eastAsia="新細明體"/>
          <w:szCs w:val="22"/>
          <w:lang w:eastAsia="zh-TW"/>
        </w:rPr>
        <w:t>up</w:t>
      </w:r>
      <w:r w:rsidR="008733B4">
        <w:rPr>
          <w:rFonts w:eastAsia="新細明體"/>
          <w:szCs w:val="22"/>
          <w:lang w:eastAsia="zh-TW"/>
        </w:rPr>
        <w:t xml:space="preserve"> </w:t>
      </w:r>
      <w:r w:rsidR="007E69A9">
        <w:rPr>
          <w:rFonts w:eastAsia="新細明體"/>
          <w:szCs w:val="22"/>
          <w:lang w:eastAsia="zh-TW"/>
        </w:rPr>
        <w:t>(waiting for presentation in IEEE)</w:t>
      </w:r>
    </w:p>
    <w:p w14:paraId="4E382EC9" w14:textId="77777777" w:rsidR="00DB7DF2" w:rsidRDefault="00DB7DF2" w:rsidP="001A7F39">
      <w:pPr>
        <w:jc w:val="both"/>
        <w:rPr>
          <w:rFonts w:eastAsia="新細明體"/>
          <w:szCs w:val="22"/>
          <w:lang w:eastAsia="zh-TW"/>
        </w:rPr>
      </w:pPr>
    </w:p>
    <w:p w14:paraId="44D4DAF6" w14:textId="77777777" w:rsidR="007E6114" w:rsidRDefault="007E6114" w:rsidP="001A7F39">
      <w:pPr>
        <w:jc w:val="both"/>
        <w:rPr>
          <w:rFonts w:eastAsia="新細明體"/>
          <w:szCs w:val="22"/>
          <w:lang w:eastAsia="zh-TW"/>
        </w:rPr>
      </w:pPr>
    </w:p>
    <w:p w14:paraId="65B60919" w14:textId="2DA6C0D2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Proposal</w:t>
      </w:r>
    </w:p>
    <w:p w14:paraId="366DD2DA" w14:textId="77777777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p w14:paraId="7024905A" w14:textId="37615CFE" w:rsidR="00194835" w:rsidRDefault="00194835" w:rsidP="00194835">
      <w:pPr>
        <w:pStyle w:val="T"/>
        <w:rPr>
          <w:rStyle w:val="None"/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insert a new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p w14:paraId="7C40B980" w14:textId="77777777" w:rsidR="00194835" w:rsidRPr="00194835" w:rsidRDefault="0019483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val="en-US" w:eastAsia="zh-TW"/>
        </w:rPr>
      </w:pPr>
    </w:p>
    <w:p w14:paraId="2E3ED88D" w14:textId="157FA11D" w:rsidR="00E52CC5" w:rsidRDefault="00CF37BD" w:rsidP="00E52CC5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>9.4.</w:t>
      </w:r>
      <w:r w:rsidR="00FC533D">
        <w:rPr>
          <w:rFonts w:ascii="Arial" w:eastAsia="新細明體" w:hAnsi="Arial" w:cs="Arial"/>
          <w:b/>
          <w:bCs/>
          <w:szCs w:val="22"/>
          <w:lang w:eastAsia="zh-TW"/>
        </w:rPr>
        <w:t>x.x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bookmarkStart w:id="1" w:name="OLE_LINK3"/>
      <w:r>
        <w:rPr>
          <w:rFonts w:ascii="Arial" w:eastAsia="新細明體" w:hAnsi="Arial" w:cs="Arial"/>
          <w:b/>
          <w:bCs/>
          <w:szCs w:val="22"/>
          <w:lang w:eastAsia="zh-TW"/>
        </w:rPr>
        <w:t>UHR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MAC Capabilities </w:t>
      </w:r>
      <w:r w:rsidR="005D4C13" w:rsidRPr="005D4C13">
        <w:rPr>
          <w:rFonts w:ascii="Arial" w:eastAsia="新細明體" w:hAnsi="Arial" w:cs="Arial"/>
          <w:b/>
          <w:bCs/>
          <w:szCs w:val="22"/>
          <w:lang w:eastAsia="zh-TW"/>
        </w:rPr>
        <w:t>Information field</w:t>
      </w:r>
      <w:bookmarkEnd w:id="1"/>
    </w:p>
    <w:p w14:paraId="3C066D84" w14:textId="77777777" w:rsidR="00E52CC5" w:rsidRDefault="00E52CC5" w:rsidP="00E52CC5">
      <w:pPr>
        <w:jc w:val="both"/>
        <w:rPr>
          <w:rFonts w:eastAsia="新細明體"/>
          <w:szCs w:val="22"/>
          <w:lang w:eastAsia="zh-TW"/>
        </w:rPr>
      </w:pPr>
    </w:p>
    <w:p w14:paraId="0EA31BFC" w14:textId="4688C78D" w:rsidR="00CF37BD" w:rsidRDefault="00877D7D" w:rsidP="00E52CC5">
      <w:pPr>
        <w:jc w:val="both"/>
        <w:rPr>
          <w:rStyle w:val="Hyperlink2"/>
        </w:rPr>
      </w:pP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format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of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UHR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MAC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Capabilities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Information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field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defined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</w:t>
      </w:r>
      <w:r>
        <w:rPr>
          <w:rStyle w:val="None"/>
          <w:spacing w:val="-1"/>
        </w:rPr>
        <w:t xml:space="preserve"> </w:t>
      </w:r>
      <w:hyperlink r:id="rId8" w:anchor="bookmark2" w:history="1">
        <w:r>
          <w:rPr>
            <w:rStyle w:val="Hyperlink2"/>
          </w:rPr>
          <w:t>Figure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(UHR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MAC</w:t>
        </w:r>
      </w:hyperlink>
      <w:r>
        <w:rPr>
          <w:rStyle w:val="Hyperlink2"/>
        </w:rPr>
        <w:t xml:space="preserve"> </w:t>
      </w:r>
      <w:hyperlink r:id="rId9" w:anchor="bookmark3" w:history="1">
        <w:r>
          <w:rPr>
            <w:rStyle w:val="Hyperlink2"/>
          </w:rPr>
          <w:t>Capabilities Information field format)</w:t>
        </w:r>
      </w:hyperlink>
      <w:r>
        <w:rPr>
          <w:rStyle w:val="Hyperlink2"/>
        </w:rPr>
        <w:t>.</w:t>
      </w:r>
    </w:p>
    <w:p w14:paraId="670F06E7" w14:textId="77777777" w:rsidR="00877D7D" w:rsidRPr="00CF37BD" w:rsidRDefault="00877D7D" w:rsidP="00E52CC5">
      <w:pPr>
        <w:jc w:val="both"/>
        <w:rPr>
          <w:rFonts w:eastAsia="新細明體"/>
          <w:szCs w:val="22"/>
          <w:lang w:eastAsia="zh-TW"/>
        </w:rPr>
      </w:pPr>
    </w:p>
    <w:p w14:paraId="43676A04" w14:textId="534F5FFB" w:rsidR="00CF37BD" w:rsidRDefault="00CF37BD" w:rsidP="00044519">
      <w:pPr>
        <w:pStyle w:val="af4"/>
        <w:tabs>
          <w:tab w:val="left" w:pos="3800"/>
          <w:tab w:val="left" w:pos="4962"/>
          <w:tab w:val="left" w:pos="6037"/>
        </w:tabs>
        <w:kinsoku w:val="0"/>
        <w:overflowPunct w:val="0"/>
        <w:ind w:left="2305"/>
        <w:rPr>
          <w:rFonts w:ascii="Arial" w:hAnsi="Arial" w:cs="Arial"/>
          <w:spacing w:val="-5"/>
          <w:sz w:val="16"/>
          <w:szCs w:val="16"/>
          <w:lang w:val="en-US" w:eastAsia="zh-TW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B30F547" wp14:editId="7019BC71">
                <wp:simplePos x="0" y="0"/>
                <wp:positionH relativeFrom="page">
                  <wp:posOffset>1581150</wp:posOffset>
                </wp:positionH>
                <wp:positionV relativeFrom="paragraph">
                  <wp:posOffset>169545</wp:posOffset>
                </wp:positionV>
                <wp:extent cx="3140710" cy="488950"/>
                <wp:effectExtent l="0" t="127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2320"/>
                            </w:tblGrid>
                            <w:tr w:rsidR="00044519" w14:paraId="6EF61E85" w14:textId="00AFB085" w:rsidTr="00085F4B">
                              <w:trPr>
                                <w:trHeight w:val="71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3E5D5E" w14:textId="77777777" w:rsidR="00044519" w:rsidRDefault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9097F2" w14:textId="0F5A82BE" w:rsidR="00044519" w:rsidRDefault="00044519" w:rsidP="003256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6" w:lineRule="auto"/>
                                    <w:ind w:left="516" w:right="386" w:hanging="10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  <w:t>BSR Enhancement Support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5AC54" w14:textId="77777777" w:rsid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F138BF2" w14:textId="29BCBFA8" w:rsidR="00044519" w:rsidRP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  <w:r w:rsidRPr="00044519"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2FDC17C" w14:textId="78673CF2" w:rsidR="00CF37BD" w:rsidRPr="00044519" w:rsidRDefault="00044519" w:rsidP="00CF37BD">
                            <w:pPr>
                              <w:pStyle w:val="af4"/>
                              <w:kinsoku w:val="0"/>
                              <w:overflowPunct w:val="0"/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F547" id="文字方塊 2" o:spid="_x0000_s1027" type="#_x0000_t202" style="position:absolute;left:0;text-align:left;margin-left:124.5pt;margin-top:13.35pt;width:247.3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2320"/>
                      </w:tblGrid>
                      <w:tr w:rsidR="00044519" w14:paraId="6EF61E85" w14:textId="00AFB085" w:rsidTr="00085F4B">
                        <w:trPr>
                          <w:trHeight w:val="710"/>
                        </w:trPr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3E5D5E" w14:textId="77777777" w:rsidR="00044519" w:rsidRDefault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439097F2" w14:textId="0F5A82BE" w:rsidR="00044519" w:rsidRDefault="00044519" w:rsidP="003256AD">
                            <w:pPr>
                              <w:pStyle w:val="TableParagraph"/>
                              <w:kinsoku w:val="0"/>
                              <w:overflowPunct w:val="0"/>
                              <w:spacing w:line="206" w:lineRule="auto"/>
                              <w:ind w:left="516" w:right="386" w:hanging="102"/>
                              <w:jc w:val="center"/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  <w:t>BSR Enhancement Support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D5AC54" w14:textId="77777777" w:rsid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6F138BF2" w14:textId="29BCBFA8" w:rsidR="00044519" w:rsidRP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044519"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2FDC17C" w14:textId="78673CF2" w:rsidR="00CF37BD" w:rsidRPr="00044519" w:rsidRDefault="00044519" w:rsidP="00CF37BD">
                      <w:pPr>
                        <w:pStyle w:val="af4"/>
                        <w:kinsoku w:val="0"/>
                        <w:overflowPunct w:val="0"/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</w:pPr>
                      <w:r>
                        <w:rPr>
                          <w:rFonts w:eastAsia="新細明體" w:hint="eastAsia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R</w:t>
                      </w:r>
                      <w:r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 xml:space="preserve">B1      </w:t>
      </w:r>
      <w:r w:rsidR="00044519">
        <w:rPr>
          <w:rFonts w:ascii="Arial" w:hAnsi="Arial" w:cs="Arial"/>
          <w:sz w:val="16"/>
          <w:szCs w:val="16"/>
        </w:rPr>
        <w:tab/>
        <w:t xml:space="preserve"> B7</w:t>
      </w:r>
    </w:p>
    <w:p w14:paraId="715B0074" w14:textId="53AAE0CD" w:rsidR="00CF37BD" w:rsidRDefault="00CF37BD" w:rsidP="00435596">
      <w:pPr>
        <w:pStyle w:val="af4"/>
        <w:tabs>
          <w:tab w:val="left" w:pos="2397"/>
          <w:tab w:val="left" w:pos="4478"/>
          <w:tab w:val="right" w:pos="5685"/>
        </w:tabs>
        <w:kinsoku w:val="0"/>
        <w:overflowPunct w:val="0"/>
        <w:spacing w:before="975"/>
        <w:ind w:left="1165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</w:p>
    <w:p w14:paraId="4B2D5CA6" w14:textId="5D5ECE78" w:rsidR="00CF37BD" w:rsidRDefault="00CF37BD" w:rsidP="00CF37BD">
      <w:pPr>
        <w:pStyle w:val="af4"/>
        <w:kinsoku w:val="0"/>
        <w:overflowPunct w:val="0"/>
        <w:spacing w:before="186"/>
        <w:ind w:left="2266"/>
        <w:rPr>
          <w:rFonts w:ascii="Arial" w:hAnsi="Arial" w:cs="Arial"/>
          <w:b/>
          <w:bCs/>
          <w:spacing w:val="-2"/>
          <w:sz w:val="20"/>
        </w:rPr>
      </w:pPr>
      <w:bookmarkStart w:id="2" w:name="_bookmark230"/>
      <w:bookmarkEnd w:id="2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9-xxx—UHR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2607B15A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4D2F4736" w14:textId="2922013C" w:rsidR="00C0450D" w:rsidRDefault="00C0450D" w:rsidP="00C0450D">
      <w:pPr>
        <w:pStyle w:val="af4"/>
        <w:spacing w:before="311" w:line="247" w:lineRule="auto"/>
        <w:ind w:right="493"/>
        <w:rPr>
          <w:rStyle w:val="Hyperlink2"/>
        </w:rPr>
      </w:pP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subfields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UHR</w:t>
      </w:r>
      <w:r>
        <w:rPr>
          <w:rStyle w:val="None"/>
        </w:rPr>
        <w:t xml:space="preserve"> </w:t>
      </w:r>
      <w:r>
        <w:rPr>
          <w:rStyle w:val="Hyperlink2"/>
        </w:rPr>
        <w:t>MAC</w:t>
      </w:r>
      <w:r>
        <w:rPr>
          <w:rStyle w:val="None"/>
        </w:rPr>
        <w:t xml:space="preserve"> </w:t>
      </w:r>
      <w:r>
        <w:rPr>
          <w:rStyle w:val="Hyperlink2"/>
        </w:rPr>
        <w:t>Capabilities</w:t>
      </w:r>
      <w:r>
        <w:rPr>
          <w:rStyle w:val="None"/>
        </w:rPr>
        <w:t xml:space="preserve"> </w:t>
      </w:r>
      <w:r>
        <w:rPr>
          <w:rStyle w:val="Hyperlink2"/>
        </w:rPr>
        <w:t>Information</w:t>
      </w:r>
      <w:r>
        <w:rPr>
          <w:rStyle w:val="None"/>
        </w:rPr>
        <w:t xml:space="preserve"> </w:t>
      </w:r>
      <w:r>
        <w:rPr>
          <w:rStyle w:val="Hyperlink2"/>
        </w:rPr>
        <w:t>field</w:t>
      </w:r>
      <w:r>
        <w:rPr>
          <w:rStyle w:val="None"/>
        </w:rPr>
        <w:t xml:space="preserve"> </w:t>
      </w:r>
      <w:r>
        <w:rPr>
          <w:rStyle w:val="Hyperlink2"/>
        </w:rPr>
        <w:t>are</w:t>
      </w:r>
      <w:r>
        <w:rPr>
          <w:rStyle w:val="None"/>
        </w:rPr>
        <w:t xml:space="preserve"> </w:t>
      </w:r>
      <w:r>
        <w:rPr>
          <w:rStyle w:val="Hyperlink2"/>
        </w:rPr>
        <w:t>defined</w:t>
      </w:r>
      <w:r>
        <w:rPr>
          <w:rStyle w:val="None"/>
        </w:rPr>
        <w:t xml:space="preserve"> </w:t>
      </w:r>
      <w:r>
        <w:rPr>
          <w:rStyle w:val="Hyperlink2"/>
        </w:rPr>
        <w:t>in</w:t>
      </w:r>
      <w:r>
        <w:rPr>
          <w:rStyle w:val="None"/>
        </w:rPr>
        <w:t xml:space="preserve"> </w:t>
      </w:r>
      <w:hyperlink r:id="rId10" w:anchor="bookmark4" w:history="1">
        <w:r>
          <w:rPr>
            <w:rStyle w:val="Hyperlink2"/>
          </w:rPr>
          <w:t>Table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</w:rPr>
          <w:t xml:space="preserve"> </w:t>
        </w:r>
        <w:r>
          <w:rPr>
            <w:rStyle w:val="Hyperlink2"/>
          </w:rPr>
          <w:t>(Subfields</w:t>
        </w:r>
        <w:r>
          <w:rPr>
            <w:rStyle w:val="None"/>
          </w:rPr>
          <w:t xml:space="preserve"> </w:t>
        </w:r>
        <w:r>
          <w:rPr>
            <w:rStyle w:val="Hyperlink2"/>
          </w:rPr>
          <w:t>of</w:t>
        </w:r>
        <w:r>
          <w:rPr>
            <w:rStyle w:val="None"/>
          </w:rPr>
          <w:t xml:space="preserve"> </w:t>
        </w:r>
        <w:r>
          <w:rPr>
            <w:rStyle w:val="Hyperlink2"/>
          </w:rPr>
          <w:t>the</w:t>
        </w:r>
      </w:hyperlink>
      <w:r>
        <w:rPr>
          <w:rStyle w:val="Hyperlink2"/>
        </w:rPr>
        <w:t xml:space="preserve"> </w:t>
      </w:r>
      <w:hyperlink r:id="rId11" w:anchor="bookmark5" w:history="1">
        <w:r>
          <w:rPr>
            <w:rStyle w:val="Hyperlink2"/>
          </w:rPr>
          <w:t>UHR MAC Capabilities Information field)</w:t>
        </w:r>
      </w:hyperlink>
      <w:r>
        <w:rPr>
          <w:rStyle w:val="Hyperlink2"/>
        </w:rPr>
        <w:t>.</w:t>
      </w:r>
    </w:p>
    <w:p w14:paraId="079EBFE3" w14:textId="3E203551" w:rsidR="002D46A4" w:rsidRDefault="002D46A4" w:rsidP="002D46A4">
      <w:pPr>
        <w:pStyle w:val="af4"/>
        <w:kinsoku w:val="0"/>
        <w:overflowPunct w:val="0"/>
        <w:spacing w:before="441"/>
        <w:ind w:left="970" w:right="1023"/>
        <w:jc w:val="center"/>
        <w:rPr>
          <w:rFonts w:ascii="Arial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</w:t>
      </w:r>
      <w:r w:rsidR="0024370E"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 w:rsidR="0024370E">
        <w:rPr>
          <w:rFonts w:ascii="Arial" w:hAnsi="Arial" w:cs="Arial"/>
          <w:b/>
          <w:bCs/>
        </w:rPr>
        <w:t>UHR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field</w:t>
      </w:r>
    </w:p>
    <w:p w14:paraId="703420C8" w14:textId="77777777" w:rsidR="002D46A4" w:rsidRDefault="002D46A4" w:rsidP="002D46A4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000"/>
        <w:gridCol w:w="3601"/>
      </w:tblGrid>
      <w:tr w:rsidR="002D46A4" w14:paraId="2556E33C" w14:textId="77777777" w:rsidTr="002D46A4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ADA9723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588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E4E491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454" w:right="428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217A20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Encoding</w:t>
            </w:r>
          </w:p>
        </w:tc>
      </w:tr>
      <w:tr w:rsidR="002D46A4" w:rsidRPr="00AE6186" w14:paraId="5AA1F86F" w14:textId="77777777" w:rsidTr="002D46A4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44D3" w14:textId="1EE81255" w:rsidR="002D46A4" w:rsidRDefault="002D46A4">
            <w:pPr>
              <w:pStyle w:val="TableParagraph"/>
              <w:kinsoku w:val="0"/>
              <w:overflowPunct w:val="0"/>
              <w:spacing w:before="41" w:line="230" w:lineRule="auto"/>
              <w:ind w:left="116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BSR Enhancement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05D5" w14:textId="1C2DFD78" w:rsidR="002D46A4" w:rsidRDefault="0037446F" w:rsidP="0037446F">
            <w:pPr>
              <w:pStyle w:val="TableParagraph"/>
              <w:kinsoku w:val="0"/>
              <w:overflowPunct w:val="0"/>
              <w:spacing w:before="41" w:line="230" w:lineRule="auto"/>
              <w:ind w:left="127" w:right="13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For an AP, i</w:t>
            </w:r>
            <w:r w:rsidR="002D46A4">
              <w:rPr>
                <w:kern w:val="2"/>
                <w:sz w:val="18"/>
                <w:szCs w:val="18"/>
              </w:rPr>
              <w:t>ndicates</w:t>
            </w:r>
            <w:r w:rsidR="002D46A4">
              <w:rPr>
                <w:spacing w:val="-9"/>
                <w:kern w:val="2"/>
                <w:sz w:val="18"/>
                <w:szCs w:val="18"/>
              </w:rPr>
              <w:t xml:space="preserve"> </w:t>
            </w:r>
            <w:r w:rsidR="002D46A4">
              <w:rPr>
                <w:kern w:val="2"/>
                <w:sz w:val="18"/>
                <w:szCs w:val="18"/>
              </w:rPr>
              <w:t xml:space="preserve">support of receiving a </w:t>
            </w:r>
            <w:r w:rsidR="0024370E">
              <w:rPr>
                <w:kern w:val="2"/>
                <w:sz w:val="18"/>
                <w:szCs w:val="18"/>
              </w:rPr>
              <w:t>fram</w:t>
            </w:r>
            <w:r w:rsidR="007C4B3D">
              <w:rPr>
                <w:kern w:val="2"/>
                <w:sz w:val="18"/>
                <w:szCs w:val="18"/>
              </w:rPr>
              <w:t>e with a BS</w:t>
            </w:r>
            <w:r w:rsidR="00AE6186">
              <w:rPr>
                <w:kern w:val="2"/>
                <w:sz w:val="18"/>
                <w:szCs w:val="18"/>
              </w:rPr>
              <w:t>RE</w:t>
            </w:r>
            <w:r w:rsidR="007C4B3D">
              <w:rPr>
                <w:kern w:val="2"/>
                <w:sz w:val="18"/>
                <w:szCs w:val="18"/>
              </w:rPr>
              <w:t xml:space="preserve"> subfield. </w:t>
            </w:r>
            <w:r w:rsidRPr="0037446F">
              <w:rPr>
                <w:kern w:val="2"/>
                <w:sz w:val="18"/>
                <w:szCs w:val="18"/>
              </w:rPr>
              <w:t>For a non-AP</w:t>
            </w:r>
            <w:r>
              <w:rPr>
                <w:rFonts w:eastAsia="新細明體" w:hint="eastAsia"/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 xml:space="preserve">STA, indicates support for generating a frame with a </w:t>
            </w:r>
            <w:r>
              <w:rPr>
                <w:kern w:val="2"/>
                <w:sz w:val="18"/>
                <w:szCs w:val="18"/>
              </w:rPr>
              <w:t xml:space="preserve">BSRE </w:t>
            </w:r>
            <w:r w:rsidRPr="0037446F">
              <w:rPr>
                <w:kern w:val="2"/>
                <w:sz w:val="18"/>
                <w:szCs w:val="18"/>
              </w:rPr>
              <w:t>subfield.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0EB7ABC" w14:textId="2B61AACE" w:rsidR="0037446F" w:rsidRPr="0037446F" w:rsidRDefault="0037446F" w:rsidP="0037446F">
            <w:pPr>
              <w:pStyle w:val="TableParagraph"/>
              <w:kinsoku w:val="0"/>
              <w:overflowPunct w:val="0"/>
              <w:spacing w:before="36" w:line="204" w:lineRule="exact"/>
              <w:ind w:left="130"/>
              <w:rPr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 xml:space="preserve">Set to 1 if the STA supports the </w:t>
            </w:r>
            <w:proofErr w:type="gramStart"/>
            <w:r w:rsidRPr="0037446F">
              <w:rPr>
                <w:sz w:val="18"/>
                <w:szCs w:val="18"/>
              </w:rPr>
              <w:t>BSR</w:t>
            </w:r>
            <w:r>
              <w:rPr>
                <w:sz w:val="18"/>
                <w:szCs w:val="18"/>
              </w:rPr>
              <w:t>E</w:t>
            </w:r>
            <w:proofErr w:type="gramEnd"/>
            <w:r w:rsidRPr="0037446F">
              <w:rPr>
                <w:sz w:val="18"/>
                <w:szCs w:val="18"/>
              </w:rPr>
              <w:t xml:space="preserve"> </w:t>
            </w:r>
          </w:p>
          <w:p w14:paraId="44D065D9" w14:textId="77777777" w:rsidR="0037446F" w:rsidRPr="0037446F" w:rsidRDefault="0037446F" w:rsidP="0037446F">
            <w:pPr>
              <w:pStyle w:val="TableParagraph"/>
              <w:kinsoku w:val="0"/>
              <w:overflowPunct w:val="0"/>
              <w:spacing w:before="36" w:line="204" w:lineRule="exact"/>
              <w:ind w:left="130"/>
              <w:rPr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subfield functionality.</w:t>
            </w:r>
          </w:p>
          <w:p w14:paraId="6EA21239" w14:textId="09E010B9" w:rsidR="002D46A4" w:rsidRDefault="0037446F" w:rsidP="0037446F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spacing w:val="-2"/>
                <w:kern w:val="2"/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0 otherwise.</w:t>
            </w:r>
          </w:p>
        </w:tc>
      </w:tr>
    </w:tbl>
    <w:p w14:paraId="4095996E" w14:textId="77777777" w:rsidR="002D46A4" w:rsidRDefault="002D46A4" w:rsidP="001A7F39">
      <w:pPr>
        <w:jc w:val="both"/>
        <w:rPr>
          <w:rFonts w:eastAsia="新細明體"/>
          <w:szCs w:val="22"/>
          <w:lang w:eastAsia="zh-TW"/>
        </w:rPr>
      </w:pPr>
    </w:p>
    <w:p w14:paraId="7F4D4121" w14:textId="77777777" w:rsidR="00AE6186" w:rsidRDefault="00AE6186" w:rsidP="001A7F39">
      <w:pPr>
        <w:jc w:val="both"/>
        <w:rPr>
          <w:rFonts w:eastAsia="新細明體"/>
          <w:szCs w:val="22"/>
          <w:lang w:eastAsia="zh-TW"/>
        </w:rPr>
      </w:pPr>
    </w:p>
    <w:p w14:paraId="5A2A5E94" w14:textId="2D395105" w:rsidR="002F1DE0" w:rsidRDefault="002F1DE0" w:rsidP="002F1DE0">
      <w:pPr>
        <w:pStyle w:val="T"/>
        <w:rPr>
          <w:rStyle w:val="None"/>
          <w:b/>
          <w:bCs/>
          <w:lang w:eastAsia="en-US"/>
        </w:rPr>
      </w:pPr>
      <w:bookmarkStart w:id="3" w:name="OLE_LINK1"/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bookmarkEnd w:id="3"/>
    <w:p w14:paraId="5FE8574C" w14:textId="77777777" w:rsidR="002F1DE0" w:rsidRPr="002F1DE0" w:rsidRDefault="002F1DE0" w:rsidP="001A7F39">
      <w:pPr>
        <w:jc w:val="both"/>
        <w:rPr>
          <w:rFonts w:eastAsia="新細明體"/>
          <w:szCs w:val="22"/>
          <w:lang w:val="en-US" w:eastAsia="zh-TW"/>
        </w:rPr>
      </w:pPr>
    </w:p>
    <w:p w14:paraId="17B6CAB4" w14:textId="5CE25BE1" w:rsidR="00AE6186" w:rsidRPr="00AE6186" w:rsidRDefault="00E73838" w:rsidP="001A7F39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>
        <w:rPr>
          <w:rFonts w:ascii="Arial" w:eastAsia="新細明體" w:hAnsi="Arial" w:cs="Arial"/>
          <w:b/>
          <w:bCs/>
          <w:szCs w:val="22"/>
          <w:lang w:eastAsia="zh-TW"/>
        </w:rPr>
        <w:lastRenderedPageBreak/>
        <w:t>3</w:t>
      </w:r>
      <w:r w:rsidR="00475CBB">
        <w:rPr>
          <w:rFonts w:ascii="Arial" w:eastAsia="新細明體" w:hAnsi="Arial" w:cs="Arial"/>
          <w:b/>
          <w:bCs/>
          <w:szCs w:val="22"/>
          <w:lang w:eastAsia="zh-TW"/>
        </w:rPr>
        <w:t>7</w:t>
      </w:r>
      <w:r>
        <w:rPr>
          <w:rFonts w:ascii="Arial" w:eastAsia="新細明體" w:hAnsi="Arial" w:cs="Arial"/>
          <w:b/>
          <w:bCs/>
          <w:szCs w:val="22"/>
          <w:lang w:eastAsia="zh-TW"/>
        </w:rPr>
        <w:t xml:space="preserve">.X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 xml:space="preserve">Buffer status report </w:t>
      </w:r>
      <w:r w:rsidR="00233410">
        <w:rPr>
          <w:rFonts w:ascii="Arial" w:eastAsia="新細明體" w:hAnsi="Arial" w:cs="Arial"/>
          <w:b/>
          <w:bCs/>
          <w:szCs w:val="22"/>
          <w:lang w:eastAsia="zh-TW"/>
        </w:rPr>
        <w:t xml:space="preserve">enhancement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>operation</w:t>
      </w:r>
    </w:p>
    <w:p w14:paraId="4A765A56" w14:textId="72EBA5AB" w:rsidR="006418B4" w:rsidRDefault="006418B4" w:rsidP="001A7F39">
      <w:pPr>
        <w:jc w:val="both"/>
        <w:rPr>
          <w:rFonts w:eastAsia="新細明體"/>
          <w:szCs w:val="22"/>
          <w:lang w:eastAsia="zh-TW"/>
        </w:rPr>
      </w:pPr>
    </w:p>
    <w:p w14:paraId="5D9038C3" w14:textId="4F2F6B3F" w:rsidR="006418B4" w:rsidRDefault="00475CBB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A</w:t>
      </w:r>
      <w:r>
        <w:rPr>
          <w:rFonts w:eastAsia="新細明體"/>
          <w:szCs w:val="22"/>
          <w:lang w:eastAsia="zh-TW"/>
        </w:rPr>
        <w:t xml:space="preserve"> non-AP STA may deliver buffer status reports to </w:t>
      </w:r>
      <w:r w:rsidR="00810F57">
        <w:rPr>
          <w:rFonts w:eastAsia="新細明體"/>
          <w:szCs w:val="22"/>
          <w:lang w:eastAsia="zh-TW"/>
        </w:rPr>
        <w:t xml:space="preserve">assist </w:t>
      </w:r>
      <w:r>
        <w:rPr>
          <w:rFonts w:eastAsia="新細明體"/>
          <w:szCs w:val="22"/>
          <w:lang w:eastAsia="zh-TW"/>
        </w:rPr>
        <w:t xml:space="preserve">its AP in </w:t>
      </w:r>
      <w:proofErr w:type="spellStart"/>
      <w:r>
        <w:rPr>
          <w:rFonts w:eastAsia="新細明體"/>
          <w:szCs w:val="22"/>
          <w:lang w:eastAsia="zh-TW"/>
        </w:rPr>
        <w:t>allocationg</w:t>
      </w:r>
      <w:proofErr w:type="spellEnd"/>
      <w:r>
        <w:rPr>
          <w:rFonts w:eastAsia="新細明體"/>
          <w:szCs w:val="22"/>
          <w:lang w:eastAsia="zh-TW"/>
        </w:rPr>
        <w:t xml:space="preserve"> UL MU resources (See 26.5.5 Buffer status report operation). When </w:t>
      </w:r>
      <w:r w:rsidR="00E15B57">
        <w:rPr>
          <w:rFonts w:eastAsia="新細明體"/>
          <w:szCs w:val="22"/>
          <w:lang w:eastAsia="zh-TW"/>
        </w:rPr>
        <w:t>a</w:t>
      </w:r>
      <w:r w:rsidR="00315FEE">
        <w:rPr>
          <w:rFonts w:eastAsia="新細明體"/>
          <w:szCs w:val="22"/>
          <w:lang w:eastAsia="zh-TW"/>
        </w:rPr>
        <w:t xml:space="preserve"> non</w:t>
      </w:r>
      <w:r w:rsidR="00FA3F63">
        <w:rPr>
          <w:rFonts w:eastAsia="新細明體"/>
          <w:szCs w:val="22"/>
          <w:lang w:eastAsia="zh-TW"/>
        </w:rPr>
        <w:t xml:space="preserve">-AP STA owns a </w:t>
      </w:r>
      <w:r>
        <w:rPr>
          <w:rFonts w:eastAsia="新細明體"/>
          <w:szCs w:val="22"/>
          <w:lang w:eastAsia="zh-TW"/>
        </w:rPr>
        <w:t xml:space="preserve">queue size </w:t>
      </w:r>
      <w:r w:rsidR="00FA3F63">
        <w:rPr>
          <w:rFonts w:eastAsia="新細明體"/>
          <w:szCs w:val="22"/>
          <w:lang w:eastAsia="zh-TW"/>
        </w:rPr>
        <w:t xml:space="preserve">of a TID which </w:t>
      </w:r>
      <w:r>
        <w:rPr>
          <w:rFonts w:eastAsia="新細明體"/>
          <w:szCs w:val="22"/>
          <w:lang w:eastAsia="zh-TW"/>
        </w:rPr>
        <w:t xml:space="preserve">is larger than the maximum </w:t>
      </w:r>
      <w:r w:rsidR="00140D93">
        <w:rPr>
          <w:rFonts w:eastAsia="新細明體"/>
          <w:szCs w:val="22"/>
          <w:lang w:eastAsia="zh-TW"/>
        </w:rPr>
        <w:t>queue size able to b</w:t>
      </w:r>
      <w:r w:rsidR="00FA5C43">
        <w:rPr>
          <w:rFonts w:eastAsia="新細明體"/>
          <w:szCs w:val="22"/>
          <w:lang w:eastAsia="zh-TW"/>
        </w:rPr>
        <w:t>e</w:t>
      </w:r>
      <w:r w:rsidR="00140D93">
        <w:rPr>
          <w:rFonts w:eastAsia="新細明體"/>
          <w:szCs w:val="22"/>
          <w:lang w:eastAsia="zh-TW"/>
        </w:rPr>
        <w:t xml:space="preserve"> reported in the QoS Control field, the non-AP STA may </w:t>
      </w:r>
      <w:r w:rsidR="00FA5C43">
        <w:rPr>
          <w:rFonts w:eastAsia="新細明體"/>
          <w:szCs w:val="22"/>
          <w:lang w:eastAsia="zh-TW"/>
        </w:rPr>
        <w:t>send</w:t>
      </w:r>
      <w:r w:rsidR="00140D93">
        <w:rPr>
          <w:rFonts w:eastAsia="新細明體"/>
          <w:szCs w:val="22"/>
          <w:lang w:eastAsia="zh-TW"/>
        </w:rPr>
        <w:t xml:space="preserve"> </w:t>
      </w:r>
      <w:r w:rsidR="00FA5C43">
        <w:rPr>
          <w:rFonts w:eastAsia="新細明體"/>
          <w:szCs w:val="22"/>
          <w:lang w:eastAsia="zh-TW"/>
        </w:rPr>
        <w:t xml:space="preserve">a </w:t>
      </w:r>
      <w:r w:rsidR="00140D93">
        <w:rPr>
          <w:rFonts w:eastAsia="新細明體"/>
          <w:szCs w:val="22"/>
          <w:lang w:eastAsia="zh-TW"/>
        </w:rPr>
        <w:t xml:space="preserve">BSRE subfield in a frame to report a larger queue size to the AP so that the AP can allocate </w:t>
      </w:r>
      <w:r w:rsidR="00FA5C43">
        <w:rPr>
          <w:rFonts w:eastAsia="新細明體"/>
          <w:szCs w:val="22"/>
          <w:lang w:eastAsia="zh-TW"/>
        </w:rPr>
        <w:t>accurate</w:t>
      </w:r>
      <w:r w:rsidR="00140D93">
        <w:rPr>
          <w:rFonts w:eastAsia="新細明體"/>
          <w:szCs w:val="22"/>
          <w:lang w:eastAsia="zh-TW"/>
        </w:rPr>
        <w:t xml:space="preserve"> resources </w:t>
      </w:r>
      <w:r w:rsidR="00AA7835">
        <w:rPr>
          <w:rFonts w:eastAsia="新細明體"/>
          <w:szCs w:val="22"/>
          <w:lang w:eastAsia="zh-TW"/>
        </w:rPr>
        <w:t xml:space="preserve">to the non-AP STA </w:t>
      </w:r>
      <w:r w:rsidR="00FA5C43">
        <w:rPr>
          <w:rFonts w:eastAsia="新細明體"/>
          <w:szCs w:val="22"/>
          <w:lang w:eastAsia="zh-TW"/>
        </w:rPr>
        <w:t xml:space="preserve">during </w:t>
      </w:r>
      <w:r w:rsidR="00536AF0">
        <w:rPr>
          <w:rFonts w:eastAsia="新細明體"/>
          <w:szCs w:val="22"/>
          <w:lang w:eastAsia="zh-TW"/>
        </w:rPr>
        <w:t xml:space="preserve">the </w:t>
      </w:r>
      <w:r w:rsidR="00FA5C43">
        <w:rPr>
          <w:rFonts w:eastAsia="新細明體"/>
          <w:szCs w:val="22"/>
          <w:lang w:eastAsia="zh-TW"/>
        </w:rPr>
        <w:t>UL MU operation</w:t>
      </w:r>
      <w:r w:rsidR="00D1245F">
        <w:rPr>
          <w:rFonts w:eastAsia="新細明體"/>
          <w:szCs w:val="22"/>
          <w:lang w:eastAsia="zh-TW"/>
        </w:rPr>
        <w:t>.</w:t>
      </w:r>
      <w:r w:rsidR="00140D93">
        <w:rPr>
          <w:rFonts w:eastAsia="新細明體"/>
          <w:szCs w:val="22"/>
          <w:lang w:eastAsia="zh-TW"/>
        </w:rPr>
        <w:t xml:space="preserve"> </w:t>
      </w:r>
    </w:p>
    <w:p w14:paraId="7B297D92" w14:textId="77777777" w:rsidR="00233410" w:rsidRPr="00FA5C43" w:rsidRDefault="00233410" w:rsidP="001A7F39">
      <w:pPr>
        <w:jc w:val="both"/>
        <w:rPr>
          <w:rFonts w:eastAsia="新細明體"/>
          <w:szCs w:val="22"/>
          <w:lang w:eastAsia="zh-TW"/>
        </w:rPr>
      </w:pPr>
    </w:p>
    <w:p w14:paraId="3A2AB744" w14:textId="20252D58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  <w:proofErr w:type="gramStart"/>
      <w:r w:rsidRPr="00AE6186">
        <w:rPr>
          <w:rFonts w:eastAsia="新細明體"/>
          <w:szCs w:val="22"/>
          <w:lang w:eastAsia="zh-TW"/>
        </w:rPr>
        <w:t>A</w:t>
      </w:r>
      <w:r w:rsidR="00B30E64">
        <w:rPr>
          <w:rFonts w:eastAsia="新細明體"/>
          <w:szCs w:val="22"/>
          <w:lang w:eastAsia="zh-TW"/>
        </w:rPr>
        <w:t xml:space="preserve"> </w:t>
      </w:r>
      <w:r w:rsidRPr="00AE6186">
        <w:rPr>
          <w:rFonts w:eastAsia="新細明體"/>
          <w:szCs w:val="22"/>
          <w:lang w:eastAsia="zh-TW"/>
        </w:rPr>
        <w:t xml:space="preserve"> </w:t>
      </w:r>
      <w:r w:rsidR="00B30E64">
        <w:rPr>
          <w:rFonts w:eastAsia="新細明體"/>
          <w:szCs w:val="22"/>
          <w:lang w:eastAsia="zh-TW"/>
        </w:rPr>
        <w:t>UHR</w:t>
      </w:r>
      <w:proofErr w:type="gramEnd"/>
      <w:r w:rsidR="00B30E64">
        <w:rPr>
          <w:rFonts w:eastAsia="新細明體"/>
          <w:szCs w:val="22"/>
          <w:lang w:eastAsia="zh-TW"/>
        </w:rPr>
        <w:t xml:space="preserve"> </w:t>
      </w:r>
      <w:r w:rsidRPr="00AE6186">
        <w:rPr>
          <w:rFonts w:eastAsia="新細明體"/>
          <w:szCs w:val="22"/>
          <w:lang w:eastAsia="zh-TW"/>
        </w:rPr>
        <w:t xml:space="preserve">STA  shall  set  the  BSR  </w:t>
      </w:r>
      <w:r w:rsidR="00B30E64">
        <w:rPr>
          <w:rFonts w:eastAsia="新細明體"/>
          <w:szCs w:val="22"/>
          <w:lang w:eastAsia="zh-TW"/>
        </w:rPr>
        <w:t xml:space="preserve">Enhancement </w:t>
      </w:r>
      <w:r w:rsidRPr="00AE6186">
        <w:rPr>
          <w:rFonts w:eastAsia="新細明體"/>
          <w:szCs w:val="22"/>
          <w:lang w:eastAsia="zh-TW"/>
        </w:rPr>
        <w:t xml:space="preserve">Support  subfield  in  the  </w:t>
      </w:r>
      <w:r w:rsidR="00B30E64">
        <w:rPr>
          <w:rFonts w:eastAsia="新細明體"/>
          <w:szCs w:val="22"/>
          <w:lang w:eastAsia="zh-TW"/>
        </w:rPr>
        <w:t>UHR</w:t>
      </w:r>
      <w:r w:rsidRPr="00AE6186">
        <w:rPr>
          <w:rFonts w:eastAsia="新細明體"/>
          <w:szCs w:val="22"/>
          <w:lang w:eastAsia="zh-TW"/>
        </w:rPr>
        <w:t xml:space="preserve">  Capabilities  element  it  transmits  to  1  if</w:t>
      </w:r>
      <w:r w:rsidR="00B30E64">
        <w:rPr>
          <w:rFonts w:eastAsia="新細明體"/>
          <w:szCs w:val="22"/>
          <w:lang w:eastAsia="zh-TW"/>
        </w:rPr>
        <w:t xml:space="preserve"> </w:t>
      </w:r>
      <w:r w:rsidRPr="00AE6186">
        <w:rPr>
          <w:rFonts w:eastAsia="新細明體"/>
          <w:szCs w:val="22"/>
          <w:lang w:eastAsia="zh-TW"/>
        </w:rPr>
        <w:t>dot11</w:t>
      </w:r>
      <w:r w:rsidR="00B30E64">
        <w:rPr>
          <w:rFonts w:eastAsia="新細明體"/>
          <w:szCs w:val="22"/>
          <w:lang w:eastAsia="zh-TW"/>
        </w:rPr>
        <w:t>UHRBSRE</w:t>
      </w:r>
      <w:r w:rsidRPr="00AE6186">
        <w:rPr>
          <w:rFonts w:eastAsia="新細明體"/>
          <w:szCs w:val="22"/>
          <w:lang w:eastAsia="zh-TW"/>
        </w:rPr>
        <w:t xml:space="preserve">Implemented is true; otherwise, the </w:t>
      </w:r>
      <w:r w:rsidR="00B30E64">
        <w:rPr>
          <w:rFonts w:eastAsia="新細明體"/>
          <w:szCs w:val="22"/>
          <w:lang w:eastAsia="zh-TW"/>
        </w:rPr>
        <w:t>UHR</w:t>
      </w:r>
      <w:r w:rsidRPr="00AE6186">
        <w:rPr>
          <w:rFonts w:eastAsia="新細明體"/>
          <w:szCs w:val="22"/>
          <w:lang w:eastAsia="zh-TW"/>
        </w:rPr>
        <w:t xml:space="preserve"> STA shall set the BSR </w:t>
      </w:r>
      <w:r w:rsidR="0037446F">
        <w:rPr>
          <w:rFonts w:eastAsia="新細明體"/>
          <w:szCs w:val="22"/>
          <w:lang w:eastAsia="zh-TW"/>
        </w:rPr>
        <w:t xml:space="preserve">Enhancement </w:t>
      </w:r>
      <w:r w:rsidRPr="00AE6186">
        <w:rPr>
          <w:rFonts w:eastAsia="新細明體"/>
          <w:szCs w:val="22"/>
          <w:lang w:eastAsia="zh-TW"/>
        </w:rPr>
        <w:t>Support subfield to 0.</w:t>
      </w:r>
    </w:p>
    <w:p w14:paraId="5E7BC824" w14:textId="77777777" w:rsidR="00536AF0" w:rsidRDefault="00536AF0" w:rsidP="00AE6186">
      <w:pPr>
        <w:jc w:val="both"/>
        <w:rPr>
          <w:rFonts w:eastAsia="新細明體"/>
          <w:szCs w:val="22"/>
          <w:lang w:eastAsia="zh-TW"/>
        </w:rPr>
      </w:pPr>
    </w:p>
    <w:p w14:paraId="7141D4C6" w14:textId="553F96A4" w:rsidR="006418B4" w:rsidRDefault="006418B4" w:rsidP="00AE6186">
      <w:pPr>
        <w:jc w:val="both"/>
        <w:rPr>
          <w:rFonts w:eastAsia="新細明體"/>
          <w:szCs w:val="22"/>
          <w:lang w:eastAsia="zh-TW"/>
        </w:rPr>
      </w:pPr>
    </w:p>
    <w:p w14:paraId="7F57D855" w14:textId="77777777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</w:p>
    <w:p w14:paraId="7F79712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300A5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250D4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159108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42F439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15C0E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7303E0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6C108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A9FFB6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6A073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FBDF4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57DF1F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639FB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D2DFC3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F0DA2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217716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6F2417F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7DDA1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9F6ABB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E3581E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A3D3A8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0E598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BDE2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D57B75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8E1B12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A529B4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35BF7DB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C937D0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454E72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7072C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ABF189" w14:textId="0E662605" w:rsidR="000E6B15" w:rsidRPr="00825481" w:rsidRDefault="000E6B15" w:rsidP="00825481">
      <w:pPr>
        <w:pStyle w:val="T"/>
        <w:rPr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follows:</w:t>
      </w:r>
    </w:p>
    <w:p w14:paraId="2BD6931E" w14:textId="77777777" w:rsidR="00233410" w:rsidRDefault="00233410" w:rsidP="00233410">
      <w:pPr>
        <w:pStyle w:val="Heading"/>
        <w:rPr>
          <w:rStyle w:val="None"/>
          <w:spacing w:val="-10"/>
        </w:rPr>
      </w:pPr>
      <w:r>
        <w:rPr>
          <w:rStyle w:val="Hyperlink2"/>
          <w:rFonts w:eastAsia="Arial Unicode MS" w:cs="Arial Unicode MS"/>
        </w:rPr>
        <w:t>Annex</w:t>
      </w:r>
      <w:r>
        <w:rPr>
          <w:rStyle w:val="None"/>
          <w:rFonts w:eastAsia="Arial Unicode MS" w:cs="Arial Unicode MS"/>
          <w:spacing w:val="-10"/>
        </w:rPr>
        <w:t xml:space="preserve"> C</w:t>
      </w:r>
    </w:p>
    <w:p w14:paraId="61D6B446" w14:textId="77777777" w:rsidR="00233410" w:rsidRDefault="00233410" w:rsidP="00233410">
      <w:pPr>
        <w:pStyle w:val="Body"/>
        <w:rPr>
          <w:rStyle w:val="None"/>
          <w:spacing w:val="-10"/>
          <w:sz w:val="32"/>
          <w:szCs w:val="32"/>
        </w:rPr>
      </w:pPr>
      <w:r>
        <w:rPr>
          <w:rStyle w:val="Hyperlink2"/>
          <w:rFonts w:eastAsia="Arial Unicode MS" w:cs="Arial Unicode MS"/>
        </w:rPr>
        <w:t xml:space="preserve">(normative) </w:t>
      </w:r>
    </w:p>
    <w:p w14:paraId="04CEBB1F" w14:textId="77777777" w:rsidR="00233410" w:rsidRDefault="00233410" w:rsidP="00233410">
      <w:pPr>
        <w:pStyle w:val="2"/>
        <w:rPr>
          <w:szCs w:val="28"/>
        </w:rPr>
      </w:pPr>
      <w:r>
        <w:rPr>
          <w:rStyle w:val="Hyperlink2"/>
        </w:rPr>
        <w:lastRenderedPageBreak/>
        <w:t>ASN.1</w:t>
      </w:r>
      <w:r>
        <w:rPr>
          <w:rStyle w:val="None"/>
          <w:spacing w:val="-7"/>
        </w:rPr>
        <w:t xml:space="preserve"> </w:t>
      </w:r>
      <w:r>
        <w:rPr>
          <w:rStyle w:val="Hyperlink2"/>
          <w:lang w:val="it-IT"/>
        </w:rPr>
        <w:t>encoding</w:t>
      </w:r>
      <w:r>
        <w:rPr>
          <w:rStyle w:val="None"/>
          <w:spacing w:val="-6"/>
          <w:lang w:val="it-IT"/>
        </w:rPr>
        <w:t xml:space="preserve"> </w:t>
      </w:r>
      <w:r>
        <w:rPr>
          <w:rStyle w:val="Hyperlink2"/>
        </w:rPr>
        <w:t>of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the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MAC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and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PHY</w:t>
      </w:r>
      <w:r>
        <w:rPr>
          <w:rStyle w:val="None"/>
          <w:spacing w:val="-6"/>
        </w:rPr>
        <w:t xml:space="preserve"> M</w:t>
      </w:r>
      <w:r>
        <w:rPr>
          <w:rStyle w:val="None"/>
          <w:spacing w:val="-5"/>
        </w:rPr>
        <w:t>IB</w:t>
      </w:r>
    </w:p>
    <w:p w14:paraId="09ED5800" w14:textId="77777777" w:rsidR="00233410" w:rsidRDefault="00233410" w:rsidP="00233410">
      <w:pPr>
        <w:pStyle w:val="3"/>
      </w:pPr>
      <w:r>
        <w:rPr>
          <w:rStyle w:val="Hyperlink2"/>
          <w:lang w:val="it-IT"/>
        </w:rPr>
        <w:t>C.3</w:t>
      </w:r>
      <w:r>
        <w:rPr>
          <w:rStyle w:val="None"/>
          <w:spacing w:val="-3"/>
          <w:lang w:val="it-IT"/>
        </w:rPr>
        <w:t xml:space="preserve"> </w:t>
      </w:r>
      <w:r>
        <w:rPr>
          <w:rStyle w:val="Hyperlink2"/>
        </w:rPr>
        <w:t>MIB</w:t>
      </w:r>
      <w:r>
        <w:rPr>
          <w:rStyle w:val="None"/>
          <w:spacing w:val="-3"/>
        </w:rPr>
        <w:t xml:space="preserve"> </w:t>
      </w:r>
      <w:r>
        <w:rPr>
          <w:rStyle w:val="None"/>
          <w:spacing w:val="-2"/>
        </w:rPr>
        <w:t>Detail</w:t>
      </w:r>
    </w:p>
    <w:p w14:paraId="4EE3662F" w14:textId="31F7F09C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dot11</w:t>
      </w:r>
      <w:r>
        <w:rPr>
          <w:rStyle w:val="None"/>
        </w:rPr>
        <w:t>UHRBSRE</w:t>
      </w:r>
      <w:r w:rsidRPr="00AA7835">
        <w:rPr>
          <w:rStyle w:val="None"/>
        </w:rPr>
        <w:t xml:space="preserve">Implemented OBJECT-TYPE </w:t>
      </w:r>
    </w:p>
    <w:p w14:paraId="04D3F6F7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SYNTAX </w:t>
      </w:r>
      <w:proofErr w:type="spellStart"/>
      <w:r w:rsidRPr="00AA7835">
        <w:rPr>
          <w:rStyle w:val="None"/>
        </w:rPr>
        <w:t>TruthValue</w:t>
      </w:r>
      <w:proofErr w:type="spellEnd"/>
    </w:p>
    <w:p w14:paraId="52B605B2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MAX-ACCESS read-only </w:t>
      </w:r>
    </w:p>
    <w:p w14:paraId="2C055EB3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STATUS current </w:t>
      </w:r>
    </w:p>
    <w:p w14:paraId="650EB51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DESCRIPTION</w:t>
      </w:r>
    </w:p>
    <w:p w14:paraId="004733AB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"This is a capability variable.</w:t>
      </w:r>
    </w:p>
    <w:p w14:paraId="4695CC96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Its value is determined by device capabilities.</w:t>
      </w:r>
    </w:p>
    <w:p w14:paraId="6B97D8D5" w14:textId="33AF5A8F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This attribute, when true, indicates that the station implementation is capable of supporting </w:t>
      </w:r>
      <w:r>
        <w:rPr>
          <w:rStyle w:val="None"/>
        </w:rPr>
        <w:t>BSR enhancement</w:t>
      </w:r>
      <w:r w:rsidRPr="00AA7835">
        <w:rPr>
          <w:rStyle w:val="None"/>
        </w:rPr>
        <w:t xml:space="preserve"> operation."</w:t>
      </w:r>
    </w:p>
    <w:p w14:paraId="3B6659F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DEFVAL </w:t>
      </w:r>
      <w:proofErr w:type="gramStart"/>
      <w:r w:rsidRPr="00AA7835">
        <w:rPr>
          <w:rStyle w:val="None"/>
        </w:rPr>
        <w:t>{ false</w:t>
      </w:r>
      <w:proofErr w:type="gramEnd"/>
      <w:r w:rsidRPr="00AA7835">
        <w:rPr>
          <w:rStyle w:val="None"/>
        </w:rPr>
        <w:t xml:space="preserve"> }</w:t>
      </w:r>
    </w:p>
    <w:p w14:paraId="7FCB2B8A" w14:textId="3629D621" w:rsidR="00233410" w:rsidRDefault="00AA7835" w:rsidP="00AA7835">
      <w:pPr>
        <w:pStyle w:val="Body"/>
        <w:tabs>
          <w:tab w:val="left" w:pos="6220"/>
        </w:tabs>
        <w:rPr>
          <w:rStyle w:val="None"/>
        </w:rPr>
      </w:pPr>
      <w:proofErr w:type="gramStart"/>
      <w:r w:rsidRPr="00AA7835">
        <w:rPr>
          <w:rStyle w:val="None"/>
        </w:rPr>
        <w:t>::</w:t>
      </w:r>
      <w:proofErr w:type="gramEnd"/>
      <w:r w:rsidRPr="00AA7835">
        <w:rPr>
          <w:rStyle w:val="None"/>
        </w:rPr>
        <w:t>= { dot11</w:t>
      </w:r>
      <w:r>
        <w:rPr>
          <w:rStyle w:val="None"/>
        </w:rPr>
        <w:t>UHR</w:t>
      </w:r>
      <w:r w:rsidRPr="00AA7835">
        <w:rPr>
          <w:rStyle w:val="None"/>
        </w:rPr>
        <w:t xml:space="preserve">StationConfigEntry </w:t>
      </w:r>
      <w:r>
        <w:rPr>
          <w:rStyle w:val="None"/>
        </w:rPr>
        <w:t>TBD</w:t>
      </w:r>
      <w:r w:rsidRPr="00AA7835">
        <w:rPr>
          <w:rStyle w:val="None"/>
        </w:rPr>
        <w:t xml:space="preserve"> }</w:t>
      </w:r>
    </w:p>
    <w:p w14:paraId="30524671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5F6539E3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496A9554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18EF8585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0EF14025" w14:textId="77777777" w:rsidR="00233410" w:rsidRPr="00825481" w:rsidRDefault="00233410" w:rsidP="00AE6186">
      <w:pPr>
        <w:jc w:val="both"/>
        <w:rPr>
          <w:rFonts w:eastAsia="新細明體"/>
          <w:szCs w:val="22"/>
          <w:lang w:val="en-US" w:eastAsia="zh-TW"/>
        </w:rPr>
      </w:pPr>
    </w:p>
    <w:sectPr w:rsidR="00233410" w:rsidRPr="00825481" w:rsidSect="00844F2D">
      <w:headerReference w:type="default" r:id="rId12"/>
      <w:footerReference w:type="default" r:id="rId13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77EE" w14:textId="77777777" w:rsidR="00787556" w:rsidRDefault="00787556">
      <w:r>
        <w:separator/>
      </w:r>
    </w:p>
  </w:endnote>
  <w:endnote w:type="continuationSeparator" w:id="0">
    <w:p w14:paraId="482D80A5" w14:textId="77777777" w:rsidR="00787556" w:rsidRDefault="007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5E3F" w14:textId="77777777" w:rsidR="00787556" w:rsidRDefault="00787556">
      <w:r>
        <w:separator/>
      </w:r>
    </w:p>
  </w:footnote>
  <w:footnote w:type="continuationSeparator" w:id="0">
    <w:p w14:paraId="1B3FE5E7" w14:textId="77777777" w:rsidR="00787556" w:rsidRDefault="007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7009A665" w:rsidR="00844F2D" w:rsidRDefault="009308F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F56A1F">
      <w:t>4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F56A1F">
        <w:t>4</w:t>
      </w:r>
      <w:r w:rsidR="006511AD" w:rsidRPr="006511AD">
        <w:t>/</w:t>
      </w:r>
      <w:r w:rsidR="009A0C59">
        <w:t>1995</w:t>
      </w:r>
      <w:r w:rsidR="006511AD" w:rsidRPr="006511AD">
        <w:t>r</w:t>
      </w:r>
    </w:fldSimple>
    <w:r w:rsidR="00504DA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00195FD5"/>
    <w:multiLevelType w:val="hybridMultilevel"/>
    <w:tmpl w:val="764A532E"/>
    <w:lvl w:ilvl="0" w:tplc="69AA15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4ECCE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35659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02A33B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6E8CE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65420C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24A80A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6FE9CB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242F50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8269">
    <w:abstractNumId w:val="5"/>
  </w:num>
  <w:num w:numId="2" w16cid:durableId="2115903755">
    <w:abstractNumId w:val="9"/>
  </w:num>
  <w:num w:numId="3" w16cid:durableId="1108769210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90671770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66970373">
    <w:abstractNumId w:val="4"/>
  </w:num>
  <w:num w:numId="6" w16cid:durableId="2040619727">
    <w:abstractNumId w:val="14"/>
  </w:num>
  <w:num w:numId="7" w16cid:durableId="583957238">
    <w:abstractNumId w:val="16"/>
  </w:num>
  <w:num w:numId="8" w16cid:durableId="225189414">
    <w:abstractNumId w:val="12"/>
  </w:num>
  <w:num w:numId="9" w16cid:durableId="3071696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4811875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170822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405684941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91188731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09332428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10648739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141925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31399709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3635104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05084791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535771835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40921208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2088191298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 w16cid:durableId="16477824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 w16cid:durableId="777717046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0301654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6150169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2014256029">
    <w:abstractNumId w:val="11"/>
  </w:num>
  <w:num w:numId="28" w16cid:durableId="1753507287">
    <w:abstractNumId w:val="8"/>
  </w:num>
  <w:num w:numId="29" w16cid:durableId="939876784">
    <w:abstractNumId w:val="6"/>
  </w:num>
  <w:num w:numId="30" w16cid:durableId="966424697">
    <w:abstractNumId w:val="15"/>
  </w:num>
  <w:num w:numId="31" w16cid:durableId="403770352">
    <w:abstractNumId w:val="10"/>
  </w:num>
  <w:num w:numId="32" w16cid:durableId="1993218264">
    <w:abstractNumId w:val="17"/>
  </w:num>
  <w:num w:numId="33" w16cid:durableId="2672057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414353823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97880285">
    <w:abstractNumId w:val="7"/>
  </w:num>
  <w:num w:numId="36" w16cid:durableId="312494143">
    <w:abstractNumId w:val="13"/>
  </w:num>
  <w:num w:numId="37" w16cid:durableId="1300915467">
    <w:abstractNumId w:val="18"/>
  </w:num>
  <w:num w:numId="38" w16cid:durableId="545869233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102480741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60478484">
    <w:abstractNumId w:val="3"/>
  </w:num>
  <w:num w:numId="41" w16cid:durableId="1522166147">
    <w:abstractNumId w:val="1"/>
  </w:num>
  <w:num w:numId="42" w16cid:durableId="18076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078F1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289F"/>
    <w:rsid w:val="00035B13"/>
    <w:rsid w:val="000405C4"/>
    <w:rsid w:val="00044519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4E2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456E"/>
    <w:rsid w:val="000D5BF9"/>
    <w:rsid w:val="000D5EBD"/>
    <w:rsid w:val="000D674F"/>
    <w:rsid w:val="000E0494"/>
    <w:rsid w:val="000E1C37"/>
    <w:rsid w:val="000E1D7B"/>
    <w:rsid w:val="000E4589"/>
    <w:rsid w:val="000E4B82"/>
    <w:rsid w:val="000E6B15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0D93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6BA7"/>
    <w:rsid w:val="00187129"/>
    <w:rsid w:val="00187690"/>
    <w:rsid w:val="001915EF"/>
    <w:rsid w:val="0019164F"/>
    <w:rsid w:val="00192C6E"/>
    <w:rsid w:val="00193C39"/>
    <w:rsid w:val="00193C5D"/>
    <w:rsid w:val="001943F7"/>
    <w:rsid w:val="00194835"/>
    <w:rsid w:val="00197C72"/>
    <w:rsid w:val="001A0EDB"/>
    <w:rsid w:val="001A2240"/>
    <w:rsid w:val="001A23CD"/>
    <w:rsid w:val="001A4910"/>
    <w:rsid w:val="001A7760"/>
    <w:rsid w:val="001A7F39"/>
    <w:rsid w:val="001B080C"/>
    <w:rsid w:val="001B1135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3410"/>
    <w:rsid w:val="00234C13"/>
    <w:rsid w:val="002369FD"/>
    <w:rsid w:val="00236A7E"/>
    <w:rsid w:val="00236E40"/>
    <w:rsid w:val="0023760F"/>
    <w:rsid w:val="00237985"/>
    <w:rsid w:val="00240895"/>
    <w:rsid w:val="00241AD7"/>
    <w:rsid w:val="0024370E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4002"/>
    <w:rsid w:val="002C0317"/>
    <w:rsid w:val="002C6B4F"/>
    <w:rsid w:val="002C72E1"/>
    <w:rsid w:val="002D1D40"/>
    <w:rsid w:val="002D36C5"/>
    <w:rsid w:val="002D46A4"/>
    <w:rsid w:val="002D518F"/>
    <w:rsid w:val="002D7ED5"/>
    <w:rsid w:val="002E1B18"/>
    <w:rsid w:val="002E2B88"/>
    <w:rsid w:val="002E6FF6"/>
    <w:rsid w:val="002F0DC2"/>
    <w:rsid w:val="002F1DE0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1BCD"/>
    <w:rsid w:val="00314FB8"/>
    <w:rsid w:val="00315FEE"/>
    <w:rsid w:val="0031699C"/>
    <w:rsid w:val="00316EF3"/>
    <w:rsid w:val="0031705E"/>
    <w:rsid w:val="003202D3"/>
    <w:rsid w:val="003214E2"/>
    <w:rsid w:val="003256AD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446F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25C"/>
    <w:rsid w:val="00411A2D"/>
    <w:rsid w:val="00414A71"/>
    <w:rsid w:val="0042111E"/>
    <w:rsid w:val="00421159"/>
    <w:rsid w:val="0042506D"/>
    <w:rsid w:val="004268CC"/>
    <w:rsid w:val="00430648"/>
    <w:rsid w:val="004344A2"/>
    <w:rsid w:val="00435596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0CBE"/>
    <w:rsid w:val="0047267B"/>
    <w:rsid w:val="00473FED"/>
    <w:rsid w:val="00475A71"/>
    <w:rsid w:val="00475CBB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AF0"/>
    <w:rsid w:val="0054235E"/>
    <w:rsid w:val="005441F5"/>
    <w:rsid w:val="0054425D"/>
    <w:rsid w:val="00547800"/>
    <w:rsid w:val="0055002D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7FA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4C13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02EA7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18B4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66F6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D66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61A5"/>
    <w:rsid w:val="007572EE"/>
    <w:rsid w:val="0076196C"/>
    <w:rsid w:val="00765C02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556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4B3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E6114"/>
    <w:rsid w:val="007E69A9"/>
    <w:rsid w:val="007F12E2"/>
    <w:rsid w:val="007F1C44"/>
    <w:rsid w:val="007F2366"/>
    <w:rsid w:val="007F6EC7"/>
    <w:rsid w:val="007F75A8"/>
    <w:rsid w:val="007F78B1"/>
    <w:rsid w:val="00802FC5"/>
    <w:rsid w:val="0081078F"/>
    <w:rsid w:val="00810F57"/>
    <w:rsid w:val="008133B3"/>
    <w:rsid w:val="008138C1"/>
    <w:rsid w:val="0081507D"/>
    <w:rsid w:val="00815AC6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481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03D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33B4"/>
    <w:rsid w:val="008753A6"/>
    <w:rsid w:val="00876FCC"/>
    <w:rsid w:val="00877536"/>
    <w:rsid w:val="008776B0"/>
    <w:rsid w:val="00877D7D"/>
    <w:rsid w:val="0088012D"/>
    <w:rsid w:val="0088118F"/>
    <w:rsid w:val="00881C47"/>
    <w:rsid w:val="00883621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8FE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0F6B"/>
    <w:rsid w:val="00981724"/>
    <w:rsid w:val="009824DF"/>
    <w:rsid w:val="0098405A"/>
    <w:rsid w:val="00991A93"/>
    <w:rsid w:val="00993F70"/>
    <w:rsid w:val="0099601D"/>
    <w:rsid w:val="009A0C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2BD9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835"/>
    <w:rsid w:val="00AA7E07"/>
    <w:rsid w:val="00AB0834"/>
    <w:rsid w:val="00AB17F6"/>
    <w:rsid w:val="00AB20C4"/>
    <w:rsid w:val="00AB633C"/>
    <w:rsid w:val="00AC30F5"/>
    <w:rsid w:val="00AC76C6"/>
    <w:rsid w:val="00AD268D"/>
    <w:rsid w:val="00AD3749"/>
    <w:rsid w:val="00AD597B"/>
    <w:rsid w:val="00AD6723"/>
    <w:rsid w:val="00AD6AE6"/>
    <w:rsid w:val="00AE0581"/>
    <w:rsid w:val="00AE618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27BA8"/>
    <w:rsid w:val="00B30E64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84EA6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C7AED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0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E742D"/>
    <w:rsid w:val="00CF0C93"/>
    <w:rsid w:val="00CF16FB"/>
    <w:rsid w:val="00CF2295"/>
    <w:rsid w:val="00CF3343"/>
    <w:rsid w:val="00CF37BD"/>
    <w:rsid w:val="00CF3BDE"/>
    <w:rsid w:val="00CF5724"/>
    <w:rsid w:val="00D003FB"/>
    <w:rsid w:val="00D0137A"/>
    <w:rsid w:val="00D07ABE"/>
    <w:rsid w:val="00D1245F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B7DF2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F1154"/>
    <w:rsid w:val="00DF15D7"/>
    <w:rsid w:val="00DF379E"/>
    <w:rsid w:val="00DF662B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5B57"/>
    <w:rsid w:val="00E22BE8"/>
    <w:rsid w:val="00E33B8F"/>
    <w:rsid w:val="00E36F11"/>
    <w:rsid w:val="00E44336"/>
    <w:rsid w:val="00E52CC5"/>
    <w:rsid w:val="00E53532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3838"/>
    <w:rsid w:val="00E74E87"/>
    <w:rsid w:val="00E80182"/>
    <w:rsid w:val="00E8027B"/>
    <w:rsid w:val="00E81437"/>
    <w:rsid w:val="00E850E1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56A1F"/>
    <w:rsid w:val="00F613DF"/>
    <w:rsid w:val="00F64321"/>
    <w:rsid w:val="00F65695"/>
    <w:rsid w:val="00F659E1"/>
    <w:rsid w:val="00F71BD3"/>
    <w:rsid w:val="00F77317"/>
    <w:rsid w:val="00F808C5"/>
    <w:rsid w:val="00F832E1"/>
    <w:rsid w:val="00F83CD1"/>
    <w:rsid w:val="00F85369"/>
    <w:rsid w:val="00F93DC9"/>
    <w:rsid w:val="00F94872"/>
    <w:rsid w:val="00F967E0"/>
    <w:rsid w:val="00F96A6A"/>
    <w:rsid w:val="00F97A4E"/>
    <w:rsid w:val="00F97A64"/>
    <w:rsid w:val="00FA3F63"/>
    <w:rsid w:val="00FA5C43"/>
    <w:rsid w:val="00FA5D88"/>
    <w:rsid w:val="00FA6D0A"/>
    <w:rsid w:val="00FA751A"/>
    <w:rsid w:val="00FB0152"/>
    <w:rsid w:val="00FB1482"/>
    <w:rsid w:val="00FB1A63"/>
    <w:rsid w:val="00FB33E4"/>
    <w:rsid w:val="00FB48E5"/>
    <w:rsid w:val="00FB525A"/>
    <w:rsid w:val="00FB6C2B"/>
    <w:rsid w:val="00FC124F"/>
    <w:rsid w:val="00FC18E0"/>
    <w:rsid w:val="00FC1FE4"/>
    <w:rsid w:val="00FC20C3"/>
    <w:rsid w:val="00FC29BA"/>
    <w:rsid w:val="00FC2EF2"/>
    <w:rsid w:val="00FC4DC5"/>
    <w:rsid w:val="00FC533D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None">
    <w:name w:val="None"/>
    <w:rsid w:val="00877D7D"/>
  </w:style>
  <w:style w:type="character" w:customStyle="1" w:styleId="Hyperlink2">
    <w:name w:val="Hyperlink.2"/>
    <w:basedOn w:val="None"/>
    <w:rsid w:val="00877D7D"/>
  </w:style>
  <w:style w:type="paragraph" w:customStyle="1" w:styleId="Heading">
    <w:name w:val="Heading"/>
    <w:next w:val="Body"/>
    <w:rsid w:val="00233410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32"/>
      <w:szCs w:val="32"/>
      <w:u w:val="single" w:color="000000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3867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3</cp:revision>
  <cp:lastPrinted>2010-05-04T03:47:00Z</cp:lastPrinted>
  <dcterms:created xsi:type="dcterms:W3CDTF">2024-11-26T01:33:00Z</dcterms:created>
  <dcterms:modified xsi:type="dcterms:W3CDTF">2024-11-26T01:35:00Z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