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094BA1A9" w:rsidR="00BF369F" w:rsidRPr="006640F8" w:rsidRDefault="009D44A7" w:rsidP="00765915">
            <w:pPr>
              <w:pStyle w:val="T2"/>
              <w:rPr>
                <w:lang w:val="en-US"/>
              </w:rPr>
            </w:pPr>
            <w:r>
              <w:rPr>
                <w:lang w:val="en-US" w:eastAsia="ko-KR"/>
              </w:rPr>
              <w:t>P802.11bk SA1 CRs</w:t>
            </w:r>
          </w:p>
        </w:tc>
      </w:tr>
      <w:tr w:rsidR="00BF369F" w:rsidRPr="00183F4C" w14:paraId="2CF0000B" w14:textId="77777777" w:rsidTr="00EF6EDC">
        <w:trPr>
          <w:trHeight w:val="359"/>
          <w:jc w:val="center"/>
        </w:trPr>
        <w:tc>
          <w:tcPr>
            <w:tcW w:w="9576" w:type="dxa"/>
            <w:gridSpan w:val="5"/>
            <w:vAlign w:val="center"/>
          </w:tcPr>
          <w:p w14:paraId="4542C0EC" w14:textId="626288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9D44A7">
              <w:rPr>
                <w:b w:val="0"/>
                <w:sz w:val="20"/>
              </w:rPr>
              <w:t>1</w:t>
            </w:r>
            <w:r w:rsidR="00492911">
              <w:rPr>
                <w:b w:val="0"/>
                <w:sz w:val="20"/>
              </w:rPr>
              <w:t>2</w:t>
            </w:r>
            <w:r w:rsidR="0027226F">
              <w:rPr>
                <w:b w:val="0"/>
                <w:sz w:val="20"/>
                <w:lang w:eastAsia="ko-KR"/>
              </w:rPr>
              <w:t>-</w:t>
            </w:r>
            <w:r w:rsidR="00492911">
              <w:rPr>
                <w:b w:val="0"/>
                <w:sz w:val="20"/>
                <w:lang w:eastAsia="ko-KR"/>
              </w:rPr>
              <w:t>03</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C734BB" w:rsidP="00C734BB">
            <w:pPr>
              <w:pStyle w:val="T2"/>
              <w:spacing w:after="0"/>
              <w:ind w:left="0" w:right="0"/>
              <w:jc w:val="left"/>
              <w:rPr>
                <w:b w:val="0"/>
                <w:sz w:val="18"/>
                <w:szCs w:val="18"/>
                <w:lang w:eastAsia="ko-KR"/>
              </w:rPr>
            </w:pPr>
            <w:hyperlink r:id="rId8" w:history="1">
              <w:r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D4A9056" w:rsidR="009D488E" w:rsidRDefault="009D488E" w:rsidP="00ED6C44">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w:t>
      </w:r>
      <w:proofErr w:type="gramStart"/>
      <w:r w:rsidR="00FC42C5">
        <w:rPr>
          <w:lang w:eastAsia="ko-KR"/>
        </w:rPr>
        <w:t xml:space="preserve">CIDs </w:t>
      </w:r>
      <w:r w:rsidR="00ED6C44">
        <w:rPr>
          <w:lang w:eastAsia="ko-KR"/>
        </w:rPr>
        <w:t xml:space="preserve"> </w:t>
      </w:r>
      <w:r w:rsidR="00960835">
        <w:rPr>
          <w:lang w:eastAsia="ko-KR"/>
        </w:rPr>
        <w:t>I</w:t>
      </w:r>
      <w:proofErr w:type="gramEnd"/>
      <w:r w:rsidR="00960835">
        <w:rPr>
          <w:lang w:eastAsia="ko-KR"/>
        </w:rPr>
        <w:t>-43, I-44</w:t>
      </w:r>
      <w:r w:rsidR="00E731C6">
        <w:rPr>
          <w:lang w:eastAsia="ko-KR"/>
        </w:rPr>
        <w:t xml:space="preserve"> </w:t>
      </w:r>
      <w:r w:rsidR="002F6885">
        <w:rPr>
          <w:lang w:eastAsia="ko-KR"/>
        </w:rPr>
        <w:t xml:space="preserve">(total of </w:t>
      </w:r>
      <w:r w:rsidR="00960835">
        <w:rPr>
          <w:lang w:eastAsia="ko-KR"/>
        </w:rPr>
        <w:t>2</w:t>
      </w:r>
      <w:r w:rsidR="00E731C6">
        <w:rPr>
          <w:lang w:eastAsia="ko-KR"/>
        </w:rPr>
        <w:t xml:space="preserve"> </w:t>
      </w:r>
      <w:r w:rsidR="00875BA3">
        <w:rPr>
          <w:lang w:eastAsia="ko-KR"/>
        </w:rPr>
        <w:t>CIDs</w:t>
      </w:r>
      <w:r w:rsidR="002F6885">
        <w:rPr>
          <w:lang w:eastAsia="ko-KR"/>
        </w:rPr>
        <w:t xml:space="preserve">) </w:t>
      </w:r>
      <w:r w:rsidR="00C55A56">
        <w:rPr>
          <w:lang w:eastAsia="ko-KR"/>
        </w:rPr>
        <w:t xml:space="preserve">based in </w:t>
      </w:r>
      <w:r w:rsidR="00233CA7" w:rsidRPr="00233CA7">
        <w:rPr>
          <w:lang w:eastAsia="ko-KR"/>
        </w:rPr>
        <w:t>Draft P802.11REVme_D</w:t>
      </w:r>
      <w:r w:rsidR="00AA1C34">
        <w:rPr>
          <w:lang w:eastAsia="ko-KR"/>
        </w:rPr>
        <w:t>7.0</w:t>
      </w:r>
      <w:r w:rsidR="00233CA7">
        <w:rPr>
          <w:lang w:eastAsia="ko-KR"/>
        </w:rPr>
        <w:t xml:space="preserve">, </w:t>
      </w:r>
      <w:r w:rsidR="008C3C78">
        <w:rPr>
          <w:lang w:eastAsia="ko-KR"/>
        </w:rPr>
        <w:t>and Draft P802.11bk D</w:t>
      </w:r>
      <w:r w:rsidR="00AA1C34">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4D0A857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344704" w:rsidRPr="00677427" w14:paraId="5AF7BC48" w14:textId="77777777" w:rsidTr="009B1B4A">
        <w:trPr>
          <w:trHeight w:val="373"/>
        </w:trPr>
        <w:tc>
          <w:tcPr>
            <w:tcW w:w="54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08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500CE" w:rsidRPr="00055EB2" w14:paraId="30EEA07B" w14:textId="77777777" w:rsidTr="009B1B4A">
        <w:trPr>
          <w:trHeight w:val="1002"/>
        </w:trPr>
        <w:tc>
          <w:tcPr>
            <w:tcW w:w="541" w:type="dxa"/>
          </w:tcPr>
          <w:p w14:paraId="6CFF05F2" w14:textId="58351C1E" w:rsidR="004500CE" w:rsidRPr="0086170E" w:rsidRDefault="004500CE" w:rsidP="004500CE">
            <w:pPr>
              <w:rPr>
                <w:szCs w:val="18"/>
                <w:lang w:val="en-US"/>
              </w:rPr>
            </w:pPr>
            <w:r>
              <w:rPr>
                <w:szCs w:val="18"/>
                <w:lang w:val="en-US"/>
              </w:rPr>
              <w:t>I-43</w:t>
            </w:r>
          </w:p>
        </w:tc>
        <w:tc>
          <w:tcPr>
            <w:tcW w:w="630" w:type="dxa"/>
          </w:tcPr>
          <w:p w14:paraId="0E94156B" w14:textId="67C00EAB" w:rsidR="004500CE" w:rsidRPr="0086170E" w:rsidRDefault="004500CE" w:rsidP="004500CE">
            <w:pPr>
              <w:rPr>
                <w:szCs w:val="18"/>
                <w:lang w:val="en-US"/>
              </w:rPr>
            </w:pPr>
            <w:r>
              <w:rPr>
                <w:szCs w:val="18"/>
                <w:lang w:val="en-US"/>
              </w:rPr>
              <w:t>32.01</w:t>
            </w:r>
          </w:p>
        </w:tc>
        <w:tc>
          <w:tcPr>
            <w:tcW w:w="1080" w:type="dxa"/>
          </w:tcPr>
          <w:p w14:paraId="62067120" w14:textId="2068EC4E" w:rsidR="004500CE" w:rsidRPr="0086170E" w:rsidRDefault="004500CE" w:rsidP="004500CE">
            <w:pPr>
              <w:rPr>
                <w:szCs w:val="18"/>
                <w:lang w:val="en-US"/>
              </w:rPr>
            </w:pPr>
            <w:r>
              <w:rPr>
                <w:szCs w:val="18"/>
                <w:lang w:val="en-US"/>
              </w:rPr>
              <w:t>9.4.2.300</w:t>
            </w:r>
          </w:p>
        </w:tc>
        <w:tc>
          <w:tcPr>
            <w:tcW w:w="3510" w:type="dxa"/>
          </w:tcPr>
          <w:p w14:paraId="2C2ECEDD" w14:textId="6D4EA583" w:rsidR="004500CE" w:rsidRPr="0086170E" w:rsidRDefault="004500CE" w:rsidP="004500CE">
            <w:pPr>
              <w:rPr>
                <w:szCs w:val="18"/>
                <w:lang w:val="en-US"/>
              </w:rPr>
            </w:pPr>
            <w:r w:rsidRPr="002769F5">
              <w:rPr>
                <w:szCs w:val="18"/>
                <w:lang w:val="en-US"/>
              </w:rPr>
              <w:t xml:space="preserve">The FTM frame action field was modified in 11bk and added an optional Transmit power envelope field. </w:t>
            </w:r>
            <w:r w:rsidRPr="002769F5">
              <w:rPr>
                <w:szCs w:val="18"/>
                <w:lang w:val="en-US"/>
              </w:rPr>
              <w:br/>
              <w:t>The modification is such that legacy devices (11az-2022) as well as more recent devices (</w:t>
            </w:r>
            <w:proofErr w:type="spellStart"/>
            <w:r w:rsidRPr="002769F5">
              <w:rPr>
                <w:szCs w:val="18"/>
                <w:lang w:val="en-US"/>
              </w:rPr>
              <w:t>REVmf</w:t>
            </w:r>
            <w:proofErr w:type="spellEnd"/>
            <w:r w:rsidRPr="002769F5">
              <w:rPr>
                <w:szCs w:val="18"/>
                <w:lang w:val="en-US"/>
              </w:rPr>
              <w:t xml:space="preserve"> devices including the 11bk amendment) may observe the new field. The TPE is also present in Beacon/Probe Response frame. 1. </w:t>
            </w:r>
            <w:proofErr w:type="gramStart"/>
            <w:r w:rsidRPr="002769F5">
              <w:rPr>
                <w:szCs w:val="18"/>
                <w:lang w:val="en-US"/>
              </w:rPr>
              <w:t>However</w:t>
            </w:r>
            <w:proofErr w:type="gramEnd"/>
            <w:r w:rsidRPr="002769F5">
              <w:rPr>
                <w:szCs w:val="18"/>
                <w:lang w:val="en-US"/>
              </w:rPr>
              <w:t xml:space="preserve"> there is no text to clarify which of the two TPE values are used the one in the Beacon or the one in the FTM 2. Legacy 802.11az compliant STAs now become non-compliant as they are now behaving not in accordance with the spec.</w:t>
            </w:r>
          </w:p>
        </w:tc>
        <w:tc>
          <w:tcPr>
            <w:tcW w:w="2430" w:type="dxa"/>
          </w:tcPr>
          <w:p w14:paraId="1AC2BFE4" w14:textId="7D308201" w:rsidR="004500CE" w:rsidRPr="0086170E" w:rsidRDefault="004500CE" w:rsidP="004500CE">
            <w:pPr>
              <w:rPr>
                <w:szCs w:val="18"/>
                <w:lang w:val="en-US"/>
              </w:rPr>
            </w:pPr>
            <w:r w:rsidRPr="002769F5">
              <w:rPr>
                <w:szCs w:val="18"/>
                <w:lang w:val="en-US"/>
              </w:rPr>
              <w:t xml:space="preserve">Clarify that inclusion of the field is limited to 11bk 320 MHz assignment and that the field overrides the Beacon/Probe </w:t>
            </w:r>
            <w:proofErr w:type="spellStart"/>
            <w:r w:rsidRPr="002769F5">
              <w:rPr>
                <w:szCs w:val="18"/>
                <w:lang w:val="en-US"/>
              </w:rPr>
              <w:t>Rsp</w:t>
            </w:r>
            <w:proofErr w:type="spellEnd"/>
            <w:r w:rsidRPr="002769F5">
              <w:rPr>
                <w:szCs w:val="18"/>
                <w:lang w:val="en-US"/>
              </w:rPr>
              <w:t xml:space="preserve"> frame.</w:t>
            </w:r>
          </w:p>
        </w:tc>
        <w:tc>
          <w:tcPr>
            <w:tcW w:w="2340" w:type="dxa"/>
          </w:tcPr>
          <w:p w14:paraId="15CACBA4" w14:textId="061BE809" w:rsidR="004500CE" w:rsidRDefault="002769F5" w:rsidP="004500CE">
            <w:pPr>
              <w:rPr>
                <w:szCs w:val="18"/>
                <w:lang w:val="en-US"/>
              </w:rPr>
            </w:pPr>
            <w:r>
              <w:rPr>
                <w:szCs w:val="18"/>
                <w:lang w:val="en-US"/>
              </w:rPr>
              <w:t>Revise.</w:t>
            </w:r>
          </w:p>
          <w:p w14:paraId="6914EA20" w14:textId="77777777" w:rsidR="009C4E2F" w:rsidRDefault="009C4E2F" w:rsidP="004500CE">
            <w:pPr>
              <w:rPr>
                <w:szCs w:val="18"/>
                <w:lang w:val="en-US"/>
              </w:rPr>
            </w:pPr>
          </w:p>
          <w:p w14:paraId="258BC74A" w14:textId="7B3ABC7A" w:rsidR="002769F5" w:rsidRDefault="00B37B3A" w:rsidP="004500CE">
            <w:pPr>
              <w:rPr>
                <w:szCs w:val="18"/>
                <w:lang w:val="en-US"/>
              </w:rPr>
            </w:pPr>
            <w:r>
              <w:rPr>
                <w:szCs w:val="18"/>
                <w:lang w:val="en-US"/>
              </w:rPr>
              <w:t xml:space="preserve">Agree in principle, </w:t>
            </w:r>
            <w:r w:rsidR="009C4E2F">
              <w:rPr>
                <w:szCs w:val="18"/>
                <w:lang w:val="en-US"/>
              </w:rPr>
              <w:t>see detailed discussion in R</w:t>
            </w:r>
            <w:r w:rsidR="001B0546">
              <w:rPr>
                <w:szCs w:val="18"/>
                <w:lang w:val="en-US"/>
              </w:rPr>
              <w:t>0</w:t>
            </w:r>
            <w:r w:rsidR="009C4E2F">
              <w:rPr>
                <w:szCs w:val="18"/>
                <w:lang w:val="en-US"/>
              </w:rPr>
              <w:t xml:space="preserve"> of submission </w:t>
            </w:r>
            <w:hyperlink r:id="rId9" w:history="1">
              <w:r w:rsidR="009C4E2F" w:rsidRPr="00097500">
                <w:rPr>
                  <w:rStyle w:val="Hyperlink"/>
                  <w:szCs w:val="18"/>
                  <w:lang w:val="en-US"/>
                </w:rPr>
                <w:t>https://mentor.ieee.org/802.11/documents?is_dcn=1986</w:t>
              </w:r>
            </w:hyperlink>
            <w:r w:rsidR="009C4E2F">
              <w:rPr>
                <w:szCs w:val="18"/>
                <w:lang w:val="en-US"/>
              </w:rPr>
              <w:t xml:space="preserve"> below.</w:t>
            </w:r>
          </w:p>
          <w:p w14:paraId="5D40359A" w14:textId="77777777" w:rsidR="00331A08" w:rsidRDefault="00331A08" w:rsidP="004500CE">
            <w:pPr>
              <w:rPr>
                <w:szCs w:val="18"/>
                <w:lang w:val="en-US"/>
              </w:rPr>
            </w:pPr>
          </w:p>
          <w:p w14:paraId="42ED9EB7" w14:textId="7162255C" w:rsidR="001B0546" w:rsidRPr="0086170E" w:rsidRDefault="001B0546" w:rsidP="004500CE">
            <w:pPr>
              <w:rPr>
                <w:szCs w:val="18"/>
                <w:lang w:val="en-US"/>
              </w:rPr>
            </w:pPr>
            <w:proofErr w:type="spellStart"/>
            <w:r>
              <w:rPr>
                <w:szCs w:val="18"/>
                <w:lang w:val="en-US"/>
              </w:rPr>
              <w:t>TGbk</w:t>
            </w:r>
            <w:proofErr w:type="spellEnd"/>
            <w:r>
              <w:rPr>
                <w:szCs w:val="18"/>
                <w:lang w:val="en-US"/>
              </w:rPr>
              <w:t xml:space="preserve"> editor make changes as detailed in R0 of </w:t>
            </w:r>
            <w:hyperlink r:id="rId10" w:history="1">
              <w:r w:rsidRPr="00097500">
                <w:rPr>
                  <w:rStyle w:val="Hyperlink"/>
                  <w:szCs w:val="18"/>
                  <w:lang w:val="en-US"/>
                </w:rPr>
                <w:t>https://mentor.ieee.org/802.11/documents?is_dcn=1986</w:t>
              </w:r>
            </w:hyperlink>
            <w:r>
              <w:rPr>
                <w:szCs w:val="18"/>
                <w:lang w:val="en-US"/>
              </w:rPr>
              <w:t xml:space="preserve"> </w:t>
            </w:r>
            <w:r w:rsidR="00331A08">
              <w:rPr>
                <w:szCs w:val="18"/>
                <w:lang w:val="en-US"/>
              </w:rPr>
              <w:t xml:space="preserve">as shown </w:t>
            </w:r>
            <w:r>
              <w:rPr>
                <w:szCs w:val="18"/>
                <w:lang w:val="en-US"/>
              </w:rPr>
              <w:t>below.</w:t>
            </w:r>
          </w:p>
        </w:tc>
      </w:tr>
      <w:tr w:rsidR="00331A08" w:rsidRPr="00300194" w14:paraId="78896AF6" w14:textId="77777777" w:rsidTr="009B1B4A">
        <w:trPr>
          <w:trHeight w:val="1002"/>
        </w:trPr>
        <w:tc>
          <w:tcPr>
            <w:tcW w:w="541" w:type="dxa"/>
          </w:tcPr>
          <w:p w14:paraId="4D8F6BE5" w14:textId="433DAA73" w:rsidR="00331A08" w:rsidRPr="0086170E" w:rsidRDefault="00331A08" w:rsidP="00331A08">
            <w:pPr>
              <w:rPr>
                <w:szCs w:val="18"/>
                <w:lang w:val="en-US"/>
              </w:rPr>
            </w:pPr>
            <w:r>
              <w:rPr>
                <w:szCs w:val="18"/>
                <w:lang w:val="en-US"/>
              </w:rPr>
              <w:t>I-44</w:t>
            </w:r>
          </w:p>
        </w:tc>
        <w:tc>
          <w:tcPr>
            <w:tcW w:w="630" w:type="dxa"/>
          </w:tcPr>
          <w:p w14:paraId="122B0889" w14:textId="2D83AB7D" w:rsidR="00331A08" w:rsidRPr="0086170E" w:rsidRDefault="00331A08" w:rsidP="00331A08">
            <w:pPr>
              <w:rPr>
                <w:szCs w:val="18"/>
                <w:lang w:val="en-US"/>
              </w:rPr>
            </w:pPr>
            <w:r>
              <w:rPr>
                <w:szCs w:val="18"/>
                <w:lang w:val="en-US"/>
              </w:rPr>
              <w:t>36.19</w:t>
            </w:r>
          </w:p>
        </w:tc>
        <w:tc>
          <w:tcPr>
            <w:tcW w:w="1080" w:type="dxa"/>
          </w:tcPr>
          <w:p w14:paraId="17F3292B" w14:textId="50EAB85B" w:rsidR="00331A08" w:rsidRPr="0086170E" w:rsidRDefault="00331A08" w:rsidP="00331A08">
            <w:pPr>
              <w:rPr>
                <w:szCs w:val="18"/>
                <w:lang w:val="en-US"/>
              </w:rPr>
            </w:pPr>
            <w:r>
              <w:rPr>
                <w:szCs w:val="18"/>
                <w:lang w:val="en-US"/>
              </w:rPr>
              <w:t>11.21.6.3.3</w:t>
            </w:r>
          </w:p>
        </w:tc>
        <w:tc>
          <w:tcPr>
            <w:tcW w:w="3510" w:type="dxa"/>
          </w:tcPr>
          <w:p w14:paraId="667F0F57" w14:textId="1E68DF9A" w:rsidR="00331A08" w:rsidRPr="0086170E" w:rsidRDefault="00331A08" w:rsidP="00331A08">
            <w:pPr>
              <w:rPr>
                <w:szCs w:val="18"/>
                <w:lang w:val="en-US"/>
              </w:rPr>
            </w:pPr>
            <w:r w:rsidRPr="00534827">
              <w:rPr>
                <w:szCs w:val="18"/>
                <w:lang w:val="en-US"/>
              </w:rPr>
              <w:t xml:space="preserve">The amendment makes a Shall and a Should statements regarding inclusion of Transmit Power Envelope requiring it for SP and indoor SP APs acting as an RSTA. 3 issues: </w:t>
            </w:r>
            <w:r w:rsidRPr="00534827">
              <w:rPr>
                <w:szCs w:val="18"/>
                <w:lang w:val="en-US"/>
              </w:rPr>
              <w:br/>
              <w:t xml:space="preserve">1. This makes existing ISTA </w:t>
            </w:r>
            <w:proofErr w:type="spellStart"/>
            <w:proofErr w:type="gramStart"/>
            <w:r w:rsidRPr="00534827">
              <w:rPr>
                <w:szCs w:val="18"/>
                <w:lang w:val="en-US"/>
              </w:rPr>
              <w:t>non standard</w:t>
            </w:r>
            <w:proofErr w:type="spellEnd"/>
            <w:proofErr w:type="gramEnd"/>
            <w:r w:rsidRPr="00534827">
              <w:rPr>
                <w:szCs w:val="18"/>
                <w:lang w:val="en-US"/>
              </w:rPr>
              <w:t xml:space="preserve"> compliant in response to not behave as expected as they were not designed to parse the TPE in the FTM </w:t>
            </w:r>
            <w:proofErr w:type="spellStart"/>
            <w:r w:rsidRPr="00534827">
              <w:rPr>
                <w:szCs w:val="18"/>
                <w:lang w:val="en-US"/>
              </w:rPr>
              <w:t>Rsp</w:t>
            </w:r>
            <w:proofErr w:type="spellEnd"/>
            <w:r w:rsidRPr="00534827">
              <w:rPr>
                <w:szCs w:val="18"/>
                <w:lang w:val="en-US"/>
              </w:rPr>
              <w:t xml:space="preserve">, </w:t>
            </w:r>
            <w:r w:rsidRPr="00534827">
              <w:rPr>
                <w:szCs w:val="18"/>
                <w:lang w:val="en-US"/>
              </w:rPr>
              <w:br/>
              <w:t xml:space="preserve">2. APs that are RSTA and are compatible with 802.11az </w:t>
            </w:r>
            <w:proofErr w:type="spellStart"/>
            <w:proofErr w:type="gramStart"/>
            <w:r w:rsidRPr="00534827">
              <w:rPr>
                <w:szCs w:val="18"/>
                <w:lang w:val="en-US"/>
              </w:rPr>
              <w:t>non standard</w:t>
            </w:r>
            <w:proofErr w:type="spellEnd"/>
            <w:proofErr w:type="gramEnd"/>
            <w:r w:rsidRPr="00534827">
              <w:rPr>
                <w:szCs w:val="18"/>
                <w:lang w:val="en-US"/>
              </w:rPr>
              <w:t xml:space="preserve"> compliant as they do not behave in accordance with the shall and should requirements. </w:t>
            </w:r>
            <w:r w:rsidRPr="00534827">
              <w:rPr>
                <w:szCs w:val="18"/>
                <w:lang w:val="en-US"/>
              </w:rPr>
              <w:br/>
              <w:t xml:space="preserve">3. Clarify what happens when the TPE in the Beacon Prob. </w:t>
            </w:r>
            <w:proofErr w:type="spellStart"/>
            <w:r w:rsidRPr="00534827">
              <w:rPr>
                <w:szCs w:val="18"/>
                <w:lang w:val="en-US"/>
              </w:rPr>
              <w:t>Rsp</w:t>
            </w:r>
            <w:proofErr w:type="spellEnd"/>
            <w:r w:rsidRPr="00534827">
              <w:rPr>
                <w:szCs w:val="18"/>
                <w:lang w:val="en-US"/>
              </w:rPr>
              <w:t xml:space="preserve"> does not correlate with the TPE in the FTM </w:t>
            </w:r>
            <w:proofErr w:type="spellStart"/>
            <w:r w:rsidRPr="00534827">
              <w:rPr>
                <w:szCs w:val="18"/>
                <w:lang w:val="en-US"/>
              </w:rPr>
              <w:t>Rsp</w:t>
            </w:r>
            <w:proofErr w:type="spellEnd"/>
            <w:r w:rsidRPr="00534827">
              <w:rPr>
                <w:szCs w:val="18"/>
                <w:lang w:val="en-US"/>
              </w:rPr>
              <w:t xml:space="preserve"> - which one take precedence.</w:t>
            </w:r>
          </w:p>
        </w:tc>
        <w:tc>
          <w:tcPr>
            <w:tcW w:w="2430" w:type="dxa"/>
          </w:tcPr>
          <w:p w14:paraId="337C69B4" w14:textId="3856C913" w:rsidR="00331A08" w:rsidRPr="0086170E" w:rsidRDefault="00331A08" w:rsidP="00331A08">
            <w:pPr>
              <w:rPr>
                <w:szCs w:val="18"/>
                <w:lang w:val="en-US"/>
              </w:rPr>
            </w:pPr>
            <w:r w:rsidRPr="00534827">
              <w:rPr>
                <w:szCs w:val="18"/>
                <w:lang w:val="en-US"/>
              </w:rPr>
              <w:t xml:space="preserve">Limit the behavior to 11bk STAs </w:t>
            </w:r>
            <w:proofErr w:type="spellStart"/>
            <w:r w:rsidRPr="00534827">
              <w:rPr>
                <w:szCs w:val="18"/>
                <w:lang w:val="en-US"/>
              </w:rPr>
              <w:t>REVmf</w:t>
            </w:r>
            <w:proofErr w:type="spellEnd"/>
            <w:r w:rsidRPr="00534827">
              <w:rPr>
                <w:szCs w:val="18"/>
                <w:lang w:val="en-US"/>
              </w:rPr>
              <w:t xml:space="preserve"> behavior for RSTA and ISTA for inclusion of TPE in the FTM and clarify ambiguity if TPE is included in both the Beacon and FTM </w:t>
            </w:r>
            <w:proofErr w:type="spellStart"/>
            <w:r w:rsidRPr="00534827">
              <w:rPr>
                <w:szCs w:val="18"/>
                <w:lang w:val="en-US"/>
              </w:rPr>
              <w:t>Rsp</w:t>
            </w:r>
            <w:proofErr w:type="spellEnd"/>
            <w:r w:rsidRPr="00534827">
              <w:rPr>
                <w:szCs w:val="18"/>
                <w:lang w:val="en-US"/>
              </w:rPr>
              <w:t>.</w:t>
            </w:r>
          </w:p>
        </w:tc>
        <w:tc>
          <w:tcPr>
            <w:tcW w:w="2340" w:type="dxa"/>
          </w:tcPr>
          <w:p w14:paraId="63BCABCB" w14:textId="77777777" w:rsidR="00331A08" w:rsidRDefault="00331A08" w:rsidP="00331A08">
            <w:pPr>
              <w:rPr>
                <w:szCs w:val="18"/>
                <w:lang w:val="en-US"/>
              </w:rPr>
            </w:pPr>
            <w:r>
              <w:rPr>
                <w:szCs w:val="18"/>
                <w:lang w:val="en-US"/>
              </w:rPr>
              <w:t>Revise.</w:t>
            </w:r>
          </w:p>
          <w:p w14:paraId="581773CB" w14:textId="77777777" w:rsidR="00331A08" w:rsidRDefault="00331A08" w:rsidP="00331A08">
            <w:pPr>
              <w:rPr>
                <w:szCs w:val="18"/>
                <w:lang w:val="en-US"/>
              </w:rPr>
            </w:pPr>
          </w:p>
          <w:p w14:paraId="16C225EA" w14:textId="77777777" w:rsidR="00331A08" w:rsidRDefault="00331A08" w:rsidP="00331A08">
            <w:pPr>
              <w:rPr>
                <w:szCs w:val="18"/>
                <w:lang w:val="en-US"/>
              </w:rPr>
            </w:pPr>
            <w:r>
              <w:rPr>
                <w:szCs w:val="18"/>
                <w:lang w:val="en-US"/>
              </w:rPr>
              <w:t xml:space="preserve">Agree in principle, see detailed discussion in R0 of submission </w:t>
            </w:r>
            <w:hyperlink r:id="rId11" w:history="1">
              <w:r w:rsidRPr="00097500">
                <w:rPr>
                  <w:rStyle w:val="Hyperlink"/>
                  <w:szCs w:val="18"/>
                  <w:lang w:val="en-US"/>
                </w:rPr>
                <w:t>https://mentor.ieee.org/802.11/documents?is_dcn=1986</w:t>
              </w:r>
            </w:hyperlink>
            <w:r>
              <w:rPr>
                <w:szCs w:val="18"/>
                <w:lang w:val="en-US"/>
              </w:rPr>
              <w:t xml:space="preserve"> below.</w:t>
            </w:r>
          </w:p>
          <w:p w14:paraId="31353C74" w14:textId="77777777" w:rsidR="00331A08" w:rsidRDefault="00331A08" w:rsidP="00331A08">
            <w:pPr>
              <w:rPr>
                <w:szCs w:val="18"/>
                <w:lang w:val="en-US"/>
              </w:rPr>
            </w:pPr>
          </w:p>
          <w:p w14:paraId="391BBF5F" w14:textId="625CFBB1" w:rsidR="00331A08" w:rsidRPr="0086170E" w:rsidRDefault="00331A08" w:rsidP="00331A08">
            <w:pPr>
              <w:rPr>
                <w:szCs w:val="18"/>
                <w:lang w:val="en-US"/>
              </w:rPr>
            </w:pPr>
            <w:proofErr w:type="spellStart"/>
            <w:r>
              <w:rPr>
                <w:szCs w:val="18"/>
                <w:lang w:val="en-US"/>
              </w:rPr>
              <w:t>TGbk</w:t>
            </w:r>
            <w:proofErr w:type="spellEnd"/>
            <w:r>
              <w:rPr>
                <w:szCs w:val="18"/>
                <w:lang w:val="en-US"/>
              </w:rPr>
              <w:t xml:space="preserve"> editor make changes as detailed in R0 of </w:t>
            </w:r>
            <w:hyperlink r:id="rId12" w:history="1">
              <w:r w:rsidRPr="00097500">
                <w:rPr>
                  <w:rStyle w:val="Hyperlink"/>
                  <w:szCs w:val="18"/>
                  <w:lang w:val="en-US"/>
                </w:rPr>
                <w:t>https://mentor.ieee.org/802.11/documents?is_dcn=1986</w:t>
              </w:r>
            </w:hyperlink>
            <w:r>
              <w:rPr>
                <w:szCs w:val="18"/>
                <w:lang w:val="en-US"/>
              </w:rPr>
              <w:t xml:space="preserve"> as shown below.</w:t>
            </w:r>
          </w:p>
        </w:tc>
      </w:tr>
    </w:tbl>
    <w:p w14:paraId="4DF949EF" w14:textId="77777777" w:rsidR="00E26CBE" w:rsidRDefault="00E26CBE" w:rsidP="00BC2A52">
      <w:pPr>
        <w:pStyle w:val="BodyText"/>
        <w:rPr>
          <w:sz w:val="20"/>
        </w:rPr>
      </w:pPr>
    </w:p>
    <w:bookmarkEnd w:id="0"/>
    <w:p w14:paraId="3ED1BACD" w14:textId="21C986F1" w:rsidR="000451B4" w:rsidRPr="00DF5C03" w:rsidRDefault="00850FC3" w:rsidP="000451B4">
      <w:pPr>
        <w:rPr>
          <w:b/>
          <w:bCs/>
          <w:color w:val="FF0000"/>
        </w:rPr>
      </w:pPr>
      <w:r w:rsidRPr="00DF5C03">
        <w:rPr>
          <w:b/>
          <w:bCs/>
          <w:color w:val="FF0000"/>
        </w:rPr>
        <w:t xml:space="preserve">Discussion </w:t>
      </w:r>
      <w:r w:rsidR="00CF500A" w:rsidRPr="00DF5C03">
        <w:rPr>
          <w:b/>
          <w:bCs/>
          <w:color w:val="FF0000"/>
        </w:rPr>
        <w:t xml:space="preserve">of </w:t>
      </w:r>
      <w:r w:rsidR="000451B4" w:rsidRPr="00DF5C03">
        <w:rPr>
          <w:b/>
          <w:bCs/>
          <w:color w:val="FF0000"/>
        </w:rPr>
        <w:t>CIDs</w:t>
      </w:r>
      <w:r w:rsidR="00DD044C" w:rsidRPr="00DF5C03">
        <w:rPr>
          <w:b/>
          <w:bCs/>
          <w:color w:val="FF0000"/>
        </w:rPr>
        <w:t xml:space="preserve"> </w:t>
      </w:r>
      <w:r w:rsidR="00A2056B" w:rsidRPr="00DF5C03">
        <w:rPr>
          <w:b/>
          <w:bCs/>
          <w:color w:val="FF0000"/>
        </w:rPr>
        <w:t>I-43</w:t>
      </w:r>
      <w:r w:rsidR="000E586C" w:rsidRPr="00DF5C03">
        <w:rPr>
          <w:b/>
          <w:bCs/>
          <w:color w:val="FF0000"/>
        </w:rPr>
        <w:t>,</w:t>
      </w:r>
      <w:r w:rsidR="00A54BB4" w:rsidRPr="00DF5C03">
        <w:rPr>
          <w:b/>
          <w:bCs/>
          <w:color w:val="FF0000"/>
        </w:rPr>
        <w:t xml:space="preserve"> </w:t>
      </w:r>
      <w:r w:rsidR="00A2056B" w:rsidRPr="00DF5C03">
        <w:rPr>
          <w:b/>
          <w:bCs/>
          <w:color w:val="FF0000"/>
        </w:rPr>
        <w:t>I-44</w:t>
      </w:r>
      <w:r w:rsidR="00997351" w:rsidRPr="00DF5C03">
        <w:rPr>
          <w:b/>
          <w:bCs/>
          <w:color w:val="FF0000"/>
        </w:rPr>
        <w:t>:</w:t>
      </w:r>
      <w:r w:rsidR="000451B4" w:rsidRPr="00DF5C03">
        <w:rPr>
          <w:b/>
          <w:bCs/>
          <w:color w:val="FF0000"/>
        </w:rPr>
        <w:t xml:space="preserve"> </w:t>
      </w:r>
    </w:p>
    <w:p w14:paraId="732F819B" w14:textId="7E907290" w:rsidR="003D0EC8" w:rsidRDefault="003D0EC8" w:rsidP="000451B4">
      <w:pPr>
        <w:rPr>
          <w:b/>
          <w:bCs/>
        </w:rPr>
      </w:pPr>
      <w:r>
        <w:rPr>
          <w:b/>
          <w:bCs/>
        </w:rPr>
        <w:t>Summary:</w:t>
      </w:r>
    </w:p>
    <w:p w14:paraId="75136616" w14:textId="77777777" w:rsidR="003D0EC8" w:rsidRDefault="003D0EC8" w:rsidP="003D0EC8">
      <w:r>
        <w:t xml:space="preserve">Some history: submission 11-23-393 added that based on some corner case scenario of the TPE in the beacon changing between the last decoding of the beacon and the initiation of the FTM procedure. However, this is not a unique </w:t>
      </w:r>
      <w:proofErr w:type="spellStart"/>
      <w:r>
        <w:t>behabior</w:t>
      </w:r>
      <w:proofErr w:type="spellEnd"/>
      <w:r>
        <w:t xml:space="preserve"> to any other </w:t>
      </w:r>
      <w:proofErr w:type="spellStart"/>
      <w:r>
        <w:t>unassociated</w:t>
      </w:r>
      <w:proofErr w:type="spellEnd"/>
      <w:r>
        <w:t xml:space="preserve"> operation (e.g. ANQP) and creates a bunch of issues such as making legacy STAs non-compliant. </w:t>
      </w:r>
    </w:p>
    <w:p w14:paraId="177E1779" w14:textId="1FA37572" w:rsidR="007F147F" w:rsidRDefault="007F147F" w:rsidP="003D0EC8">
      <w:r>
        <w:t xml:space="preserve">The proposed mechanism does not solve the changing in the TPE value scenario, as TPE changes may occur during an FTM session, meaning the ISTA is required to follow the Beacon’s TPE anyway. </w:t>
      </w:r>
    </w:p>
    <w:p w14:paraId="6DD735C4" w14:textId="77777777" w:rsidR="003D0EC8" w:rsidRDefault="003D0EC8" w:rsidP="003D0EC8">
      <w:r>
        <w:t xml:space="preserve">Proposed solution is to rely on TPE in the Beacon like all other procedures executed in the associated or </w:t>
      </w:r>
      <w:proofErr w:type="spellStart"/>
      <w:r>
        <w:t>unassociated</w:t>
      </w:r>
      <w:proofErr w:type="spellEnd"/>
      <w:r>
        <w:t xml:space="preserve"> modes. </w:t>
      </w:r>
    </w:p>
    <w:p w14:paraId="5E1C2B80" w14:textId="77777777" w:rsidR="003D0EC8" w:rsidRDefault="003D0EC8" w:rsidP="000451B4">
      <w:pPr>
        <w:rPr>
          <w:b/>
          <w:bCs/>
        </w:rPr>
      </w:pPr>
    </w:p>
    <w:p w14:paraId="4E69DF7E" w14:textId="512D9E3B" w:rsidR="00675301" w:rsidRPr="00840217" w:rsidRDefault="00840217" w:rsidP="000451B4">
      <w:pPr>
        <w:rPr>
          <w:b/>
          <w:bCs/>
        </w:rPr>
      </w:pPr>
      <w:r w:rsidRPr="00840217">
        <w:rPr>
          <w:b/>
          <w:bCs/>
        </w:rPr>
        <w:t>Making legacy devices non-standard compliant</w:t>
      </w:r>
    </w:p>
    <w:p w14:paraId="38475AFE" w14:textId="02F364AC" w:rsidR="000451B4" w:rsidRDefault="00E3510E" w:rsidP="000451B4">
      <w:r>
        <w:t xml:space="preserve">The </w:t>
      </w:r>
      <w:r w:rsidR="00945C23">
        <w:t xml:space="preserve">current text indicates the TPE as optionally present in all variations of the </w:t>
      </w:r>
      <w:r w:rsidR="00044BE1">
        <w:t xml:space="preserve">FTM frame, this is unlike other optional fields such as FTM Parameters, Ranging Parameters and </w:t>
      </w:r>
      <w:r w:rsidR="00E36578">
        <w:t>others which are limited to NTB/TB or EDCA based operation.</w:t>
      </w:r>
    </w:p>
    <w:p w14:paraId="3D62D8A8" w14:textId="5BE75210" w:rsidR="00E36578" w:rsidRPr="00901D42" w:rsidRDefault="00B76148" w:rsidP="00901D42">
      <w:pPr>
        <w:rPr>
          <w:i/>
          <w:iCs/>
        </w:rPr>
      </w:pPr>
      <w:r w:rsidRPr="00901D42">
        <w:rPr>
          <w:i/>
          <w:iCs/>
        </w:rPr>
        <w:t>“</w:t>
      </w:r>
      <w:r w:rsidR="00901D42" w:rsidRPr="00901D42">
        <w:rPr>
          <w:i/>
          <w:iCs/>
        </w:rPr>
        <w:t>The Transmit Power Envelope field is optionally present. If present, it contains one or more Transmit Power Envelope elements as defined 9.4.2.160 (Transmit Power Envelope element).”</w:t>
      </w:r>
    </w:p>
    <w:p w14:paraId="6E1D55F2" w14:textId="77777777" w:rsidR="00937876" w:rsidRDefault="003C0546" w:rsidP="00937876">
      <w:r w:rsidRPr="003C0546">
        <w:t>Compared to</w:t>
      </w:r>
      <w:r w:rsidR="00937876">
        <w:t>:</w:t>
      </w:r>
    </w:p>
    <w:p w14:paraId="04373E60" w14:textId="76771EAB" w:rsidR="00CF500A" w:rsidRPr="003C0546" w:rsidRDefault="00937876" w:rsidP="00937876">
      <w:r w:rsidRPr="00937876">
        <w:rPr>
          <w:i/>
          <w:iCs/>
        </w:rPr>
        <w:t xml:space="preserve">“The Ranging Parameters element is optionally present. It is present in an IFTM frame and its retransmissions, </w:t>
      </w:r>
      <w:r w:rsidRPr="00F836A4">
        <w:rPr>
          <w:i/>
          <w:iCs/>
          <w:u w:val="single"/>
        </w:rPr>
        <w:t>when negotiating non-TB ranging</w:t>
      </w:r>
      <w:r w:rsidRPr="00937876">
        <w:rPr>
          <w:i/>
          <w:iCs/>
        </w:rPr>
        <w:t>;”</w:t>
      </w:r>
    </w:p>
    <w:p w14:paraId="51331332" w14:textId="70050E7A" w:rsidR="00CF500A" w:rsidRDefault="00F836A4" w:rsidP="000451B4">
      <w:r>
        <w:t>OR:</w:t>
      </w:r>
    </w:p>
    <w:p w14:paraId="3B5F4DB8" w14:textId="39B38454" w:rsidR="00F836A4" w:rsidRPr="00965871" w:rsidRDefault="00883C3A" w:rsidP="00883C3A">
      <w:pPr>
        <w:rPr>
          <w:i/>
          <w:iCs/>
        </w:rPr>
      </w:pPr>
      <w:r w:rsidRPr="00965871">
        <w:rPr>
          <w:i/>
          <w:iCs/>
        </w:rPr>
        <w:t xml:space="preserve">“The Secure HE-LTF Parameters element is optionally present. It is present in an IFTM frame, </w:t>
      </w:r>
      <w:r w:rsidRPr="00965871">
        <w:rPr>
          <w:i/>
          <w:iCs/>
          <w:u w:val="single"/>
        </w:rPr>
        <w:t>if the IFTMR frame contained a Ranging Parameters element</w:t>
      </w:r>
      <w:r w:rsidRPr="00965871">
        <w:rPr>
          <w:i/>
          <w:iCs/>
        </w:rPr>
        <w:t>”</w:t>
      </w:r>
    </w:p>
    <w:p w14:paraId="65FBFF98" w14:textId="2BBC67FB" w:rsidR="00F836A4" w:rsidRDefault="00883C3A" w:rsidP="000451B4">
      <w:r>
        <w:t>OR:</w:t>
      </w:r>
    </w:p>
    <w:p w14:paraId="3FF109C7" w14:textId="791E36AA" w:rsidR="00883C3A" w:rsidRPr="00965871" w:rsidRDefault="00965871" w:rsidP="00965871">
      <w:pPr>
        <w:rPr>
          <w:i/>
          <w:iCs/>
        </w:rPr>
      </w:pPr>
      <w:r w:rsidRPr="00965871">
        <w:rPr>
          <w:i/>
          <w:iCs/>
        </w:rPr>
        <w:t xml:space="preserve">“The FTM Parameters field is optionally present. It is present in an IFTM frame and its retransmissions </w:t>
      </w:r>
      <w:r w:rsidRPr="00965871">
        <w:rPr>
          <w:i/>
          <w:iCs/>
          <w:u w:val="single"/>
        </w:rPr>
        <w:t>when negotiating EDCA based ranging</w:t>
      </w:r>
      <w:r w:rsidRPr="00965871">
        <w:rPr>
          <w:i/>
          <w:iCs/>
        </w:rPr>
        <w:t>”</w:t>
      </w:r>
    </w:p>
    <w:p w14:paraId="0B451568" w14:textId="77777777" w:rsidR="00883C3A" w:rsidRDefault="00883C3A" w:rsidP="000451B4"/>
    <w:p w14:paraId="16D245BF" w14:textId="150F9F38" w:rsidR="00AE6873" w:rsidRDefault="00AE6873" w:rsidP="000451B4">
      <w:r>
        <w:t xml:space="preserve">And supportive normative </w:t>
      </w:r>
      <w:proofErr w:type="spellStart"/>
      <w:r>
        <w:t>behavior</w:t>
      </w:r>
      <w:proofErr w:type="spellEnd"/>
      <w:r>
        <w:t>:</w:t>
      </w:r>
    </w:p>
    <w:p w14:paraId="37FD1D20" w14:textId="2749EDDD" w:rsidR="002E1719" w:rsidRPr="00AE6873" w:rsidRDefault="00D83AC7" w:rsidP="00272A64">
      <w:pPr>
        <w:rPr>
          <w:i/>
          <w:iCs/>
        </w:rPr>
      </w:pPr>
      <w:r>
        <w:t>“</w:t>
      </w:r>
      <w:r w:rsidR="00AE6873" w:rsidRPr="00AE6873">
        <w:rPr>
          <w:i/>
          <w:iCs/>
        </w:rPr>
        <w:t>If an RSTA is a standard power AP or an indoor standard power AP, the RSTA shall include at</w:t>
      </w:r>
      <w:r w:rsidR="00272A64">
        <w:rPr>
          <w:i/>
          <w:iCs/>
        </w:rPr>
        <w:t xml:space="preserve"> </w:t>
      </w:r>
      <w:r w:rsidR="00AE6873" w:rsidRPr="00AE6873">
        <w:rPr>
          <w:i/>
          <w:iCs/>
        </w:rPr>
        <w:t>least one Transmit Power Envelope element in an FTM frame.</w:t>
      </w:r>
      <w:r w:rsidR="00AE6873">
        <w:rPr>
          <w:i/>
          <w:iCs/>
        </w:rPr>
        <w:t>”</w:t>
      </w:r>
    </w:p>
    <w:p w14:paraId="7899CA44" w14:textId="77777777" w:rsidR="006E51F7" w:rsidRDefault="006E51F7" w:rsidP="000451B4"/>
    <w:p w14:paraId="0C0E1683" w14:textId="759F3AA5" w:rsidR="00D83AC7" w:rsidRDefault="00006CA6" w:rsidP="000451B4">
      <w:r>
        <w:t xml:space="preserve">While </w:t>
      </w:r>
      <w:r w:rsidR="00B17DB0">
        <w:t xml:space="preserve">for RSTA that are not </w:t>
      </w:r>
      <w:r w:rsidR="0025350F">
        <w:t>indoor or standard power AP:</w:t>
      </w:r>
    </w:p>
    <w:p w14:paraId="36B32C1E" w14:textId="485B6785" w:rsidR="0025350F" w:rsidRPr="006E51F7" w:rsidRDefault="0025350F" w:rsidP="006E51F7">
      <w:pPr>
        <w:rPr>
          <w:i/>
          <w:iCs/>
        </w:rPr>
      </w:pPr>
      <w:r w:rsidRPr="006E51F7">
        <w:rPr>
          <w:i/>
          <w:iCs/>
        </w:rPr>
        <w:t>“</w:t>
      </w:r>
      <w:r w:rsidR="006E51F7" w:rsidRPr="006E51F7">
        <w:rPr>
          <w:i/>
          <w:iCs/>
        </w:rPr>
        <w:t>If an RSTA is neither a standard power AP nor an indoor standard power AP, the RSTA should include at least one Transmit Power Envelope element(s) in an FTM frame.</w:t>
      </w:r>
      <w:r w:rsidR="006E51F7">
        <w:rPr>
          <w:i/>
          <w:iCs/>
        </w:rPr>
        <w:t>”</w:t>
      </w:r>
    </w:p>
    <w:p w14:paraId="1067F714" w14:textId="77777777" w:rsidR="0025350F" w:rsidRDefault="0025350F" w:rsidP="000451B4"/>
    <w:p w14:paraId="07D2E3C2" w14:textId="6D447345" w:rsidR="00C621F9" w:rsidRDefault="00E456CA" w:rsidP="008B273E">
      <w:r>
        <w:t xml:space="preserve">If the TPE is </w:t>
      </w:r>
      <w:r w:rsidR="006719EB">
        <w:t xml:space="preserve">allowed to be </w:t>
      </w:r>
      <w:r>
        <w:t xml:space="preserve">included in all </w:t>
      </w:r>
      <w:r w:rsidR="00C94862">
        <w:t xml:space="preserve">variants of the protocol, </w:t>
      </w:r>
      <w:r w:rsidR="003C5C2D">
        <w:t>legacy</w:t>
      </w:r>
      <w:r w:rsidR="00C94862">
        <w:t xml:space="preserve"> devices </w:t>
      </w:r>
      <w:r w:rsidR="00493434">
        <w:t>are now expected to parse and behave in accordance with</w:t>
      </w:r>
      <w:r w:rsidR="00142D1C">
        <w:t xml:space="preserve"> new functionality they don’t support, thus become non-standard compliant. </w:t>
      </w:r>
    </w:p>
    <w:p w14:paraId="05B1A1D3" w14:textId="77777777" w:rsidR="008B273E" w:rsidRDefault="008B273E" w:rsidP="008B273E">
      <w:pPr>
        <w:rPr>
          <w:b/>
          <w:bCs/>
        </w:rPr>
      </w:pPr>
    </w:p>
    <w:p w14:paraId="48B0C4EA" w14:textId="0463E849" w:rsidR="005A3243" w:rsidRPr="00C621F9" w:rsidRDefault="00C621F9" w:rsidP="000451B4">
      <w:pPr>
        <w:rPr>
          <w:b/>
          <w:bCs/>
        </w:rPr>
      </w:pPr>
      <w:r w:rsidRPr="00C621F9">
        <w:rPr>
          <w:b/>
          <w:bCs/>
        </w:rPr>
        <w:t xml:space="preserve">Ambiguous expected </w:t>
      </w:r>
      <w:proofErr w:type="spellStart"/>
      <w:r w:rsidRPr="00C621F9">
        <w:rPr>
          <w:b/>
          <w:bCs/>
        </w:rPr>
        <w:t>behavior</w:t>
      </w:r>
      <w:proofErr w:type="spellEnd"/>
      <w:r w:rsidRPr="00C621F9">
        <w:rPr>
          <w:b/>
          <w:bCs/>
        </w:rPr>
        <w:t xml:space="preserve"> for </w:t>
      </w:r>
      <w:r>
        <w:rPr>
          <w:b/>
          <w:bCs/>
        </w:rPr>
        <w:t xml:space="preserve">new </w:t>
      </w:r>
      <w:r w:rsidRPr="00C621F9">
        <w:rPr>
          <w:b/>
          <w:bCs/>
        </w:rPr>
        <w:t>devices</w:t>
      </w:r>
    </w:p>
    <w:p w14:paraId="133E0C6A" w14:textId="1EFB68A8" w:rsidR="00965871" w:rsidRDefault="00C621F9" w:rsidP="000451B4">
      <w:r>
        <w:t>In</w:t>
      </w:r>
      <w:r w:rsidR="00D70303">
        <w:t xml:space="preserve"> additional </w:t>
      </w:r>
      <w:r w:rsidR="003A78FA">
        <w:t xml:space="preserve">to the legacy </w:t>
      </w:r>
      <w:r>
        <w:t>non-</w:t>
      </w:r>
      <w:r w:rsidR="003A78FA">
        <w:t xml:space="preserve">compliance issues, a separate </w:t>
      </w:r>
      <w:r w:rsidR="00802EF7">
        <w:t xml:space="preserve">issue </w:t>
      </w:r>
      <w:r w:rsidR="005A200E">
        <w:t xml:space="preserve">is </w:t>
      </w:r>
      <w:r w:rsidR="00802EF7">
        <w:t xml:space="preserve">ambiguous expected </w:t>
      </w:r>
      <w:proofErr w:type="spellStart"/>
      <w:r w:rsidR="00802EF7">
        <w:t>behavior</w:t>
      </w:r>
      <w:proofErr w:type="spellEnd"/>
      <w:r w:rsidR="00802EF7">
        <w:t xml:space="preserve"> from </w:t>
      </w:r>
      <w:r w:rsidR="009E4819">
        <w:t xml:space="preserve">new devices that </w:t>
      </w:r>
      <w:r w:rsidR="00405F7B">
        <w:t>supports the TPE in the FTM:</w:t>
      </w:r>
    </w:p>
    <w:p w14:paraId="6D70AAAC" w14:textId="74C5C246" w:rsidR="00405F7B" w:rsidRDefault="00405F7B" w:rsidP="00405F7B">
      <w:pPr>
        <w:pStyle w:val="ListParagraph"/>
        <w:numPr>
          <w:ilvl w:val="0"/>
          <w:numId w:val="22"/>
        </w:numPr>
        <w:ind w:leftChars="0"/>
      </w:pPr>
      <w:r>
        <w:t>What take</w:t>
      </w:r>
      <w:r w:rsidR="00782415">
        <w:t>s</w:t>
      </w:r>
      <w:r>
        <w:t xml:space="preserve"> precedence? The TPE in the FTM or the Beacon?</w:t>
      </w:r>
    </w:p>
    <w:p w14:paraId="7CEDB9A1" w14:textId="08477360" w:rsidR="00405F7B" w:rsidRDefault="00405F7B" w:rsidP="00405F7B">
      <w:pPr>
        <w:pStyle w:val="ListParagraph"/>
        <w:numPr>
          <w:ilvl w:val="0"/>
          <w:numId w:val="22"/>
        </w:numPr>
        <w:ind w:leftChars="0"/>
      </w:pPr>
      <w:r>
        <w:t>What happens if a TPE is not included in the FTM? Should an ISTA wait for the beacon?</w:t>
      </w:r>
    </w:p>
    <w:p w14:paraId="090716E9" w14:textId="2719CB1C" w:rsidR="00405F7B" w:rsidRDefault="00405F7B" w:rsidP="00405F7B">
      <w:pPr>
        <w:pStyle w:val="ListParagraph"/>
        <w:numPr>
          <w:ilvl w:val="0"/>
          <w:numId w:val="22"/>
        </w:numPr>
        <w:ind w:leftChars="0"/>
      </w:pPr>
      <w:r>
        <w:t xml:space="preserve">Can the TPE in the beacon be different than the TPE in the </w:t>
      </w:r>
      <w:r w:rsidR="001B5100">
        <w:t>FTM frame?</w:t>
      </w:r>
    </w:p>
    <w:p w14:paraId="1D836E1C" w14:textId="77777777" w:rsidR="005E1EAF" w:rsidRDefault="005E1EAF" w:rsidP="00753962"/>
    <w:p w14:paraId="56FEA993" w14:textId="77777777" w:rsidR="001552C1" w:rsidRDefault="001552C1" w:rsidP="00753962">
      <w:pPr>
        <w:rPr>
          <w:b/>
          <w:bCs/>
        </w:rPr>
      </w:pPr>
    </w:p>
    <w:p w14:paraId="1CB78E0B" w14:textId="0927CD61" w:rsidR="00065BAF" w:rsidRPr="00065BAF" w:rsidRDefault="00065BAF" w:rsidP="00753962">
      <w:pPr>
        <w:rPr>
          <w:b/>
          <w:bCs/>
        </w:rPr>
      </w:pPr>
      <w:r w:rsidRPr="00065BAF">
        <w:rPr>
          <w:b/>
          <w:bCs/>
        </w:rPr>
        <w:t>Resolution:</w:t>
      </w:r>
    </w:p>
    <w:p w14:paraId="79238709" w14:textId="6875333F" w:rsidR="00065BAF" w:rsidRPr="002B66B8" w:rsidRDefault="00065BAF" w:rsidP="00F92CF8">
      <w:pPr>
        <w:rPr>
          <w:b/>
          <w:bCs/>
        </w:rPr>
      </w:pPr>
      <w:proofErr w:type="spellStart"/>
      <w:r w:rsidRPr="002B66B8">
        <w:rPr>
          <w:b/>
          <w:bCs/>
        </w:rPr>
        <w:t>TGaz</w:t>
      </w:r>
      <w:proofErr w:type="spellEnd"/>
      <w:r w:rsidRPr="002B66B8">
        <w:rPr>
          <w:b/>
          <w:bCs/>
        </w:rPr>
        <w:t xml:space="preserve"> editor </w:t>
      </w:r>
      <w:r w:rsidR="00F92CF8" w:rsidRPr="002B66B8">
        <w:rPr>
          <w:b/>
          <w:bCs/>
        </w:rPr>
        <w:t xml:space="preserve">in </w:t>
      </w:r>
      <w:r w:rsidRPr="002B66B8">
        <w:rPr>
          <w:b/>
          <w:bCs/>
        </w:rPr>
        <w:t>P802.11bk D3.0</w:t>
      </w:r>
      <w:r w:rsidR="00F92CF8" w:rsidRPr="002B66B8">
        <w:rPr>
          <w:b/>
          <w:bCs/>
        </w:rPr>
        <w:t xml:space="preserve"> delete paragraph insertion</w:t>
      </w:r>
      <w:r w:rsidR="00F92CF8" w:rsidRPr="002B66B8">
        <w:t xml:space="preserve"> </w:t>
      </w:r>
      <w:r w:rsidR="00F92CF8" w:rsidRPr="002B66B8">
        <w:rPr>
          <w:b/>
          <w:bCs/>
        </w:rPr>
        <w:t xml:space="preserve">in </w:t>
      </w:r>
      <w:r w:rsidR="007A5BCB" w:rsidRPr="002B66B8">
        <w:rPr>
          <w:b/>
          <w:bCs/>
        </w:rPr>
        <w:t xml:space="preserve">p.36 L.17 – 26 </w:t>
      </w:r>
      <w:r w:rsidR="00341284" w:rsidRPr="002B66B8">
        <w:rPr>
          <w:b/>
          <w:bCs/>
        </w:rPr>
        <w:t xml:space="preserve">at the end of subclause 11.21.6.3.3. </w:t>
      </w:r>
    </w:p>
    <w:p w14:paraId="5A95EAF9" w14:textId="379F2C05" w:rsidR="002B66B8" w:rsidRPr="001E1B76" w:rsidRDefault="00AF66A9" w:rsidP="00F92CF8">
      <w:pPr>
        <w:rPr>
          <w:b/>
          <w:bCs/>
        </w:rPr>
      </w:pPr>
      <w:proofErr w:type="spellStart"/>
      <w:r w:rsidRPr="001E1B76">
        <w:rPr>
          <w:b/>
          <w:bCs/>
        </w:rPr>
        <w:t>TGaz</w:t>
      </w:r>
      <w:proofErr w:type="spellEnd"/>
      <w:r w:rsidRPr="001E1B76">
        <w:rPr>
          <w:b/>
          <w:bCs/>
        </w:rPr>
        <w:t xml:space="preserve"> editor i</w:t>
      </w:r>
      <w:r w:rsidR="002B66B8" w:rsidRPr="001E1B76">
        <w:rPr>
          <w:b/>
          <w:bCs/>
        </w:rPr>
        <w:t xml:space="preserve">n </w:t>
      </w:r>
      <w:r w:rsidRPr="001E1B76">
        <w:rPr>
          <w:b/>
          <w:bCs/>
        </w:rPr>
        <w:t xml:space="preserve">P802.11bk D3.0 </w:t>
      </w:r>
      <w:r w:rsidR="002B66B8" w:rsidRPr="001E1B76">
        <w:rPr>
          <w:b/>
          <w:bCs/>
        </w:rPr>
        <w:t xml:space="preserve">P.32 </w:t>
      </w:r>
      <w:r w:rsidRPr="001E1B76">
        <w:rPr>
          <w:b/>
          <w:bCs/>
        </w:rPr>
        <w:t xml:space="preserve">figure 9-1218 delete </w:t>
      </w:r>
      <w:r w:rsidR="001E1B76" w:rsidRPr="001E1B76">
        <w:rPr>
          <w:b/>
          <w:bCs/>
        </w:rPr>
        <w:t xml:space="preserve">Transmit Power </w:t>
      </w:r>
      <w:proofErr w:type="spellStart"/>
      <w:r w:rsidR="001E1B76" w:rsidRPr="001E1B76">
        <w:rPr>
          <w:b/>
          <w:bCs/>
        </w:rPr>
        <w:t>Envlope</w:t>
      </w:r>
      <w:proofErr w:type="spellEnd"/>
      <w:r w:rsidR="001E1B76" w:rsidRPr="001E1B76">
        <w:rPr>
          <w:b/>
          <w:bCs/>
        </w:rPr>
        <w:t xml:space="preserve"> field insertion. </w:t>
      </w:r>
    </w:p>
    <w:p w14:paraId="51ED3251" w14:textId="67451BCC" w:rsidR="002B66B8" w:rsidRPr="007D7499" w:rsidRDefault="001E1B76" w:rsidP="00F92CF8">
      <w:pPr>
        <w:rPr>
          <w:b/>
          <w:bCs/>
        </w:rPr>
      </w:pPr>
      <w:proofErr w:type="spellStart"/>
      <w:r w:rsidRPr="007D7499">
        <w:rPr>
          <w:b/>
          <w:bCs/>
        </w:rPr>
        <w:t>TGaz</w:t>
      </w:r>
      <w:proofErr w:type="spellEnd"/>
      <w:r w:rsidRPr="007D7499">
        <w:rPr>
          <w:b/>
          <w:bCs/>
        </w:rPr>
        <w:t xml:space="preserve"> editor in P802.11bk D3.0 P.32 delete lines</w:t>
      </w:r>
      <w:r w:rsidR="007D7499" w:rsidRPr="007D7499">
        <w:rPr>
          <w:b/>
          <w:bCs/>
        </w:rPr>
        <w:t xml:space="preserve"> 6-8. </w:t>
      </w:r>
    </w:p>
    <w:p w14:paraId="075B3A34" w14:textId="77777777" w:rsidR="00CE2ED7" w:rsidRDefault="00CE2ED7" w:rsidP="00B41646"/>
    <w:p w14:paraId="601575F4" w14:textId="77777777" w:rsidR="00CE2ED7" w:rsidRDefault="00CE2ED7" w:rsidP="00B41646"/>
    <w:p w14:paraId="01EA4514" w14:textId="77777777" w:rsidR="001B1979" w:rsidRPr="00065BAF" w:rsidRDefault="001B1979" w:rsidP="00B41646"/>
    <w:p w14:paraId="0F755C45" w14:textId="77777777" w:rsidR="009B2D32" w:rsidRPr="007C52AF" w:rsidRDefault="009B2D32" w:rsidP="005C28D2">
      <w:pPr>
        <w:rPr>
          <w:color w:val="FF000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1552C1" w:rsidRPr="00677427" w14:paraId="36014F20" w14:textId="77777777" w:rsidTr="001A722F">
        <w:trPr>
          <w:trHeight w:val="373"/>
        </w:trPr>
        <w:tc>
          <w:tcPr>
            <w:tcW w:w="541" w:type="dxa"/>
          </w:tcPr>
          <w:p w14:paraId="02BC541B"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14:paraId="0DF35246" w14:textId="77777777" w:rsidR="001552C1" w:rsidRPr="00677427" w:rsidRDefault="001552C1" w:rsidP="001A722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080" w:type="dxa"/>
          </w:tcPr>
          <w:p w14:paraId="4AA7FF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29FB17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20BAB4E1"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35B9DA87" w14:textId="77777777" w:rsidR="001552C1" w:rsidRPr="00677427" w:rsidRDefault="001552C1"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B395C" w:rsidRPr="0086170E" w14:paraId="3B8A093A" w14:textId="77777777" w:rsidTr="001A722F">
        <w:trPr>
          <w:trHeight w:val="1002"/>
        </w:trPr>
        <w:tc>
          <w:tcPr>
            <w:tcW w:w="541" w:type="dxa"/>
          </w:tcPr>
          <w:p w14:paraId="6B454F8C" w14:textId="665B33F7" w:rsidR="008B395C" w:rsidRPr="0086170E" w:rsidRDefault="008B395C" w:rsidP="008B395C">
            <w:pPr>
              <w:rPr>
                <w:szCs w:val="18"/>
                <w:lang w:val="en-US"/>
              </w:rPr>
            </w:pPr>
            <w:r>
              <w:rPr>
                <w:szCs w:val="18"/>
                <w:lang w:val="en-US"/>
              </w:rPr>
              <w:t>I-10</w:t>
            </w:r>
          </w:p>
        </w:tc>
        <w:tc>
          <w:tcPr>
            <w:tcW w:w="630" w:type="dxa"/>
          </w:tcPr>
          <w:p w14:paraId="5D098E4A" w14:textId="358A8DAB" w:rsidR="008B395C" w:rsidRPr="0086170E" w:rsidRDefault="008B395C" w:rsidP="008B395C">
            <w:pPr>
              <w:rPr>
                <w:szCs w:val="18"/>
                <w:lang w:val="en-US"/>
              </w:rPr>
            </w:pPr>
            <w:r>
              <w:rPr>
                <w:szCs w:val="18"/>
                <w:lang w:val="en-US"/>
              </w:rPr>
              <w:t>32.6</w:t>
            </w:r>
          </w:p>
        </w:tc>
        <w:tc>
          <w:tcPr>
            <w:tcW w:w="1080" w:type="dxa"/>
          </w:tcPr>
          <w:p w14:paraId="52A4A465" w14:textId="5A7CCA8B" w:rsidR="008B395C" w:rsidRPr="0086170E" w:rsidRDefault="008B395C" w:rsidP="008B395C">
            <w:pPr>
              <w:rPr>
                <w:szCs w:val="18"/>
                <w:lang w:val="en-US"/>
              </w:rPr>
            </w:pPr>
            <w:r>
              <w:rPr>
                <w:szCs w:val="18"/>
                <w:lang w:val="en-US"/>
              </w:rPr>
              <w:t>11.21.6.3.1</w:t>
            </w:r>
          </w:p>
        </w:tc>
        <w:tc>
          <w:tcPr>
            <w:tcW w:w="3510" w:type="dxa"/>
          </w:tcPr>
          <w:p w14:paraId="114385AB" w14:textId="2A143867" w:rsidR="008B395C" w:rsidRPr="0086170E" w:rsidRDefault="008B395C" w:rsidP="008B395C">
            <w:pPr>
              <w:rPr>
                <w:szCs w:val="18"/>
                <w:lang w:val="en-US"/>
              </w:rPr>
            </w:pPr>
            <w:r w:rsidRPr="00C46B15">
              <w:t xml:space="preserve">Question, can an associated STA in EMLSR mode perform ranging measurement on more than one link - this statement seems to say that one FTM session </w:t>
            </w:r>
            <w:proofErr w:type="gramStart"/>
            <w:r w:rsidRPr="00C46B15">
              <w:t>has to</w:t>
            </w:r>
            <w:proofErr w:type="gramEnd"/>
            <w:r w:rsidRPr="00C46B15">
              <w:t xml:space="preserve"> be specific to one link, but can there be two sessions? One per link and how is that signalled?</w:t>
            </w:r>
          </w:p>
        </w:tc>
        <w:tc>
          <w:tcPr>
            <w:tcW w:w="2430" w:type="dxa"/>
          </w:tcPr>
          <w:p w14:paraId="666BB5D4" w14:textId="636BB52D" w:rsidR="008B395C" w:rsidRPr="0086170E" w:rsidRDefault="008B395C" w:rsidP="008B395C">
            <w:pPr>
              <w:rPr>
                <w:szCs w:val="18"/>
                <w:lang w:val="en-US"/>
              </w:rPr>
            </w:pPr>
            <w:r w:rsidRPr="00C46B15">
              <w:t>As in comment</w:t>
            </w:r>
          </w:p>
        </w:tc>
        <w:tc>
          <w:tcPr>
            <w:tcW w:w="2340" w:type="dxa"/>
          </w:tcPr>
          <w:p w14:paraId="2C51EF43" w14:textId="536B71B1" w:rsidR="008B395C" w:rsidRDefault="001B7D79" w:rsidP="008B395C">
            <w:pPr>
              <w:rPr>
                <w:szCs w:val="18"/>
                <w:lang w:val="en-US"/>
              </w:rPr>
            </w:pPr>
            <w:r>
              <w:rPr>
                <w:szCs w:val="18"/>
                <w:lang w:val="en-US"/>
              </w:rPr>
              <w:t>Reject.</w:t>
            </w:r>
          </w:p>
          <w:p w14:paraId="1FF77360" w14:textId="77777777" w:rsidR="009F5F81" w:rsidRDefault="009F5F81" w:rsidP="007A4980">
            <w:pPr>
              <w:rPr>
                <w:szCs w:val="18"/>
                <w:lang w:val="en-US"/>
              </w:rPr>
            </w:pPr>
          </w:p>
          <w:p w14:paraId="1747E0DC" w14:textId="12EC00D2" w:rsidR="00710268" w:rsidRPr="0086170E" w:rsidRDefault="009F5F81" w:rsidP="007A4980">
            <w:pPr>
              <w:rPr>
                <w:szCs w:val="18"/>
                <w:lang w:val="en-US"/>
              </w:rPr>
            </w:pPr>
            <w:r>
              <w:rPr>
                <w:szCs w:val="18"/>
                <w:lang w:val="en-US"/>
              </w:rPr>
              <w:t xml:space="preserve">See detailed discussion in </w:t>
            </w:r>
            <w:r w:rsidR="00506BAF">
              <w:rPr>
                <w:szCs w:val="18"/>
                <w:lang w:val="en-US"/>
              </w:rPr>
              <w:t>R</w:t>
            </w:r>
            <w:r w:rsidR="009C4E2F">
              <w:rPr>
                <w:szCs w:val="18"/>
                <w:lang w:val="en-US"/>
              </w:rPr>
              <w:t>0</w:t>
            </w:r>
            <w:r w:rsidR="00506BAF">
              <w:rPr>
                <w:szCs w:val="18"/>
                <w:lang w:val="en-US"/>
              </w:rPr>
              <w:t xml:space="preserve"> of </w:t>
            </w:r>
            <w:r w:rsidR="00BF3E3B">
              <w:rPr>
                <w:szCs w:val="18"/>
                <w:lang w:val="en-US"/>
              </w:rPr>
              <w:t xml:space="preserve">submission </w:t>
            </w:r>
            <w:hyperlink r:id="rId13" w:history="1">
              <w:r w:rsidR="00506BAF" w:rsidRPr="00097500">
                <w:rPr>
                  <w:rStyle w:val="Hyperlink"/>
                  <w:szCs w:val="18"/>
                  <w:lang w:val="en-US"/>
                </w:rPr>
                <w:t>https://mentor.ieee.org/802.11/documents?is_dcn=1986</w:t>
              </w:r>
            </w:hyperlink>
            <w:r w:rsidR="00506BAF">
              <w:rPr>
                <w:szCs w:val="18"/>
                <w:lang w:val="en-US"/>
              </w:rPr>
              <w:t xml:space="preserve"> </w:t>
            </w:r>
            <w:r w:rsidR="00BF3E3B">
              <w:rPr>
                <w:szCs w:val="18"/>
                <w:lang w:val="en-US"/>
              </w:rPr>
              <w:t>below.</w:t>
            </w:r>
          </w:p>
        </w:tc>
      </w:tr>
    </w:tbl>
    <w:p w14:paraId="314803E1" w14:textId="7739A399" w:rsidR="008D070F" w:rsidRDefault="008D070F" w:rsidP="001552C1">
      <w:pPr>
        <w:rPr>
          <w:rFonts w:eastAsia="Batang"/>
          <w:b/>
          <w:bCs/>
          <w:sz w:val="20"/>
        </w:rPr>
      </w:pPr>
    </w:p>
    <w:p w14:paraId="2D43B044" w14:textId="26132574" w:rsidR="00004633" w:rsidRDefault="00004633" w:rsidP="001552C1">
      <w:pPr>
        <w:rPr>
          <w:rFonts w:eastAsia="Batang"/>
          <w:b/>
          <w:bCs/>
          <w:sz w:val="20"/>
        </w:rPr>
      </w:pPr>
      <w:r>
        <w:rPr>
          <w:rFonts w:eastAsia="Batang"/>
          <w:b/>
          <w:bCs/>
          <w:sz w:val="20"/>
        </w:rPr>
        <w:t>Discussion:</w:t>
      </w:r>
    </w:p>
    <w:p w14:paraId="6BE1C338" w14:textId="77777777" w:rsidR="002F48A9" w:rsidRDefault="00AD70E7" w:rsidP="00582168">
      <w:pPr>
        <w:rPr>
          <w:rFonts w:eastAsia="Batang"/>
          <w:sz w:val="20"/>
        </w:rPr>
      </w:pPr>
      <w:r>
        <w:rPr>
          <w:rFonts w:eastAsia="Batang"/>
          <w:sz w:val="20"/>
        </w:rPr>
        <w:t>FTM frames are processed at the link level rather than at the MLD layer, this means the FTM is limited to that specific link refer to 802.11be D7.0</w:t>
      </w:r>
      <w:r w:rsidR="00582168">
        <w:rPr>
          <w:rFonts w:eastAsia="Batang"/>
          <w:sz w:val="20"/>
        </w:rPr>
        <w:t xml:space="preserve"> </w:t>
      </w:r>
    </w:p>
    <w:p w14:paraId="38657FF3" w14:textId="3FE20503" w:rsidR="002F48A9" w:rsidRPr="00873FB5" w:rsidRDefault="00873FB5" w:rsidP="002F48A9">
      <w:pPr>
        <w:rPr>
          <w:rFonts w:eastAsia="Batang"/>
          <w:i/>
          <w:iCs/>
          <w:sz w:val="20"/>
        </w:rPr>
      </w:pPr>
      <w:r>
        <w:rPr>
          <w:rFonts w:eastAsia="Batang"/>
          <w:i/>
          <w:iCs/>
          <w:sz w:val="20"/>
        </w:rPr>
        <w:t>“</w:t>
      </w:r>
      <w:r w:rsidR="002F48A9" w:rsidRPr="00873FB5">
        <w:rPr>
          <w:rFonts w:eastAsia="Batang"/>
          <w:i/>
          <w:iCs/>
          <w:sz w:val="20"/>
        </w:rPr>
        <w:t>35.3.14 MLD individually addressed Management frame delivery</w:t>
      </w:r>
    </w:p>
    <w:p w14:paraId="7BC1C992" w14:textId="1A1DDF02" w:rsidR="002F48A9" w:rsidRPr="00873FB5" w:rsidRDefault="002F48A9" w:rsidP="002F48A9">
      <w:pPr>
        <w:rPr>
          <w:rFonts w:eastAsia="Batang"/>
          <w:i/>
          <w:iCs/>
          <w:sz w:val="20"/>
        </w:rPr>
      </w:pPr>
      <w:r w:rsidRPr="00873FB5">
        <w:rPr>
          <w:rFonts w:eastAsia="Batang"/>
          <w:i/>
          <w:iCs/>
          <w:sz w:val="20"/>
        </w:rPr>
        <w:t xml:space="preserve">…This subclause describes rules for individually addressed management frame delivery by an MLD with the exception of the following </w:t>
      </w:r>
      <w:proofErr w:type="gramStart"/>
      <w:r w:rsidRPr="00873FB5">
        <w:rPr>
          <w:rFonts w:eastAsia="Batang"/>
          <w:i/>
          <w:iCs/>
          <w:sz w:val="20"/>
        </w:rPr>
        <w:t>frames:…</w:t>
      </w:r>
      <w:proofErr w:type="gramEnd"/>
    </w:p>
    <w:p w14:paraId="6E605482" w14:textId="77777777" w:rsidR="001622D9" w:rsidRPr="00873FB5" w:rsidRDefault="001622D9" w:rsidP="001622D9">
      <w:pPr>
        <w:pStyle w:val="ListParagraph"/>
        <w:numPr>
          <w:ilvl w:val="0"/>
          <w:numId w:val="23"/>
        </w:numPr>
        <w:ind w:leftChars="0"/>
        <w:rPr>
          <w:rFonts w:eastAsia="Batang"/>
          <w:i/>
          <w:iCs/>
          <w:sz w:val="20"/>
          <w:lang w:val="en-US"/>
        </w:rPr>
      </w:pPr>
      <w:r w:rsidRPr="00873FB5">
        <w:rPr>
          <w:rFonts w:eastAsia="Batang"/>
          <w:i/>
          <w:iCs/>
          <w:sz w:val="20"/>
          <w:lang w:val="en-US"/>
        </w:rPr>
        <w:t xml:space="preserve">Public Action LMR frame </w:t>
      </w:r>
    </w:p>
    <w:p w14:paraId="433E8C92" w14:textId="77777777" w:rsidR="001622D9"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frame</w:t>
      </w:r>
    </w:p>
    <w:p w14:paraId="5257912A" w14:textId="77777777" w:rsidR="00557C1D"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Request frame</w:t>
      </w:r>
    </w:p>
    <w:p w14:paraId="6A998BF8" w14:textId="6F340C44" w:rsidR="002F48A9" w:rsidRPr="00873FB5" w:rsidRDefault="00C75E43" w:rsidP="00A5645A">
      <w:pPr>
        <w:pStyle w:val="ListParagraph"/>
        <w:numPr>
          <w:ilvl w:val="0"/>
          <w:numId w:val="23"/>
        </w:numPr>
        <w:ind w:leftChars="0"/>
        <w:rPr>
          <w:rFonts w:eastAsia="Batang"/>
          <w:i/>
          <w:iCs/>
          <w:sz w:val="20"/>
        </w:rPr>
      </w:pPr>
      <w:r w:rsidRPr="00873FB5">
        <w:rPr>
          <w:rFonts w:eastAsia="Batang"/>
          <w:i/>
          <w:iCs/>
          <w:sz w:val="20"/>
          <w:lang w:val="en-US"/>
        </w:rPr>
        <w:t>Protected Fine Timing frame</w:t>
      </w:r>
      <w:r w:rsidR="00A63310" w:rsidRPr="00873FB5">
        <w:rPr>
          <w:rFonts w:eastAsia="Batang"/>
          <w:i/>
          <w:iCs/>
          <w:sz w:val="20"/>
          <w:lang w:val="en-US"/>
        </w:rPr>
        <w:t xml:space="preserve">” </w:t>
      </w:r>
    </w:p>
    <w:p w14:paraId="069EA9F0" w14:textId="4F70267E" w:rsidR="002F48A9" w:rsidRDefault="00A63310" w:rsidP="002F48A9">
      <w:pPr>
        <w:rPr>
          <w:rFonts w:eastAsia="Batang"/>
          <w:sz w:val="20"/>
        </w:rPr>
      </w:pPr>
      <w:r>
        <w:rPr>
          <w:rFonts w:eastAsia="Batang"/>
          <w:sz w:val="20"/>
        </w:rPr>
        <w:t>This limits the context at which an FTM operates to the link level.</w:t>
      </w:r>
    </w:p>
    <w:p w14:paraId="1F14B934" w14:textId="7D1141FF" w:rsidR="002F48A9" w:rsidRDefault="00A63310" w:rsidP="00873FB5">
      <w:pPr>
        <w:rPr>
          <w:rFonts w:eastAsia="Batang"/>
          <w:sz w:val="20"/>
        </w:rPr>
      </w:pPr>
      <w:proofErr w:type="gramStart"/>
      <w:r>
        <w:rPr>
          <w:rFonts w:eastAsia="Batang"/>
          <w:sz w:val="20"/>
        </w:rPr>
        <w:t>Furthermore</w:t>
      </w:r>
      <w:proofErr w:type="gramEnd"/>
      <w:r w:rsidR="00B820C7">
        <w:rPr>
          <w:rFonts w:eastAsia="Batang"/>
          <w:sz w:val="20"/>
        </w:rPr>
        <w:t xml:space="preserve"> 11be </w:t>
      </w:r>
      <w:proofErr w:type="spellStart"/>
      <w:r w:rsidR="00B820C7">
        <w:rPr>
          <w:rFonts w:eastAsia="Batang"/>
          <w:sz w:val="20"/>
        </w:rPr>
        <w:t>specificies</w:t>
      </w:r>
      <w:proofErr w:type="spellEnd"/>
      <w:r w:rsidR="00B820C7">
        <w:rPr>
          <w:rFonts w:eastAsia="Batang"/>
          <w:sz w:val="20"/>
        </w:rPr>
        <w:t xml:space="preserve"> that</w:t>
      </w:r>
      <w:r w:rsidR="00873FB5">
        <w:rPr>
          <w:rFonts w:eastAsia="Batang"/>
          <w:sz w:val="20"/>
        </w:rPr>
        <w:t>:</w:t>
      </w:r>
    </w:p>
    <w:p w14:paraId="470AF83B" w14:textId="46621AC0" w:rsidR="00AD70E7" w:rsidRPr="00873FB5" w:rsidRDefault="00582168" w:rsidP="00582168">
      <w:pPr>
        <w:rPr>
          <w:rFonts w:eastAsia="Batang"/>
          <w:i/>
          <w:iCs/>
          <w:sz w:val="20"/>
        </w:rPr>
      </w:pPr>
      <w:r w:rsidRPr="00873FB5">
        <w:rPr>
          <w:rFonts w:eastAsia="Batang"/>
          <w:i/>
          <w:iCs/>
          <w:sz w:val="20"/>
        </w:rPr>
        <w:t>“Between an AP MLD and a non-AP MLD, the following individually addressed MMPDUs shall be intended for an MLD:</w:t>
      </w:r>
      <w:r w:rsidR="0008246A" w:rsidRPr="00873FB5">
        <w:rPr>
          <w:rFonts w:eastAsia="Batang"/>
          <w:i/>
          <w:iCs/>
          <w:sz w:val="20"/>
        </w:rPr>
        <w:t xml:space="preserve"> …” FTM </w:t>
      </w:r>
      <w:r w:rsidR="00C75E43" w:rsidRPr="00873FB5">
        <w:rPr>
          <w:rFonts w:eastAsia="Batang"/>
          <w:i/>
          <w:iCs/>
          <w:sz w:val="20"/>
        </w:rPr>
        <w:t xml:space="preserve">management frames are </w:t>
      </w:r>
      <w:r w:rsidR="0008246A" w:rsidRPr="00873FB5">
        <w:rPr>
          <w:rFonts w:eastAsia="Batang"/>
          <w:i/>
          <w:iCs/>
          <w:sz w:val="20"/>
        </w:rPr>
        <w:t xml:space="preserve">not </w:t>
      </w:r>
      <w:r w:rsidR="00C75E43" w:rsidRPr="00873FB5">
        <w:rPr>
          <w:rFonts w:eastAsia="Batang"/>
          <w:i/>
          <w:iCs/>
          <w:sz w:val="20"/>
        </w:rPr>
        <w:t xml:space="preserve">amongst </w:t>
      </w:r>
      <w:r w:rsidR="0008246A" w:rsidRPr="00873FB5">
        <w:rPr>
          <w:rFonts w:eastAsia="Batang"/>
          <w:i/>
          <w:iCs/>
          <w:sz w:val="20"/>
        </w:rPr>
        <w:t>these action frames.</w:t>
      </w:r>
    </w:p>
    <w:p w14:paraId="4D25E672" w14:textId="77777777" w:rsidR="00AD70E7" w:rsidRDefault="00AD70E7" w:rsidP="001552C1">
      <w:pPr>
        <w:rPr>
          <w:rFonts w:eastAsia="Batang"/>
          <w:sz w:val="20"/>
        </w:rPr>
      </w:pPr>
    </w:p>
    <w:p w14:paraId="48359021" w14:textId="301FFCB0" w:rsidR="006C524A" w:rsidRDefault="006C524A" w:rsidP="001552C1">
      <w:pPr>
        <w:rPr>
          <w:rFonts w:eastAsia="Batang"/>
          <w:sz w:val="20"/>
        </w:rPr>
      </w:pPr>
      <w:r>
        <w:rPr>
          <w:rFonts w:eastAsia="Batang"/>
          <w:sz w:val="20"/>
        </w:rPr>
        <w:t xml:space="preserve">The commenter is correct that the text </w:t>
      </w:r>
      <w:r w:rsidR="00492911">
        <w:rPr>
          <w:rFonts w:eastAsia="Batang"/>
          <w:sz w:val="20"/>
        </w:rPr>
        <w:t>suggests</w:t>
      </w:r>
      <w:r>
        <w:rPr>
          <w:rFonts w:eastAsia="Batang"/>
          <w:sz w:val="20"/>
        </w:rPr>
        <w:t xml:space="preserve"> an EMLSR STA may conduct an FTM procedure in parallel to another </w:t>
      </w:r>
      <w:r w:rsidR="002D4486">
        <w:rPr>
          <w:rFonts w:eastAsia="Batang"/>
          <w:sz w:val="20"/>
        </w:rPr>
        <w:t>happening on another link, and following the EMLSR rules, e.g. data traffic.</w:t>
      </w:r>
    </w:p>
    <w:p w14:paraId="6A18760D" w14:textId="74F0F90B" w:rsidR="000D4285" w:rsidRDefault="00492911" w:rsidP="00A85398">
      <w:pPr>
        <w:rPr>
          <w:rFonts w:eastAsia="Batang"/>
          <w:sz w:val="20"/>
        </w:rPr>
      </w:pPr>
      <w:r>
        <w:rPr>
          <w:rFonts w:eastAsia="Batang"/>
          <w:sz w:val="20"/>
        </w:rPr>
        <w:t>However,</w:t>
      </w:r>
      <w:r w:rsidR="002D4486">
        <w:rPr>
          <w:rFonts w:eastAsia="Batang"/>
          <w:sz w:val="20"/>
        </w:rPr>
        <w:t xml:space="preserve"> this other procedure will not be an FTM procedure since the MLME API does not support multi-FTM </w:t>
      </w:r>
      <w:r w:rsidR="00D6088A">
        <w:rPr>
          <w:rFonts w:eastAsia="Batang"/>
          <w:sz w:val="20"/>
        </w:rPr>
        <w:t>sessions with the same AP (same MAC address).</w:t>
      </w:r>
    </w:p>
    <w:p w14:paraId="019E3D22" w14:textId="77777777" w:rsidR="00A85398" w:rsidRDefault="00A85398" w:rsidP="00A85398">
      <w:pPr>
        <w:rPr>
          <w:rFonts w:eastAsia="Batang"/>
          <w:sz w:val="20"/>
        </w:rPr>
      </w:pPr>
    </w:p>
    <w:p w14:paraId="7680B156" w14:textId="77777777" w:rsidR="007E5AC0" w:rsidRDefault="007E5AC0">
      <w:r>
        <w:br w:type="page"/>
      </w:r>
    </w:p>
    <w:tbl>
      <w:tblPr>
        <w:tblStyle w:val="TableGrid"/>
        <w:tblW w:w="10531" w:type="dxa"/>
        <w:tblInd w:w="-456" w:type="dxa"/>
        <w:tblLayout w:type="fixed"/>
        <w:tblLook w:val="04A0" w:firstRow="1" w:lastRow="0" w:firstColumn="1" w:lastColumn="0" w:noHBand="0" w:noVBand="1"/>
      </w:tblPr>
      <w:tblGrid>
        <w:gridCol w:w="541"/>
        <w:gridCol w:w="630"/>
        <w:gridCol w:w="1170"/>
        <w:gridCol w:w="4230"/>
        <w:gridCol w:w="1620"/>
        <w:gridCol w:w="2340"/>
      </w:tblGrid>
      <w:tr w:rsidR="00A85398" w:rsidRPr="00677427" w14:paraId="0AD0A567" w14:textId="77777777" w:rsidTr="007E5AC0">
        <w:trPr>
          <w:trHeight w:val="373"/>
        </w:trPr>
        <w:tc>
          <w:tcPr>
            <w:tcW w:w="541" w:type="dxa"/>
          </w:tcPr>
          <w:p w14:paraId="58B7E3AE" w14:textId="03A54625"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1A66583" w14:textId="77777777" w:rsidR="00A85398" w:rsidRPr="00677427" w:rsidRDefault="00A85398" w:rsidP="001A722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170" w:type="dxa"/>
          </w:tcPr>
          <w:p w14:paraId="079125EA"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4230" w:type="dxa"/>
          </w:tcPr>
          <w:p w14:paraId="666834E2"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6C1A8C1"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0E73C81C" w14:textId="77777777" w:rsidR="00A85398" w:rsidRPr="00677427" w:rsidRDefault="00A85398"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85398" w:rsidRPr="0086170E" w14:paraId="3EFA3E32" w14:textId="77777777" w:rsidTr="007E5AC0">
        <w:trPr>
          <w:trHeight w:val="1002"/>
        </w:trPr>
        <w:tc>
          <w:tcPr>
            <w:tcW w:w="541" w:type="dxa"/>
          </w:tcPr>
          <w:p w14:paraId="016621FC" w14:textId="7CB56879" w:rsidR="00A85398" w:rsidRPr="0086170E" w:rsidRDefault="00A85398" w:rsidP="001A722F">
            <w:pPr>
              <w:rPr>
                <w:szCs w:val="18"/>
                <w:lang w:val="en-US"/>
              </w:rPr>
            </w:pPr>
            <w:r>
              <w:rPr>
                <w:szCs w:val="18"/>
                <w:lang w:val="en-US"/>
              </w:rPr>
              <w:t>I-37</w:t>
            </w:r>
          </w:p>
        </w:tc>
        <w:tc>
          <w:tcPr>
            <w:tcW w:w="630" w:type="dxa"/>
          </w:tcPr>
          <w:p w14:paraId="4632718D" w14:textId="65153802" w:rsidR="00A85398" w:rsidRPr="0086170E" w:rsidRDefault="00A85398" w:rsidP="001A722F">
            <w:pPr>
              <w:rPr>
                <w:szCs w:val="18"/>
                <w:lang w:val="en-US"/>
              </w:rPr>
            </w:pPr>
            <w:r>
              <w:rPr>
                <w:szCs w:val="18"/>
                <w:lang w:val="en-US"/>
              </w:rPr>
              <w:t>84</w:t>
            </w:r>
            <w:r w:rsidR="007E5AC0">
              <w:rPr>
                <w:szCs w:val="18"/>
                <w:lang w:val="en-US"/>
              </w:rPr>
              <w:t>.</w:t>
            </w:r>
            <w:r>
              <w:rPr>
                <w:szCs w:val="18"/>
                <w:lang w:val="en-US"/>
              </w:rPr>
              <w:t>6</w:t>
            </w:r>
          </w:p>
        </w:tc>
        <w:tc>
          <w:tcPr>
            <w:tcW w:w="1170" w:type="dxa"/>
          </w:tcPr>
          <w:p w14:paraId="183B0020" w14:textId="65904698" w:rsidR="00A85398" w:rsidRPr="0086170E" w:rsidRDefault="00A85398" w:rsidP="001A722F">
            <w:pPr>
              <w:rPr>
                <w:szCs w:val="18"/>
                <w:lang w:val="en-US"/>
              </w:rPr>
            </w:pPr>
            <w:r>
              <w:rPr>
                <w:szCs w:val="18"/>
                <w:lang w:val="en-US"/>
              </w:rPr>
              <w:t>11.21.6.4.8.3</w:t>
            </w:r>
          </w:p>
        </w:tc>
        <w:tc>
          <w:tcPr>
            <w:tcW w:w="4230" w:type="dxa"/>
          </w:tcPr>
          <w:p w14:paraId="2A8078A9" w14:textId="229281FB" w:rsidR="00A85398" w:rsidRPr="0086170E" w:rsidRDefault="007E5AC0" w:rsidP="001A722F">
            <w:pPr>
              <w:rPr>
                <w:szCs w:val="18"/>
                <w:lang w:val="en-US"/>
              </w:rPr>
            </w:pPr>
            <w:r w:rsidRPr="007E5AC0">
              <w:rPr>
                <w:szCs w:val="18"/>
                <w:lang w:val="en-US"/>
              </w:rPr>
              <w:t>"The number of NSTS/NSS used in the passive TB ranging exchanges shall be less than or equal to 4." - shouldn't that requirement be in the negotiation?</w:t>
            </w:r>
            <w:r w:rsidRPr="007E5AC0">
              <w:rPr>
                <w:szCs w:val="18"/>
                <w:lang w:val="en-US"/>
              </w:rPr>
              <w:tab/>
            </w:r>
          </w:p>
        </w:tc>
        <w:tc>
          <w:tcPr>
            <w:tcW w:w="1620" w:type="dxa"/>
          </w:tcPr>
          <w:p w14:paraId="1DA1A53E" w14:textId="69913B85" w:rsidR="00A85398" w:rsidRPr="0086170E" w:rsidRDefault="007E5AC0" w:rsidP="001A722F">
            <w:pPr>
              <w:rPr>
                <w:szCs w:val="18"/>
                <w:lang w:val="en-US"/>
              </w:rPr>
            </w:pPr>
            <w:r w:rsidRPr="007E5AC0">
              <w:rPr>
                <w:szCs w:val="18"/>
                <w:lang w:val="en-US"/>
              </w:rPr>
              <w:t>As in comment</w:t>
            </w:r>
          </w:p>
        </w:tc>
        <w:tc>
          <w:tcPr>
            <w:tcW w:w="2340" w:type="dxa"/>
          </w:tcPr>
          <w:p w14:paraId="5D4CF7B0" w14:textId="77777777" w:rsidR="00A85398" w:rsidRDefault="00A85398" w:rsidP="001A722F">
            <w:pPr>
              <w:rPr>
                <w:szCs w:val="18"/>
                <w:lang w:val="en-US"/>
              </w:rPr>
            </w:pPr>
            <w:r>
              <w:rPr>
                <w:szCs w:val="18"/>
                <w:lang w:val="en-US"/>
              </w:rPr>
              <w:t>Reject.</w:t>
            </w:r>
          </w:p>
          <w:p w14:paraId="6CC715AB" w14:textId="77777777" w:rsidR="00A85398" w:rsidRDefault="00A85398" w:rsidP="001A722F">
            <w:pPr>
              <w:rPr>
                <w:szCs w:val="18"/>
                <w:lang w:val="en-US"/>
              </w:rPr>
            </w:pPr>
          </w:p>
          <w:p w14:paraId="2C972F31" w14:textId="232B2A1D" w:rsidR="00A85398" w:rsidRPr="0086170E" w:rsidRDefault="009C4E2F" w:rsidP="001A722F">
            <w:pPr>
              <w:rPr>
                <w:szCs w:val="18"/>
                <w:lang w:val="en-US"/>
              </w:rPr>
            </w:pPr>
            <w:r>
              <w:rPr>
                <w:szCs w:val="18"/>
                <w:lang w:val="en-US"/>
              </w:rPr>
              <w:t xml:space="preserve">See detailed discussion in R1 of submission </w:t>
            </w:r>
            <w:hyperlink r:id="rId14" w:history="1">
              <w:r w:rsidRPr="00097500">
                <w:rPr>
                  <w:rStyle w:val="Hyperlink"/>
                  <w:szCs w:val="18"/>
                  <w:lang w:val="en-US"/>
                </w:rPr>
                <w:t>https://mentor.ieee.org/802.11/documents?is_dcn=1986</w:t>
              </w:r>
            </w:hyperlink>
            <w:r>
              <w:rPr>
                <w:szCs w:val="18"/>
                <w:lang w:val="en-US"/>
              </w:rPr>
              <w:t xml:space="preserve"> below.</w:t>
            </w:r>
          </w:p>
        </w:tc>
      </w:tr>
    </w:tbl>
    <w:p w14:paraId="2DB375B8" w14:textId="77777777" w:rsidR="00A85398" w:rsidRDefault="00A85398" w:rsidP="00A85398">
      <w:pPr>
        <w:rPr>
          <w:rFonts w:eastAsia="Batang"/>
          <w:sz w:val="20"/>
        </w:rPr>
      </w:pPr>
    </w:p>
    <w:p w14:paraId="3388414F" w14:textId="1164BD73" w:rsidR="007E5AC0" w:rsidRDefault="007E5AC0" w:rsidP="00A85398">
      <w:pPr>
        <w:rPr>
          <w:rFonts w:eastAsia="Batang"/>
          <w:b/>
          <w:bCs/>
          <w:sz w:val="20"/>
        </w:rPr>
      </w:pPr>
      <w:r w:rsidRPr="007E5AC0">
        <w:rPr>
          <w:rFonts w:eastAsia="Batang"/>
          <w:b/>
          <w:bCs/>
          <w:sz w:val="20"/>
        </w:rPr>
        <w:t>Discussion:</w:t>
      </w:r>
    </w:p>
    <w:p w14:paraId="428C49CB" w14:textId="4D9CDD8D" w:rsidR="00BB3418" w:rsidRDefault="00BB3418" w:rsidP="00A85398">
      <w:pPr>
        <w:rPr>
          <w:rFonts w:eastAsia="Batang"/>
          <w:sz w:val="20"/>
        </w:rPr>
      </w:pPr>
      <w:r>
        <w:rPr>
          <w:rFonts w:eastAsia="Batang"/>
          <w:sz w:val="20"/>
        </w:rPr>
        <w:t xml:space="preserve">In passive ranging, there is no negotiation of PSTA </w:t>
      </w:r>
      <w:r w:rsidR="0027576C">
        <w:rPr>
          <w:rFonts w:eastAsia="Batang"/>
          <w:sz w:val="20"/>
        </w:rPr>
        <w:t xml:space="preserve">with </w:t>
      </w:r>
      <w:r>
        <w:rPr>
          <w:rFonts w:eastAsia="Batang"/>
          <w:sz w:val="20"/>
        </w:rPr>
        <w:t xml:space="preserve">ISTA or RSTA. As a </w:t>
      </w:r>
      <w:r w:rsidR="0027576C">
        <w:rPr>
          <w:rFonts w:eastAsia="Batang"/>
          <w:sz w:val="20"/>
        </w:rPr>
        <w:t>result,</w:t>
      </w:r>
      <w:r>
        <w:rPr>
          <w:rFonts w:eastAsia="Batang"/>
          <w:sz w:val="20"/>
        </w:rPr>
        <w:t xml:space="preserve"> for interoperability to happen a </w:t>
      </w:r>
      <w:r w:rsidR="00390D1A">
        <w:rPr>
          <w:rFonts w:eastAsia="Batang"/>
          <w:sz w:val="20"/>
        </w:rPr>
        <w:t xml:space="preserve">minimal </w:t>
      </w:r>
      <w:r>
        <w:rPr>
          <w:rFonts w:eastAsia="Batang"/>
          <w:sz w:val="20"/>
        </w:rPr>
        <w:t>common denominator is required.</w:t>
      </w:r>
    </w:p>
    <w:p w14:paraId="2E933673" w14:textId="2EB6E8CE" w:rsidR="00390D1A" w:rsidRDefault="00390D1A" w:rsidP="00390D1A">
      <w:pPr>
        <w:rPr>
          <w:rFonts w:eastAsia="Batang"/>
          <w:sz w:val="20"/>
        </w:rPr>
      </w:pPr>
      <w:r>
        <w:rPr>
          <w:rFonts w:eastAsia="Batang"/>
          <w:sz w:val="20"/>
        </w:rPr>
        <w:t xml:space="preserve">The accuracy benefit </w:t>
      </w:r>
      <w:r w:rsidR="00A02834">
        <w:rPr>
          <w:rFonts w:eastAsia="Batang"/>
          <w:sz w:val="20"/>
        </w:rPr>
        <w:t xml:space="preserve">going from lower to higher </w:t>
      </w:r>
      <w:r>
        <w:rPr>
          <w:rFonts w:eastAsia="Batang"/>
          <w:sz w:val="20"/>
        </w:rPr>
        <w:t xml:space="preserve">NSTS </w:t>
      </w:r>
      <w:r w:rsidR="00A02834">
        <w:rPr>
          <w:rFonts w:eastAsia="Batang"/>
          <w:sz w:val="20"/>
        </w:rPr>
        <w:t xml:space="preserve">is a diminishing return, with 4 antennas seems to be to preferred </w:t>
      </w:r>
      <w:r w:rsidR="0027576C">
        <w:rPr>
          <w:rFonts w:eastAsia="Batang"/>
          <w:sz w:val="20"/>
        </w:rPr>
        <w:t xml:space="preserve">mainstream </w:t>
      </w:r>
      <w:r w:rsidR="00A02834">
        <w:rPr>
          <w:rFonts w:eastAsia="Batang"/>
          <w:sz w:val="20"/>
        </w:rPr>
        <w:t xml:space="preserve">maximum </w:t>
      </w:r>
      <w:r w:rsidR="0027576C">
        <w:rPr>
          <w:rFonts w:eastAsia="Batang"/>
          <w:sz w:val="20"/>
        </w:rPr>
        <w:t xml:space="preserve">rank. </w:t>
      </w:r>
    </w:p>
    <w:p w14:paraId="48BB4206" w14:textId="77777777" w:rsidR="00A02834" w:rsidRDefault="00A02834" w:rsidP="00390D1A">
      <w:pPr>
        <w:rPr>
          <w:rFonts w:eastAsia="Batang"/>
          <w:sz w:val="20"/>
        </w:rPr>
      </w:pPr>
    </w:p>
    <w:p w14:paraId="74E5FB2F" w14:textId="34C69D46" w:rsidR="007E5AC0" w:rsidRDefault="00D17F71" w:rsidP="00A85398">
      <w:pPr>
        <w:rPr>
          <w:rFonts w:eastAsia="Batang"/>
          <w:sz w:val="20"/>
        </w:rPr>
      </w:pPr>
      <w:r>
        <w:rPr>
          <w:rFonts w:eastAsia="Batang"/>
          <w:sz w:val="20"/>
        </w:rPr>
        <w:t xml:space="preserve">The limitation regarding Passive TB </w:t>
      </w:r>
      <w:r w:rsidR="00F23F8C">
        <w:rPr>
          <w:rFonts w:eastAsia="Batang"/>
          <w:sz w:val="20"/>
        </w:rPr>
        <w:t>number of antennas is an IEEE 802.11az limitation which is outside the scope of this amendment dealing with 320MHz only</w:t>
      </w:r>
      <w:r w:rsidR="002B1EFF">
        <w:rPr>
          <w:rFonts w:eastAsia="Batang"/>
          <w:sz w:val="20"/>
        </w:rPr>
        <w:t xml:space="preserve">. The 802.11az </w:t>
      </w:r>
      <w:r w:rsidR="00463808">
        <w:rPr>
          <w:rFonts w:eastAsia="Batang"/>
          <w:sz w:val="20"/>
        </w:rPr>
        <w:t xml:space="preserve">presented </w:t>
      </w:r>
      <w:r w:rsidR="002B1EFF">
        <w:rPr>
          <w:rFonts w:eastAsia="Batang"/>
          <w:sz w:val="20"/>
        </w:rPr>
        <w:t xml:space="preserve">this limit due to </w:t>
      </w:r>
      <w:r w:rsidR="00463808">
        <w:rPr>
          <w:rFonts w:eastAsia="Batang"/>
          <w:sz w:val="20"/>
        </w:rPr>
        <w:t>simplicity</w:t>
      </w:r>
      <w:r w:rsidR="002B1EFF">
        <w:rPr>
          <w:rFonts w:eastAsia="Batang"/>
          <w:sz w:val="20"/>
        </w:rPr>
        <w:t xml:space="preserve">, </w:t>
      </w:r>
      <w:r w:rsidR="00D275DF">
        <w:rPr>
          <w:rFonts w:eastAsia="Batang"/>
          <w:sz w:val="20"/>
        </w:rPr>
        <w:t xml:space="preserve">expected product cost, alignment with existing profiles and more. A higher rank in </w:t>
      </w:r>
      <w:r w:rsidR="00B83ED3">
        <w:rPr>
          <w:rFonts w:eastAsia="Batang"/>
          <w:sz w:val="20"/>
        </w:rPr>
        <w:t xml:space="preserve">NSTS/NSS of the AP would yield higher PSTA cost </w:t>
      </w:r>
      <w:r w:rsidR="00576F5F">
        <w:rPr>
          <w:rFonts w:eastAsia="Batang"/>
          <w:sz w:val="20"/>
        </w:rPr>
        <w:t xml:space="preserve">(e.g. memory buffer size for p-matrix decode) </w:t>
      </w:r>
      <w:r w:rsidR="00B83ED3">
        <w:rPr>
          <w:rFonts w:eastAsia="Batang"/>
          <w:sz w:val="20"/>
        </w:rPr>
        <w:t xml:space="preserve">that take advantage of that. </w:t>
      </w:r>
    </w:p>
    <w:p w14:paraId="102EFBCA" w14:textId="6460AC05" w:rsidR="00576F5F" w:rsidRDefault="00576F5F" w:rsidP="00A85398">
      <w:pPr>
        <w:rPr>
          <w:rFonts w:eastAsia="Batang"/>
          <w:sz w:val="20"/>
        </w:rPr>
      </w:pPr>
      <w:r>
        <w:rPr>
          <w:rFonts w:eastAsia="Batang"/>
          <w:sz w:val="20"/>
        </w:rPr>
        <w:t>802.11bk may add a mode for 320MHz only that is higher than the 4 antennas</w:t>
      </w:r>
      <w:r w:rsidR="00626B5C">
        <w:rPr>
          <w:rFonts w:eastAsia="Batang"/>
          <w:sz w:val="20"/>
        </w:rPr>
        <w:t>, however the already double the size BW will yield double the size memory footprint.</w:t>
      </w:r>
      <w:r w:rsidR="00BB3418">
        <w:rPr>
          <w:rFonts w:eastAsia="Batang"/>
          <w:sz w:val="20"/>
        </w:rPr>
        <w:t xml:space="preserve"> Going to 8 NSTS would suggest </w:t>
      </w:r>
      <w:proofErr w:type="spellStart"/>
      <w:r w:rsidR="00BB3418">
        <w:rPr>
          <w:rFonts w:eastAsia="Batang"/>
          <w:sz w:val="20"/>
        </w:rPr>
        <w:t>quarupale</w:t>
      </w:r>
      <w:proofErr w:type="spellEnd"/>
      <w:r w:rsidR="00BB3418">
        <w:rPr>
          <w:rFonts w:eastAsia="Batang"/>
          <w:sz w:val="20"/>
        </w:rPr>
        <w:t xml:space="preserve"> of the memory footprint.</w:t>
      </w:r>
    </w:p>
    <w:p w14:paraId="772CAA1D" w14:textId="77777777" w:rsidR="00BB3418" w:rsidRDefault="00BB3418" w:rsidP="00A85398">
      <w:pPr>
        <w:rPr>
          <w:rFonts w:eastAsia="Batang"/>
          <w:sz w:val="20"/>
        </w:rPr>
      </w:pPr>
    </w:p>
    <w:p w14:paraId="4613A74A" w14:textId="19B59CE3" w:rsidR="00F23F8C" w:rsidRPr="007E5AC0" w:rsidRDefault="00463808" w:rsidP="00A85398">
      <w:pPr>
        <w:rPr>
          <w:rFonts w:eastAsia="Batang"/>
          <w:sz w:val="20"/>
        </w:rPr>
      </w:pPr>
      <w:r>
        <w:rPr>
          <w:rFonts w:eastAsia="Batang"/>
          <w:sz w:val="20"/>
        </w:rPr>
        <w:t xml:space="preserve"> </w:t>
      </w:r>
    </w:p>
    <w:sectPr w:rsidR="00F23F8C" w:rsidRPr="007E5AC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227B6" w14:textId="77777777" w:rsidR="008679E7" w:rsidRDefault="008679E7">
      <w:r>
        <w:separator/>
      </w:r>
    </w:p>
  </w:endnote>
  <w:endnote w:type="continuationSeparator" w:id="0">
    <w:p w14:paraId="047B9519" w14:textId="77777777" w:rsidR="008679E7" w:rsidRDefault="0086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2F6A" w14:textId="52FEFC2B" w:rsidR="00E45F0E" w:rsidRDefault="00E45F0E" w:rsidP="00C734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9</w:t>
    </w:r>
    <w:r>
      <w:rPr>
        <w:noProof/>
      </w:rPr>
      <w:fldChar w:fldCharType="end"/>
    </w:r>
    <w:r>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10F65" w14:textId="77777777" w:rsidR="008679E7" w:rsidRDefault="008679E7">
      <w:r>
        <w:separator/>
      </w:r>
    </w:p>
  </w:footnote>
  <w:footnote w:type="continuationSeparator" w:id="0">
    <w:p w14:paraId="0B10DE40" w14:textId="77777777" w:rsidR="008679E7" w:rsidRDefault="00867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6399" w14:textId="5B0823F5" w:rsidR="00E45F0E" w:rsidRDefault="001A69A1">
    <w:pPr>
      <w:pStyle w:val="Header"/>
      <w:tabs>
        <w:tab w:val="clear" w:pos="6480"/>
        <w:tab w:val="center" w:pos="4680"/>
        <w:tab w:val="right" w:pos="9360"/>
      </w:tabs>
    </w:pPr>
    <w:r>
      <w:rPr>
        <w:lang w:eastAsia="ko-KR"/>
      </w:rPr>
      <w:t>Dec.</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quot;doc.: IEEE 802.11-24/1986r&quot;  \* MERGEFORMAT ">
      <w:r w:rsidR="00CE5082">
        <w:t>doc.: IEEE 802.11-24/1986r</w:t>
      </w:r>
    </w:fldSimple>
    <w:r w:rsidR="00B1291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D66D4A"/>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A2973"/>
    <w:multiLevelType w:val="hybridMultilevel"/>
    <w:tmpl w:val="A5D2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lvl>
  </w:abstractNum>
  <w:abstractNum w:abstractNumId="14" w15:restartNumberingAfterBreak="0">
    <w:nsid w:val="50550F2D"/>
    <w:multiLevelType w:val="hybridMultilevel"/>
    <w:tmpl w:val="83469D98"/>
    <w:lvl w:ilvl="0" w:tplc="7CE01FAC">
      <w:start w:val="3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5"/>
  </w:num>
  <w:num w:numId="2" w16cid:durableId="966131973">
    <w:abstractNumId w:val="13"/>
  </w:num>
  <w:num w:numId="3" w16cid:durableId="1678069260">
    <w:abstractNumId w:val="4"/>
  </w:num>
  <w:num w:numId="4" w16cid:durableId="1090200469">
    <w:abstractNumId w:val="17"/>
  </w:num>
  <w:num w:numId="5" w16cid:durableId="581795648">
    <w:abstractNumId w:val="18"/>
  </w:num>
  <w:num w:numId="6" w16cid:durableId="214704292">
    <w:abstractNumId w:val="2"/>
  </w:num>
  <w:num w:numId="7" w16cid:durableId="2021420874">
    <w:abstractNumId w:val="7"/>
  </w:num>
  <w:num w:numId="8" w16cid:durableId="281422111">
    <w:abstractNumId w:val="11"/>
  </w:num>
  <w:num w:numId="9" w16cid:durableId="1797873841">
    <w:abstractNumId w:val="10"/>
  </w:num>
  <w:num w:numId="10" w16cid:durableId="650451950">
    <w:abstractNumId w:val="9"/>
  </w:num>
  <w:num w:numId="11" w16cid:durableId="1122770211">
    <w:abstractNumId w:val="1"/>
  </w:num>
  <w:num w:numId="12" w16cid:durableId="204296905">
    <w:abstractNumId w:val="5"/>
  </w:num>
  <w:num w:numId="13" w16cid:durableId="1693648852">
    <w:abstractNumId w:val="6"/>
  </w:num>
  <w:num w:numId="14" w16cid:durableId="1710298878">
    <w:abstractNumId w:val="16"/>
  </w:num>
  <w:num w:numId="15" w16cid:durableId="1411655545">
    <w:abstractNumId w:val="3"/>
  </w:num>
  <w:num w:numId="16" w16cid:durableId="1906915491">
    <w:abstractNumId w:val="4"/>
  </w:num>
  <w:num w:numId="17" w16cid:durableId="1733233712">
    <w:abstractNumId w:val="17"/>
  </w:num>
  <w:num w:numId="18" w16cid:durableId="254362366">
    <w:abstractNumId w:val="12"/>
  </w:num>
  <w:num w:numId="19" w16cid:durableId="1118639681">
    <w:abstractNumId w:val="17"/>
  </w:num>
  <w:num w:numId="20" w16cid:durableId="200872960">
    <w:abstractNumId w:val="4"/>
  </w:num>
  <w:num w:numId="21" w16cid:durableId="421029895">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57437653">
    <w:abstractNumId w:val="8"/>
  </w:num>
  <w:num w:numId="23" w16cid:durableId="202219646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633"/>
    <w:rsid w:val="000049CF"/>
    <w:rsid w:val="000053A8"/>
    <w:rsid w:val="000055AE"/>
    <w:rsid w:val="00006192"/>
    <w:rsid w:val="00006454"/>
    <w:rsid w:val="000067AA"/>
    <w:rsid w:val="00006CA6"/>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BE1"/>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62F"/>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5BAF"/>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46A"/>
    <w:rsid w:val="000829FF"/>
    <w:rsid w:val="00082B8A"/>
    <w:rsid w:val="0008302D"/>
    <w:rsid w:val="00083D20"/>
    <w:rsid w:val="00084297"/>
    <w:rsid w:val="00084C28"/>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3"/>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285"/>
    <w:rsid w:val="000D43BF"/>
    <w:rsid w:val="000D4A2B"/>
    <w:rsid w:val="000D4A8F"/>
    <w:rsid w:val="000D5EBD"/>
    <w:rsid w:val="000D6534"/>
    <w:rsid w:val="000D674F"/>
    <w:rsid w:val="000D71BE"/>
    <w:rsid w:val="000E0494"/>
    <w:rsid w:val="000E0A84"/>
    <w:rsid w:val="000E1C37"/>
    <w:rsid w:val="000E1D7B"/>
    <w:rsid w:val="000E2F9F"/>
    <w:rsid w:val="000E37DD"/>
    <w:rsid w:val="000E3A94"/>
    <w:rsid w:val="000E3CC2"/>
    <w:rsid w:val="000E429B"/>
    <w:rsid w:val="000E4B39"/>
    <w:rsid w:val="000E4B82"/>
    <w:rsid w:val="000E5011"/>
    <w:rsid w:val="000E5560"/>
    <w:rsid w:val="000E586C"/>
    <w:rsid w:val="000E6539"/>
    <w:rsid w:val="000E6703"/>
    <w:rsid w:val="000E6A52"/>
    <w:rsid w:val="000E720C"/>
    <w:rsid w:val="000E752D"/>
    <w:rsid w:val="000E7907"/>
    <w:rsid w:val="000F10F2"/>
    <w:rsid w:val="000F1C7D"/>
    <w:rsid w:val="000F238C"/>
    <w:rsid w:val="000F25CE"/>
    <w:rsid w:val="000F29E9"/>
    <w:rsid w:val="000F2A5A"/>
    <w:rsid w:val="000F4937"/>
    <w:rsid w:val="000F4B95"/>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573"/>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2D1C"/>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2C1"/>
    <w:rsid w:val="001557CB"/>
    <w:rsid w:val="001559BB"/>
    <w:rsid w:val="001563CA"/>
    <w:rsid w:val="00157D97"/>
    <w:rsid w:val="00157E18"/>
    <w:rsid w:val="001622D9"/>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25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5CE"/>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64BF"/>
    <w:rsid w:val="001A69A1"/>
    <w:rsid w:val="001A71D0"/>
    <w:rsid w:val="001A730E"/>
    <w:rsid w:val="001A7435"/>
    <w:rsid w:val="001A77FD"/>
    <w:rsid w:val="001B0001"/>
    <w:rsid w:val="001B0546"/>
    <w:rsid w:val="001B0F79"/>
    <w:rsid w:val="001B1979"/>
    <w:rsid w:val="001B252D"/>
    <w:rsid w:val="001B2904"/>
    <w:rsid w:val="001B2B02"/>
    <w:rsid w:val="001B2CD6"/>
    <w:rsid w:val="001B2E3B"/>
    <w:rsid w:val="001B2F37"/>
    <w:rsid w:val="001B2F49"/>
    <w:rsid w:val="001B3F72"/>
    <w:rsid w:val="001B4959"/>
    <w:rsid w:val="001B5100"/>
    <w:rsid w:val="001B5935"/>
    <w:rsid w:val="001B5C8B"/>
    <w:rsid w:val="001B63BC"/>
    <w:rsid w:val="001B69F6"/>
    <w:rsid w:val="001B6F60"/>
    <w:rsid w:val="001B7D79"/>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17AB"/>
    <w:rsid w:val="001E1B76"/>
    <w:rsid w:val="001E2370"/>
    <w:rsid w:val="001E26DE"/>
    <w:rsid w:val="001E2D33"/>
    <w:rsid w:val="001E349E"/>
    <w:rsid w:val="001E34B0"/>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1B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50F"/>
    <w:rsid w:val="002539AB"/>
    <w:rsid w:val="00253D92"/>
    <w:rsid w:val="002544A0"/>
    <w:rsid w:val="00254681"/>
    <w:rsid w:val="0025483E"/>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25D6"/>
    <w:rsid w:val="00272A64"/>
    <w:rsid w:val="00273257"/>
    <w:rsid w:val="00273E5F"/>
    <w:rsid w:val="00273FA9"/>
    <w:rsid w:val="00274797"/>
    <w:rsid w:val="002748FC"/>
    <w:rsid w:val="00274A4A"/>
    <w:rsid w:val="00274BBF"/>
    <w:rsid w:val="002752FB"/>
    <w:rsid w:val="002753CE"/>
    <w:rsid w:val="0027576C"/>
    <w:rsid w:val="00276391"/>
    <w:rsid w:val="002763AC"/>
    <w:rsid w:val="002769F5"/>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7E1"/>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1EFF"/>
    <w:rsid w:val="002B438B"/>
    <w:rsid w:val="002B51CF"/>
    <w:rsid w:val="002B5901"/>
    <w:rsid w:val="002B5973"/>
    <w:rsid w:val="002B5DEC"/>
    <w:rsid w:val="002B6100"/>
    <w:rsid w:val="002B66B8"/>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3073"/>
    <w:rsid w:val="002D4486"/>
    <w:rsid w:val="002D4E96"/>
    <w:rsid w:val="002D518F"/>
    <w:rsid w:val="002D5D5C"/>
    <w:rsid w:val="002D638E"/>
    <w:rsid w:val="002D6F6A"/>
    <w:rsid w:val="002D7ED5"/>
    <w:rsid w:val="002E01A2"/>
    <w:rsid w:val="002E0471"/>
    <w:rsid w:val="002E1719"/>
    <w:rsid w:val="002E1B18"/>
    <w:rsid w:val="002E2017"/>
    <w:rsid w:val="002E2031"/>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8A9"/>
    <w:rsid w:val="002F499D"/>
    <w:rsid w:val="002F50E3"/>
    <w:rsid w:val="002F5BF5"/>
    <w:rsid w:val="002F5C8C"/>
    <w:rsid w:val="002F6885"/>
    <w:rsid w:val="002F6A9A"/>
    <w:rsid w:val="002F7199"/>
    <w:rsid w:val="002F7224"/>
    <w:rsid w:val="002F7D11"/>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1788"/>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A08"/>
    <w:rsid w:val="00331B52"/>
    <w:rsid w:val="00332A81"/>
    <w:rsid w:val="00332DDE"/>
    <w:rsid w:val="00332E7F"/>
    <w:rsid w:val="00332F54"/>
    <w:rsid w:val="00333FA1"/>
    <w:rsid w:val="0033463C"/>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1284"/>
    <w:rsid w:val="00342F52"/>
    <w:rsid w:val="003433E1"/>
    <w:rsid w:val="00343554"/>
    <w:rsid w:val="00343A19"/>
    <w:rsid w:val="00344186"/>
    <w:rsid w:val="0034440B"/>
    <w:rsid w:val="00344704"/>
    <w:rsid w:val="003449F9"/>
    <w:rsid w:val="00344C48"/>
    <w:rsid w:val="00344DA5"/>
    <w:rsid w:val="003453EE"/>
    <w:rsid w:val="0034581F"/>
    <w:rsid w:val="0034592B"/>
    <w:rsid w:val="0034747D"/>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CF"/>
    <w:rsid w:val="00385FD6"/>
    <w:rsid w:val="0038601E"/>
    <w:rsid w:val="0038688C"/>
    <w:rsid w:val="003869D5"/>
    <w:rsid w:val="003906A1"/>
    <w:rsid w:val="00390D1A"/>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8FA"/>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546"/>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C2D"/>
    <w:rsid w:val="003C5E11"/>
    <w:rsid w:val="003C5F82"/>
    <w:rsid w:val="003C66FE"/>
    <w:rsid w:val="003C74FF"/>
    <w:rsid w:val="003C7B04"/>
    <w:rsid w:val="003D0624"/>
    <w:rsid w:val="003D0EC8"/>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B07"/>
    <w:rsid w:val="00404F6F"/>
    <w:rsid w:val="004051EE"/>
    <w:rsid w:val="00405288"/>
    <w:rsid w:val="00405B7F"/>
    <w:rsid w:val="00405F7B"/>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3751"/>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BCE"/>
    <w:rsid w:val="00423EEB"/>
    <w:rsid w:val="004240F0"/>
    <w:rsid w:val="004242D9"/>
    <w:rsid w:val="0042457A"/>
    <w:rsid w:val="00424EF3"/>
    <w:rsid w:val="00425F55"/>
    <w:rsid w:val="00427CA1"/>
    <w:rsid w:val="00430648"/>
    <w:rsid w:val="004307DE"/>
    <w:rsid w:val="00430868"/>
    <w:rsid w:val="00430E74"/>
    <w:rsid w:val="00432069"/>
    <w:rsid w:val="0043223B"/>
    <w:rsid w:val="004325D4"/>
    <w:rsid w:val="00432862"/>
    <w:rsid w:val="004339CB"/>
    <w:rsid w:val="00433A12"/>
    <w:rsid w:val="00434103"/>
    <w:rsid w:val="00434573"/>
    <w:rsid w:val="0043475A"/>
    <w:rsid w:val="00435208"/>
    <w:rsid w:val="00435563"/>
    <w:rsid w:val="004355A0"/>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0CE"/>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366"/>
    <w:rsid w:val="00461402"/>
    <w:rsid w:val="004614A0"/>
    <w:rsid w:val="00461644"/>
    <w:rsid w:val="00461C2E"/>
    <w:rsid w:val="00462172"/>
    <w:rsid w:val="00463808"/>
    <w:rsid w:val="004641CA"/>
    <w:rsid w:val="004643B7"/>
    <w:rsid w:val="00464EAF"/>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960"/>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911"/>
    <w:rsid w:val="00492A82"/>
    <w:rsid w:val="00492ADD"/>
    <w:rsid w:val="00492E5C"/>
    <w:rsid w:val="00493019"/>
    <w:rsid w:val="00493434"/>
    <w:rsid w:val="004934FE"/>
    <w:rsid w:val="00494094"/>
    <w:rsid w:val="0049424C"/>
    <w:rsid w:val="0049468A"/>
    <w:rsid w:val="00495C57"/>
    <w:rsid w:val="00495C84"/>
    <w:rsid w:val="00495DAB"/>
    <w:rsid w:val="004964B5"/>
    <w:rsid w:val="00496708"/>
    <w:rsid w:val="00497147"/>
    <w:rsid w:val="0049716C"/>
    <w:rsid w:val="004971F5"/>
    <w:rsid w:val="00497913"/>
    <w:rsid w:val="00497F48"/>
    <w:rsid w:val="004A028D"/>
    <w:rsid w:val="004A05FC"/>
    <w:rsid w:val="004A0711"/>
    <w:rsid w:val="004A0AF4"/>
    <w:rsid w:val="004A0FC9"/>
    <w:rsid w:val="004A1B4F"/>
    <w:rsid w:val="004A2466"/>
    <w:rsid w:val="004A298E"/>
    <w:rsid w:val="004A2E54"/>
    <w:rsid w:val="004A2E87"/>
    <w:rsid w:val="004A3CE3"/>
    <w:rsid w:val="004A4003"/>
    <w:rsid w:val="004A4554"/>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8AB"/>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C47"/>
    <w:rsid w:val="00505F11"/>
    <w:rsid w:val="00506325"/>
    <w:rsid w:val="005065EB"/>
    <w:rsid w:val="00506863"/>
    <w:rsid w:val="00506A53"/>
    <w:rsid w:val="00506BAF"/>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827"/>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3152"/>
    <w:rsid w:val="0054343D"/>
    <w:rsid w:val="0054425D"/>
    <w:rsid w:val="005442D3"/>
    <w:rsid w:val="00544B61"/>
    <w:rsid w:val="00544C65"/>
    <w:rsid w:val="00545255"/>
    <w:rsid w:val="00545582"/>
    <w:rsid w:val="005461D0"/>
    <w:rsid w:val="00546426"/>
    <w:rsid w:val="0054661C"/>
    <w:rsid w:val="00546C0D"/>
    <w:rsid w:val="005470B7"/>
    <w:rsid w:val="00547951"/>
    <w:rsid w:val="00547A0F"/>
    <w:rsid w:val="00550D2F"/>
    <w:rsid w:val="00550F02"/>
    <w:rsid w:val="00550F72"/>
    <w:rsid w:val="005526D3"/>
    <w:rsid w:val="00552F3F"/>
    <w:rsid w:val="005531EB"/>
    <w:rsid w:val="0055333D"/>
    <w:rsid w:val="005533CD"/>
    <w:rsid w:val="00553B4F"/>
    <w:rsid w:val="00553C7D"/>
    <w:rsid w:val="005541DF"/>
    <w:rsid w:val="0055459B"/>
    <w:rsid w:val="005546A4"/>
    <w:rsid w:val="00554995"/>
    <w:rsid w:val="00554EEF"/>
    <w:rsid w:val="005555B2"/>
    <w:rsid w:val="0055620A"/>
    <w:rsid w:val="005570C8"/>
    <w:rsid w:val="00557336"/>
    <w:rsid w:val="00557C1D"/>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58A"/>
    <w:rsid w:val="00572BF3"/>
    <w:rsid w:val="00572E7A"/>
    <w:rsid w:val="005730CA"/>
    <w:rsid w:val="005733C8"/>
    <w:rsid w:val="005741C1"/>
    <w:rsid w:val="0057448C"/>
    <w:rsid w:val="00574658"/>
    <w:rsid w:val="00574757"/>
    <w:rsid w:val="00575322"/>
    <w:rsid w:val="00575A5D"/>
    <w:rsid w:val="00575C1D"/>
    <w:rsid w:val="00576205"/>
    <w:rsid w:val="00576584"/>
    <w:rsid w:val="00576F5F"/>
    <w:rsid w:val="00577A4D"/>
    <w:rsid w:val="00577B9D"/>
    <w:rsid w:val="00581043"/>
    <w:rsid w:val="005812B7"/>
    <w:rsid w:val="00582168"/>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897"/>
    <w:rsid w:val="005A0C65"/>
    <w:rsid w:val="005A0F06"/>
    <w:rsid w:val="005A16CF"/>
    <w:rsid w:val="005A1A3D"/>
    <w:rsid w:val="005A1AF8"/>
    <w:rsid w:val="005A1CCA"/>
    <w:rsid w:val="005A1D53"/>
    <w:rsid w:val="005A200E"/>
    <w:rsid w:val="005A23DB"/>
    <w:rsid w:val="005A24BD"/>
    <w:rsid w:val="005A2ECA"/>
    <w:rsid w:val="005A317E"/>
    <w:rsid w:val="005A3243"/>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9BA"/>
    <w:rsid w:val="005B2BA0"/>
    <w:rsid w:val="005B31EA"/>
    <w:rsid w:val="005B34A6"/>
    <w:rsid w:val="005B3AB1"/>
    <w:rsid w:val="005B3F9E"/>
    <w:rsid w:val="005B4CEE"/>
    <w:rsid w:val="005B4E66"/>
    <w:rsid w:val="005B53A0"/>
    <w:rsid w:val="005B55BC"/>
    <w:rsid w:val="005B55FB"/>
    <w:rsid w:val="005B5B33"/>
    <w:rsid w:val="005B5DCD"/>
    <w:rsid w:val="005B668F"/>
    <w:rsid w:val="005B6C67"/>
    <w:rsid w:val="005B6FCD"/>
    <w:rsid w:val="005B727A"/>
    <w:rsid w:val="005B7887"/>
    <w:rsid w:val="005C007F"/>
    <w:rsid w:val="005C0226"/>
    <w:rsid w:val="005C0CBC"/>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0CBD"/>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1EAF"/>
    <w:rsid w:val="005E2305"/>
    <w:rsid w:val="005E2702"/>
    <w:rsid w:val="005E2D64"/>
    <w:rsid w:val="005E38BB"/>
    <w:rsid w:val="005E3E49"/>
    <w:rsid w:val="005E462B"/>
    <w:rsid w:val="005E4E9C"/>
    <w:rsid w:val="005E5118"/>
    <w:rsid w:val="005E5432"/>
    <w:rsid w:val="005E548E"/>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3D73"/>
    <w:rsid w:val="005F452E"/>
    <w:rsid w:val="005F4AD8"/>
    <w:rsid w:val="005F51BA"/>
    <w:rsid w:val="005F51C4"/>
    <w:rsid w:val="005F52EC"/>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8ED"/>
    <w:rsid w:val="0061692A"/>
    <w:rsid w:val="00616976"/>
    <w:rsid w:val="00617272"/>
    <w:rsid w:val="0061786B"/>
    <w:rsid w:val="00617896"/>
    <w:rsid w:val="00620F63"/>
    <w:rsid w:val="00620FDA"/>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B5C"/>
    <w:rsid w:val="00626CFF"/>
    <w:rsid w:val="00626D26"/>
    <w:rsid w:val="006302F7"/>
    <w:rsid w:val="00630ADA"/>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5F59"/>
    <w:rsid w:val="0064617E"/>
    <w:rsid w:val="00646545"/>
    <w:rsid w:val="00646653"/>
    <w:rsid w:val="00646871"/>
    <w:rsid w:val="00646D9C"/>
    <w:rsid w:val="00647451"/>
    <w:rsid w:val="00650028"/>
    <w:rsid w:val="00650EEE"/>
    <w:rsid w:val="00651442"/>
    <w:rsid w:val="00651FCD"/>
    <w:rsid w:val="00652B57"/>
    <w:rsid w:val="00652F8D"/>
    <w:rsid w:val="006536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9EB"/>
    <w:rsid w:val="00671A67"/>
    <w:rsid w:val="00671F29"/>
    <w:rsid w:val="00672079"/>
    <w:rsid w:val="00672515"/>
    <w:rsid w:val="0067305F"/>
    <w:rsid w:val="00673ABA"/>
    <w:rsid w:val="00673E73"/>
    <w:rsid w:val="00673FA1"/>
    <w:rsid w:val="0067401E"/>
    <w:rsid w:val="00674B30"/>
    <w:rsid w:val="00675301"/>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5EA0"/>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62C0"/>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24A"/>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1F7"/>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268"/>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60"/>
    <w:rsid w:val="00723E73"/>
    <w:rsid w:val="0072430C"/>
    <w:rsid w:val="00724942"/>
    <w:rsid w:val="00725216"/>
    <w:rsid w:val="007252E2"/>
    <w:rsid w:val="00725458"/>
    <w:rsid w:val="00725DBE"/>
    <w:rsid w:val="00725EA9"/>
    <w:rsid w:val="00727341"/>
    <w:rsid w:val="00727478"/>
    <w:rsid w:val="00727B95"/>
    <w:rsid w:val="00727E1D"/>
    <w:rsid w:val="00730134"/>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47ED6"/>
    <w:rsid w:val="007504D3"/>
    <w:rsid w:val="0075079F"/>
    <w:rsid w:val="007513CD"/>
    <w:rsid w:val="00751875"/>
    <w:rsid w:val="00751F14"/>
    <w:rsid w:val="00752390"/>
    <w:rsid w:val="007526A6"/>
    <w:rsid w:val="00752D8F"/>
    <w:rsid w:val="00752F9D"/>
    <w:rsid w:val="00753056"/>
    <w:rsid w:val="00753199"/>
    <w:rsid w:val="007537C5"/>
    <w:rsid w:val="00753962"/>
    <w:rsid w:val="0075427F"/>
    <w:rsid w:val="007546E8"/>
    <w:rsid w:val="00754F0E"/>
    <w:rsid w:val="00755418"/>
    <w:rsid w:val="00755456"/>
    <w:rsid w:val="0075592B"/>
    <w:rsid w:val="00755D22"/>
    <w:rsid w:val="007568A9"/>
    <w:rsid w:val="00756ACD"/>
    <w:rsid w:val="007571C4"/>
    <w:rsid w:val="00757772"/>
    <w:rsid w:val="007577B0"/>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415"/>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97901"/>
    <w:rsid w:val="007A021F"/>
    <w:rsid w:val="007A0931"/>
    <w:rsid w:val="007A0968"/>
    <w:rsid w:val="007A098E"/>
    <w:rsid w:val="007A149D"/>
    <w:rsid w:val="007A2C40"/>
    <w:rsid w:val="007A3BBA"/>
    <w:rsid w:val="007A3F86"/>
    <w:rsid w:val="007A453C"/>
    <w:rsid w:val="007A4980"/>
    <w:rsid w:val="007A4F02"/>
    <w:rsid w:val="007A5765"/>
    <w:rsid w:val="007A5B89"/>
    <w:rsid w:val="007A5BCB"/>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ABF"/>
    <w:rsid w:val="007B2BDF"/>
    <w:rsid w:val="007B2DAD"/>
    <w:rsid w:val="007B3329"/>
    <w:rsid w:val="007B3C28"/>
    <w:rsid w:val="007B3E07"/>
    <w:rsid w:val="007B3E38"/>
    <w:rsid w:val="007B46EF"/>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B72"/>
    <w:rsid w:val="007D67E0"/>
    <w:rsid w:val="007D6B5D"/>
    <w:rsid w:val="007D741E"/>
    <w:rsid w:val="007D7499"/>
    <w:rsid w:val="007D7736"/>
    <w:rsid w:val="007D7A7E"/>
    <w:rsid w:val="007D7AD5"/>
    <w:rsid w:val="007D7DB9"/>
    <w:rsid w:val="007D7FFC"/>
    <w:rsid w:val="007E015A"/>
    <w:rsid w:val="007E0915"/>
    <w:rsid w:val="007E11C2"/>
    <w:rsid w:val="007E1A16"/>
    <w:rsid w:val="007E1B4A"/>
    <w:rsid w:val="007E1F8A"/>
    <w:rsid w:val="007E21DF"/>
    <w:rsid w:val="007E41CB"/>
    <w:rsid w:val="007E4608"/>
    <w:rsid w:val="007E51A5"/>
    <w:rsid w:val="007E5253"/>
    <w:rsid w:val="007E5479"/>
    <w:rsid w:val="007E5A48"/>
    <w:rsid w:val="007E5AC0"/>
    <w:rsid w:val="007E5B14"/>
    <w:rsid w:val="007E5F8E"/>
    <w:rsid w:val="007E62AE"/>
    <w:rsid w:val="007E682F"/>
    <w:rsid w:val="007E76CC"/>
    <w:rsid w:val="007E79A4"/>
    <w:rsid w:val="007F072E"/>
    <w:rsid w:val="007F147F"/>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EF7"/>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BB6"/>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217"/>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0FC3"/>
    <w:rsid w:val="00851411"/>
    <w:rsid w:val="00851D13"/>
    <w:rsid w:val="00852872"/>
    <w:rsid w:val="00852B3C"/>
    <w:rsid w:val="00852BFF"/>
    <w:rsid w:val="008532E6"/>
    <w:rsid w:val="00853A94"/>
    <w:rsid w:val="00853F62"/>
    <w:rsid w:val="00853FF2"/>
    <w:rsid w:val="00853FF6"/>
    <w:rsid w:val="00854AF4"/>
    <w:rsid w:val="00855910"/>
    <w:rsid w:val="00856535"/>
    <w:rsid w:val="0085795D"/>
    <w:rsid w:val="00857EE3"/>
    <w:rsid w:val="00860C28"/>
    <w:rsid w:val="0086170E"/>
    <w:rsid w:val="00861E6F"/>
    <w:rsid w:val="008626AB"/>
    <w:rsid w:val="00862936"/>
    <w:rsid w:val="00862C99"/>
    <w:rsid w:val="008641BC"/>
    <w:rsid w:val="00864B78"/>
    <w:rsid w:val="00865603"/>
    <w:rsid w:val="00865C9A"/>
    <w:rsid w:val="008666D4"/>
    <w:rsid w:val="00866730"/>
    <w:rsid w:val="0086745D"/>
    <w:rsid w:val="008679E7"/>
    <w:rsid w:val="00870919"/>
    <w:rsid w:val="00870BF0"/>
    <w:rsid w:val="008714C0"/>
    <w:rsid w:val="0087166A"/>
    <w:rsid w:val="008716D8"/>
    <w:rsid w:val="00872018"/>
    <w:rsid w:val="00872279"/>
    <w:rsid w:val="0087240E"/>
    <w:rsid w:val="00873FB5"/>
    <w:rsid w:val="0087408A"/>
    <w:rsid w:val="0087468A"/>
    <w:rsid w:val="00875ABA"/>
    <w:rsid w:val="00875BA3"/>
    <w:rsid w:val="0087624A"/>
    <w:rsid w:val="008771D0"/>
    <w:rsid w:val="008771D6"/>
    <w:rsid w:val="00877270"/>
    <w:rsid w:val="008776B0"/>
    <w:rsid w:val="00877FAE"/>
    <w:rsid w:val="0088012D"/>
    <w:rsid w:val="00880A22"/>
    <w:rsid w:val="00880F89"/>
    <w:rsid w:val="0088170C"/>
    <w:rsid w:val="00881C47"/>
    <w:rsid w:val="00881E8D"/>
    <w:rsid w:val="00882908"/>
    <w:rsid w:val="008831D9"/>
    <w:rsid w:val="00883472"/>
    <w:rsid w:val="00883542"/>
    <w:rsid w:val="008839A7"/>
    <w:rsid w:val="00883C3A"/>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29E"/>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3E"/>
    <w:rsid w:val="008B29CD"/>
    <w:rsid w:val="008B395C"/>
    <w:rsid w:val="008B3ABD"/>
    <w:rsid w:val="008B47B4"/>
    <w:rsid w:val="008B4BC2"/>
    <w:rsid w:val="008B5396"/>
    <w:rsid w:val="008B574A"/>
    <w:rsid w:val="008B577C"/>
    <w:rsid w:val="008B581F"/>
    <w:rsid w:val="008B74DD"/>
    <w:rsid w:val="008B7557"/>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70F"/>
    <w:rsid w:val="008D0C05"/>
    <w:rsid w:val="008D1C13"/>
    <w:rsid w:val="008D22C0"/>
    <w:rsid w:val="008D3371"/>
    <w:rsid w:val="008D3A50"/>
    <w:rsid w:val="008D45EB"/>
    <w:rsid w:val="008D5655"/>
    <w:rsid w:val="008D62BA"/>
    <w:rsid w:val="008D668D"/>
    <w:rsid w:val="008D6746"/>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6C12"/>
    <w:rsid w:val="008E723D"/>
    <w:rsid w:val="008E7F9F"/>
    <w:rsid w:val="008F020B"/>
    <w:rsid w:val="008F039B"/>
    <w:rsid w:val="008F129F"/>
    <w:rsid w:val="008F193B"/>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6079"/>
    <w:rsid w:val="008F78BB"/>
    <w:rsid w:val="008F7D2F"/>
    <w:rsid w:val="008F7DB1"/>
    <w:rsid w:val="0090061F"/>
    <w:rsid w:val="0090099B"/>
    <w:rsid w:val="00900CDD"/>
    <w:rsid w:val="00901820"/>
    <w:rsid w:val="00901D42"/>
    <w:rsid w:val="00902E21"/>
    <w:rsid w:val="0090349D"/>
    <w:rsid w:val="009040CD"/>
    <w:rsid w:val="00904589"/>
    <w:rsid w:val="00904B54"/>
    <w:rsid w:val="009057D2"/>
    <w:rsid w:val="00905A7F"/>
    <w:rsid w:val="00905C32"/>
    <w:rsid w:val="00906247"/>
    <w:rsid w:val="0090631A"/>
    <w:rsid w:val="009064A2"/>
    <w:rsid w:val="0090667E"/>
    <w:rsid w:val="00906BBF"/>
    <w:rsid w:val="0090728F"/>
    <w:rsid w:val="0090740A"/>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54E"/>
    <w:rsid w:val="009278D5"/>
    <w:rsid w:val="00927FEB"/>
    <w:rsid w:val="0093003D"/>
    <w:rsid w:val="00930235"/>
    <w:rsid w:val="009308F1"/>
    <w:rsid w:val="009309F9"/>
    <w:rsid w:val="009311AC"/>
    <w:rsid w:val="009325D5"/>
    <w:rsid w:val="00932D1C"/>
    <w:rsid w:val="00932F92"/>
    <w:rsid w:val="00932F94"/>
    <w:rsid w:val="00933CDF"/>
    <w:rsid w:val="00934507"/>
    <w:rsid w:val="00934BB2"/>
    <w:rsid w:val="009360B7"/>
    <w:rsid w:val="00936D66"/>
    <w:rsid w:val="00937876"/>
    <w:rsid w:val="0094033A"/>
    <w:rsid w:val="009408DE"/>
    <w:rsid w:val="0094091B"/>
    <w:rsid w:val="009409F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C23"/>
    <w:rsid w:val="00945D55"/>
    <w:rsid w:val="009460BB"/>
    <w:rsid w:val="009463B0"/>
    <w:rsid w:val="00946444"/>
    <w:rsid w:val="00946BFF"/>
    <w:rsid w:val="00946FD0"/>
    <w:rsid w:val="009471B1"/>
    <w:rsid w:val="009473C8"/>
    <w:rsid w:val="00947980"/>
    <w:rsid w:val="00947BA1"/>
    <w:rsid w:val="00947FAB"/>
    <w:rsid w:val="00947FF8"/>
    <w:rsid w:val="009514D6"/>
    <w:rsid w:val="0095165A"/>
    <w:rsid w:val="00951711"/>
    <w:rsid w:val="00951CE8"/>
    <w:rsid w:val="0095228C"/>
    <w:rsid w:val="00952743"/>
    <w:rsid w:val="0095298D"/>
    <w:rsid w:val="00952D70"/>
    <w:rsid w:val="00953565"/>
    <w:rsid w:val="00953ADF"/>
    <w:rsid w:val="00954448"/>
    <w:rsid w:val="00954C90"/>
    <w:rsid w:val="00955A8E"/>
    <w:rsid w:val="009568B6"/>
    <w:rsid w:val="00956A51"/>
    <w:rsid w:val="0095758E"/>
    <w:rsid w:val="00960666"/>
    <w:rsid w:val="00960835"/>
    <w:rsid w:val="00961347"/>
    <w:rsid w:val="00961605"/>
    <w:rsid w:val="0096233F"/>
    <w:rsid w:val="00962377"/>
    <w:rsid w:val="00962624"/>
    <w:rsid w:val="00962886"/>
    <w:rsid w:val="00964681"/>
    <w:rsid w:val="00964A7B"/>
    <w:rsid w:val="00964A98"/>
    <w:rsid w:val="009654AC"/>
    <w:rsid w:val="00965871"/>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BDF"/>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414"/>
    <w:rsid w:val="009948C1"/>
    <w:rsid w:val="009951A0"/>
    <w:rsid w:val="00996772"/>
    <w:rsid w:val="0099678C"/>
    <w:rsid w:val="009970FA"/>
    <w:rsid w:val="00997351"/>
    <w:rsid w:val="009977DD"/>
    <w:rsid w:val="00997A23"/>
    <w:rsid w:val="00997A7D"/>
    <w:rsid w:val="00997BF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1B4A"/>
    <w:rsid w:val="009B2383"/>
    <w:rsid w:val="009B2D32"/>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4E2F"/>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4A7"/>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819"/>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5F81"/>
    <w:rsid w:val="009F6066"/>
    <w:rsid w:val="009F6EB7"/>
    <w:rsid w:val="009F7409"/>
    <w:rsid w:val="009F7537"/>
    <w:rsid w:val="00A003E1"/>
    <w:rsid w:val="00A005B0"/>
    <w:rsid w:val="00A00EE5"/>
    <w:rsid w:val="00A02834"/>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56B"/>
    <w:rsid w:val="00A206C8"/>
    <w:rsid w:val="00A207FD"/>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4BB4"/>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310"/>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59EB"/>
    <w:rsid w:val="00A75E56"/>
    <w:rsid w:val="00A769A6"/>
    <w:rsid w:val="00A76DA8"/>
    <w:rsid w:val="00A7764B"/>
    <w:rsid w:val="00A77F51"/>
    <w:rsid w:val="00A800B7"/>
    <w:rsid w:val="00A809AC"/>
    <w:rsid w:val="00A80E2F"/>
    <w:rsid w:val="00A81018"/>
    <w:rsid w:val="00A812E8"/>
    <w:rsid w:val="00A82256"/>
    <w:rsid w:val="00A82313"/>
    <w:rsid w:val="00A82AF7"/>
    <w:rsid w:val="00A8392F"/>
    <w:rsid w:val="00A83EC4"/>
    <w:rsid w:val="00A841CC"/>
    <w:rsid w:val="00A844CE"/>
    <w:rsid w:val="00A84FE2"/>
    <w:rsid w:val="00A85398"/>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C34"/>
    <w:rsid w:val="00AA1D7C"/>
    <w:rsid w:val="00AA2B9C"/>
    <w:rsid w:val="00AA2C9F"/>
    <w:rsid w:val="00AA36AD"/>
    <w:rsid w:val="00AA3C3D"/>
    <w:rsid w:val="00AA4EB8"/>
    <w:rsid w:val="00AA5088"/>
    <w:rsid w:val="00AA53B0"/>
    <w:rsid w:val="00AA63A9"/>
    <w:rsid w:val="00AA6AB5"/>
    <w:rsid w:val="00AA6F19"/>
    <w:rsid w:val="00AA6F50"/>
    <w:rsid w:val="00AA7E07"/>
    <w:rsid w:val="00AA7E69"/>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A78"/>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5CAA"/>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D70E7"/>
    <w:rsid w:val="00AE0EC3"/>
    <w:rsid w:val="00AE2542"/>
    <w:rsid w:val="00AE31AB"/>
    <w:rsid w:val="00AE3478"/>
    <w:rsid w:val="00AE3F4A"/>
    <w:rsid w:val="00AE4CC9"/>
    <w:rsid w:val="00AE4EE9"/>
    <w:rsid w:val="00AE58D9"/>
    <w:rsid w:val="00AE5CA6"/>
    <w:rsid w:val="00AE60CA"/>
    <w:rsid w:val="00AE6873"/>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6A9"/>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4BE"/>
    <w:rsid w:val="00B116A0"/>
    <w:rsid w:val="00B11981"/>
    <w:rsid w:val="00B11C6B"/>
    <w:rsid w:val="00B12190"/>
    <w:rsid w:val="00B12350"/>
    <w:rsid w:val="00B12916"/>
    <w:rsid w:val="00B13574"/>
    <w:rsid w:val="00B13877"/>
    <w:rsid w:val="00B13DC3"/>
    <w:rsid w:val="00B146AF"/>
    <w:rsid w:val="00B1487D"/>
    <w:rsid w:val="00B14D4A"/>
    <w:rsid w:val="00B151F2"/>
    <w:rsid w:val="00B1535A"/>
    <w:rsid w:val="00B15372"/>
    <w:rsid w:val="00B155B9"/>
    <w:rsid w:val="00B1577D"/>
    <w:rsid w:val="00B15956"/>
    <w:rsid w:val="00B15E99"/>
    <w:rsid w:val="00B16165"/>
    <w:rsid w:val="00B16211"/>
    <w:rsid w:val="00B16515"/>
    <w:rsid w:val="00B1658B"/>
    <w:rsid w:val="00B1727E"/>
    <w:rsid w:val="00B175EB"/>
    <w:rsid w:val="00B17DB0"/>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B19"/>
    <w:rsid w:val="00B37899"/>
    <w:rsid w:val="00B37B3A"/>
    <w:rsid w:val="00B37D69"/>
    <w:rsid w:val="00B40221"/>
    <w:rsid w:val="00B406B1"/>
    <w:rsid w:val="00B4077B"/>
    <w:rsid w:val="00B412F7"/>
    <w:rsid w:val="00B41470"/>
    <w:rsid w:val="00B41646"/>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1D9"/>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212"/>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6B4"/>
    <w:rsid w:val="00B759C0"/>
    <w:rsid w:val="00B76148"/>
    <w:rsid w:val="00B7644E"/>
    <w:rsid w:val="00B76954"/>
    <w:rsid w:val="00B76ADE"/>
    <w:rsid w:val="00B76B4E"/>
    <w:rsid w:val="00B77499"/>
    <w:rsid w:val="00B77A52"/>
    <w:rsid w:val="00B77BB8"/>
    <w:rsid w:val="00B77CBF"/>
    <w:rsid w:val="00B8086F"/>
    <w:rsid w:val="00B80AA3"/>
    <w:rsid w:val="00B8202D"/>
    <w:rsid w:val="00B820C7"/>
    <w:rsid w:val="00B8242B"/>
    <w:rsid w:val="00B8279B"/>
    <w:rsid w:val="00B82F63"/>
    <w:rsid w:val="00B830C8"/>
    <w:rsid w:val="00B83455"/>
    <w:rsid w:val="00B834B6"/>
    <w:rsid w:val="00B83773"/>
    <w:rsid w:val="00B83ED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5F5"/>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3418"/>
    <w:rsid w:val="00BB5178"/>
    <w:rsid w:val="00BB5991"/>
    <w:rsid w:val="00BB6093"/>
    <w:rsid w:val="00BB67AE"/>
    <w:rsid w:val="00BB728B"/>
    <w:rsid w:val="00BB73F7"/>
    <w:rsid w:val="00BB74A9"/>
    <w:rsid w:val="00BB75F8"/>
    <w:rsid w:val="00BB7702"/>
    <w:rsid w:val="00BB7718"/>
    <w:rsid w:val="00BB7E03"/>
    <w:rsid w:val="00BC049F"/>
    <w:rsid w:val="00BC0589"/>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3E3B"/>
    <w:rsid w:val="00BF456C"/>
    <w:rsid w:val="00BF4644"/>
    <w:rsid w:val="00BF4830"/>
    <w:rsid w:val="00BF4EA6"/>
    <w:rsid w:val="00BF6269"/>
    <w:rsid w:val="00BF63AA"/>
    <w:rsid w:val="00C003B9"/>
    <w:rsid w:val="00C007DF"/>
    <w:rsid w:val="00C008F9"/>
    <w:rsid w:val="00C0093A"/>
    <w:rsid w:val="00C00D18"/>
    <w:rsid w:val="00C00E70"/>
    <w:rsid w:val="00C01C72"/>
    <w:rsid w:val="00C0209E"/>
    <w:rsid w:val="00C02901"/>
    <w:rsid w:val="00C02B38"/>
    <w:rsid w:val="00C02BBB"/>
    <w:rsid w:val="00C0328C"/>
    <w:rsid w:val="00C0384B"/>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651"/>
    <w:rsid w:val="00C16DF8"/>
    <w:rsid w:val="00C17C1B"/>
    <w:rsid w:val="00C202E9"/>
    <w:rsid w:val="00C20366"/>
    <w:rsid w:val="00C21285"/>
    <w:rsid w:val="00C21A65"/>
    <w:rsid w:val="00C237F5"/>
    <w:rsid w:val="00C239A4"/>
    <w:rsid w:val="00C24241"/>
    <w:rsid w:val="00C247D2"/>
    <w:rsid w:val="00C24A70"/>
    <w:rsid w:val="00C24E69"/>
    <w:rsid w:val="00C264A7"/>
    <w:rsid w:val="00C30694"/>
    <w:rsid w:val="00C3072D"/>
    <w:rsid w:val="00C30B1A"/>
    <w:rsid w:val="00C317AA"/>
    <w:rsid w:val="00C31879"/>
    <w:rsid w:val="00C31A73"/>
    <w:rsid w:val="00C31D6B"/>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632"/>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1F9"/>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3AE"/>
    <w:rsid w:val="00C7480A"/>
    <w:rsid w:val="00C74A00"/>
    <w:rsid w:val="00C7575E"/>
    <w:rsid w:val="00C75C33"/>
    <w:rsid w:val="00C75E4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BE8"/>
    <w:rsid w:val="00C82EB8"/>
    <w:rsid w:val="00C82F20"/>
    <w:rsid w:val="00C830BA"/>
    <w:rsid w:val="00C8331E"/>
    <w:rsid w:val="00C841CF"/>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862"/>
    <w:rsid w:val="00C94AEE"/>
    <w:rsid w:val="00C95855"/>
    <w:rsid w:val="00C959EC"/>
    <w:rsid w:val="00C95FF7"/>
    <w:rsid w:val="00C968A9"/>
    <w:rsid w:val="00C96A2F"/>
    <w:rsid w:val="00C96AF0"/>
    <w:rsid w:val="00C972B2"/>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259"/>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52B"/>
    <w:rsid w:val="00CE2B7F"/>
    <w:rsid w:val="00CE2D49"/>
    <w:rsid w:val="00CE2ED7"/>
    <w:rsid w:val="00CE374B"/>
    <w:rsid w:val="00CE3B09"/>
    <w:rsid w:val="00CE3DDC"/>
    <w:rsid w:val="00CE3F65"/>
    <w:rsid w:val="00CE3FFA"/>
    <w:rsid w:val="00CE4BAA"/>
    <w:rsid w:val="00CE5082"/>
    <w:rsid w:val="00CE547A"/>
    <w:rsid w:val="00CE63EE"/>
    <w:rsid w:val="00CE6D6C"/>
    <w:rsid w:val="00CE7180"/>
    <w:rsid w:val="00CE725C"/>
    <w:rsid w:val="00CE7D0C"/>
    <w:rsid w:val="00CE7EE1"/>
    <w:rsid w:val="00CE7EFF"/>
    <w:rsid w:val="00CF00EF"/>
    <w:rsid w:val="00CF1233"/>
    <w:rsid w:val="00CF16FB"/>
    <w:rsid w:val="00CF1725"/>
    <w:rsid w:val="00CF1A23"/>
    <w:rsid w:val="00CF2295"/>
    <w:rsid w:val="00CF2596"/>
    <w:rsid w:val="00CF385D"/>
    <w:rsid w:val="00CF3BDE"/>
    <w:rsid w:val="00CF500A"/>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DAB"/>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17A63"/>
    <w:rsid w:val="00D17F71"/>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F2"/>
    <w:rsid w:val="00D2694A"/>
    <w:rsid w:val="00D275DF"/>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81"/>
    <w:rsid w:val="00D50BB2"/>
    <w:rsid w:val="00D50C55"/>
    <w:rsid w:val="00D5178A"/>
    <w:rsid w:val="00D51D6C"/>
    <w:rsid w:val="00D5206B"/>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2B9"/>
    <w:rsid w:val="00D57397"/>
    <w:rsid w:val="00D57437"/>
    <w:rsid w:val="00D574CA"/>
    <w:rsid w:val="00D57819"/>
    <w:rsid w:val="00D601AD"/>
    <w:rsid w:val="00D60332"/>
    <w:rsid w:val="00D60389"/>
    <w:rsid w:val="00D60654"/>
    <w:rsid w:val="00D6072C"/>
    <w:rsid w:val="00D60767"/>
    <w:rsid w:val="00D6088A"/>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03"/>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AC7"/>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122F"/>
    <w:rsid w:val="00DA2129"/>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919"/>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044C"/>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78D"/>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E7F25"/>
    <w:rsid w:val="00DF1148"/>
    <w:rsid w:val="00DF15D7"/>
    <w:rsid w:val="00DF16E4"/>
    <w:rsid w:val="00DF24F9"/>
    <w:rsid w:val="00DF3003"/>
    <w:rsid w:val="00DF3527"/>
    <w:rsid w:val="00DF365A"/>
    <w:rsid w:val="00DF3A7B"/>
    <w:rsid w:val="00DF3E12"/>
    <w:rsid w:val="00DF4E64"/>
    <w:rsid w:val="00DF5C03"/>
    <w:rsid w:val="00DF5DDF"/>
    <w:rsid w:val="00DF6035"/>
    <w:rsid w:val="00DF69A3"/>
    <w:rsid w:val="00DF69A9"/>
    <w:rsid w:val="00DF6A4F"/>
    <w:rsid w:val="00DF6CC2"/>
    <w:rsid w:val="00DF77E9"/>
    <w:rsid w:val="00DF7E16"/>
    <w:rsid w:val="00DF7FCB"/>
    <w:rsid w:val="00E000DD"/>
    <w:rsid w:val="00E001CE"/>
    <w:rsid w:val="00E006E4"/>
    <w:rsid w:val="00E00B22"/>
    <w:rsid w:val="00E00C63"/>
    <w:rsid w:val="00E00D77"/>
    <w:rsid w:val="00E0196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891"/>
    <w:rsid w:val="00E245D5"/>
    <w:rsid w:val="00E24F80"/>
    <w:rsid w:val="00E25673"/>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D11"/>
    <w:rsid w:val="00E34FD5"/>
    <w:rsid w:val="00E3510E"/>
    <w:rsid w:val="00E363B3"/>
    <w:rsid w:val="00E36578"/>
    <w:rsid w:val="00E373A0"/>
    <w:rsid w:val="00E37B5F"/>
    <w:rsid w:val="00E37B95"/>
    <w:rsid w:val="00E37D83"/>
    <w:rsid w:val="00E40624"/>
    <w:rsid w:val="00E40871"/>
    <w:rsid w:val="00E408BF"/>
    <w:rsid w:val="00E41B83"/>
    <w:rsid w:val="00E420EF"/>
    <w:rsid w:val="00E4329F"/>
    <w:rsid w:val="00E437FA"/>
    <w:rsid w:val="00E451A9"/>
    <w:rsid w:val="00E456CA"/>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B2D"/>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41A"/>
    <w:rsid w:val="00E72D22"/>
    <w:rsid w:val="00E731C6"/>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0AE9"/>
    <w:rsid w:val="00E91313"/>
    <w:rsid w:val="00E920E1"/>
    <w:rsid w:val="00E92192"/>
    <w:rsid w:val="00E921F5"/>
    <w:rsid w:val="00E93416"/>
    <w:rsid w:val="00E94590"/>
    <w:rsid w:val="00E94720"/>
    <w:rsid w:val="00E94A6B"/>
    <w:rsid w:val="00E94AF8"/>
    <w:rsid w:val="00E9535F"/>
    <w:rsid w:val="00E95962"/>
    <w:rsid w:val="00E95B0F"/>
    <w:rsid w:val="00E95CC4"/>
    <w:rsid w:val="00E96E8E"/>
    <w:rsid w:val="00E975F3"/>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720"/>
    <w:rsid w:val="00ED6892"/>
    <w:rsid w:val="00ED6C44"/>
    <w:rsid w:val="00ED6FC5"/>
    <w:rsid w:val="00EE01F2"/>
    <w:rsid w:val="00EE0A4B"/>
    <w:rsid w:val="00EE0AE2"/>
    <w:rsid w:val="00EE0B21"/>
    <w:rsid w:val="00EE13AE"/>
    <w:rsid w:val="00EE1559"/>
    <w:rsid w:val="00EE1B3D"/>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374"/>
    <w:rsid w:val="00F14DFE"/>
    <w:rsid w:val="00F15137"/>
    <w:rsid w:val="00F16057"/>
    <w:rsid w:val="00F16324"/>
    <w:rsid w:val="00F20513"/>
    <w:rsid w:val="00F22178"/>
    <w:rsid w:val="00F22FFC"/>
    <w:rsid w:val="00F233C0"/>
    <w:rsid w:val="00F23585"/>
    <w:rsid w:val="00F2366E"/>
    <w:rsid w:val="00F2375B"/>
    <w:rsid w:val="00F23F8C"/>
    <w:rsid w:val="00F244B3"/>
    <w:rsid w:val="00F24761"/>
    <w:rsid w:val="00F24A27"/>
    <w:rsid w:val="00F24BAC"/>
    <w:rsid w:val="00F24E6D"/>
    <w:rsid w:val="00F24F93"/>
    <w:rsid w:val="00F2519A"/>
    <w:rsid w:val="00F2561F"/>
    <w:rsid w:val="00F25D66"/>
    <w:rsid w:val="00F25EA7"/>
    <w:rsid w:val="00F2637D"/>
    <w:rsid w:val="00F2666A"/>
    <w:rsid w:val="00F26758"/>
    <w:rsid w:val="00F2683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955"/>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021"/>
    <w:rsid w:val="00F8083E"/>
    <w:rsid w:val="00F80882"/>
    <w:rsid w:val="00F808C5"/>
    <w:rsid w:val="00F812F5"/>
    <w:rsid w:val="00F81D0E"/>
    <w:rsid w:val="00F82912"/>
    <w:rsid w:val="00F82958"/>
    <w:rsid w:val="00F82CCF"/>
    <w:rsid w:val="00F82F18"/>
    <w:rsid w:val="00F832E1"/>
    <w:rsid w:val="00F836A4"/>
    <w:rsid w:val="00F84073"/>
    <w:rsid w:val="00F85369"/>
    <w:rsid w:val="00F854E5"/>
    <w:rsid w:val="00F858DD"/>
    <w:rsid w:val="00F8605F"/>
    <w:rsid w:val="00F86AED"/>
    <w:rsid w:val="00F8719B"/>
    <w:rsid w:val="00F87DB5"/>
    <w:rsid w:val="00F90461"/>
    <w:rsid w:val="00F90892"/>
    <w:rsid w:val="00F92294"/>
    <w:rsid w:val="00F92CF8"/>
    <w:rsid w:val="00F93DC9"/>
    <w:rsid w:val="00F9400A"/>
    <w:rsid w:val="00F94872"/>
    <w:rsid w:val="00F94C41"/>
    <w:rsid w:val="00F9547F"/>
    <w:rsid w:val="00F95875"/>
    <w:rsid w:val="00F95959"/>
    <w:rsid w:val="00F959AD"/>
    <w:rsid w:val="00F95D5B"/>
    <w:rsid w:val="00F95F98"/>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AB2"/>
    <w:rsid w:val="00FA5D88"/>
    <w:rsid w:val="00FA6D0A"/>
    <w:rsid w:val="00FA751A"/>
    <w:rsid w:val="00FA7A37"/>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4D"/>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756"/>
    <w:rsid w:val="00FE5895"/>
    <w:rsid w:val="00FE5C16"/>
    <w:rsid w:val="00FE66DB"/>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398"/>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 w:type="paragraph" w:customStyle="1" w:styleId="TableFootnote">
    <w:name w:val="TableFootnote"/>
    <w:uiPriority w:val="99"/>
    <w:rsid w:val="00FA7A37"/>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bidi="he-IL"/>
      <w14:ligatures w14:val="standardContextual"/>
    </w:rPr>
  </w:style>
  <w:style w:type="character" w:styleId="FollowedHyperlink">
    <w:name w:val="FollowedHyperlink"/>
    <w:basedOn w:val="DefaultParagraphFont"/>
    <w:semiHidden/>
    <w:unhideWhenUsed/>
    <w:rsid w:val="00E01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2367034">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907592">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27642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704655">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24458">
      <w:bodyDiv w:val="1"/>
      <w:marLeft w:val="0"/>
      <w:marRight w:val="0"/>
      <w:marTop w:val="0"/>
      <w:marBottom w:val="0"/>
      <w:divBdr>
        <w:top w:val="none" w:sz="0" w:space="0" w:color="auto"/>
        <w:left w:val="none" w:sz="0" w:space="0" w:color="auto"/>
        <w:bottom w:val="none" w:sz="0" w:space="0" w:color="auto"/>
        <w:right w:val="none" w:sz="0" w:space="0" w:color="auto"/>
      </w:divBdr>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242485">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4327370">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451822">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668547">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617513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51044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0201010">
      <w:bodyDiv w:val="1"/>
      <w:marLeft w:val="0"/>
      <w:marRight w:val="0"/>
      <w:marTop w:val="0"/>
      <w:marBottom w:val="0"/>
      <w:divBdr>
        <w:top w:val="none" w:sz="0" w:space="0" w:color="auto"/>
        <w:left w:val="none" w:sz="0" w:space="0" w:color="auto"/>
        <w:bottom w:val="none" w:sz="0" w:space="0" w:color="auto"/>
        <w:right w:val="none" w:sz="0" w:space="0" w:color="auto"/>
      </w:divBdr>
    </w:div>
    <w:div w:id="170270957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2141966">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482067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19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9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ocuments?is_dcn=1986" TargetMode="External"/><Relationship Id="rId4" Type="http://schemas.openxmlformats.org/officeDocument/2006/relationships/settings" Target="settings.xml"/><Relationship Id="rId9" Type="http://schemas.openxmlformats.org/officeDocument/2006/relationships/hyperlink" Target="https://mentor.ieee.org/802.11/documents?is_dcn=1986" TargetMode="External"/><Relationship Id="rId14" Type="http://schemas.openxmlformats.org/officeDocument/2006/relationships/hyperlink" Target="https://mentor.ieee.org/802.11/documents?is_dcn=198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802.11-24/0257r</vt:lpstr>
    </vt:vector>
  </TitlesOfParts>
  <Company>Marvell</Company>
  <LinksUpToDate>false</LinksUpToDate>
  <CharactersWithSpaces>9482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802.11-24/1986r</dc:title>
  <dc:subject>Submission</dc:subject>
  <dc:creator>Segev, Jonathan</dc:creator>
  <cp:keywords>Nov 2017</cp:keywords>
  <dc:description>Christian Berger, NXP</dc:description>
  <cp:lastModifiedBy>Segev, Jonathan</cp:lastModifiedBy>
  <cp:revision>2</cp:revision>
  <cp:lastPrinted>2010-05-04T03:47:00Z</cp:lastPrinted>
  <dcterms:created xsi:type="dcterms:W3CDTF">2024-12-03T18:17:00Z</dcterms:created>
  <dcterms:modified xsi:type="dcterms:W3CDTF">2024-12-03T18:17:00Z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