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22DD381B"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975346">
              <w:rPr>
                <w:b w:val="0"/>
                <w:sz w:val="24"/>
                <w:szCs w:val="24"/>
              </w:rPr>
              <w:t>1</w:t>
            </w:r>
            <w:r w:rsidR="00C30304">
              <w:rPr>
                <w:b w:val="0"/>
                <w:sz w:val="24"/>
                <w:szCs w:val="24"/>
              </w:rPr>
              <w:t>1</w:t>
            </w:r>
            <w:r w:rsidR="00965FF9" w:rsidRPr="00977061">
              <w:rPr>
                <w:b w:val="0"/>
                <w:sz w:val="24"/>
                <w:szCs w:val="24"/>
              </w:rPr>
              <w:t>-</w:t>
            </w:r>
            <w:r w:rsidR="002049D0">
              <w:rPr>
                <w:b w:val="0"/>
                <w:sz w:val="24"/>
                <w:szCs w:val="24"/>
              </w:rPr>
              <w:t>1</w:t>
            </w:r>
            <w:r w:rsidR="000C2A5B">
              <w:rPr>
                <w:b w:val="0"/>
                <w:sz w:val="24"/>
                <w:szCs w:val="24"/>
              </w:rPr>
              <w:t>5</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206F64">
        <w:trPr>
          <w:jc w:val="center"/>
        </w:trPr>
        <w:tc>
          <w:tcPr>
            <w:tcW w:w="179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07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170" w:type="dxa"/>
            <w:vAlign w:val="center"/>
          </w:tcPr>
          <w:p w14:paraId="2E8491BF" w14:textId="77777777" w:rsidR="000A3910" w:rsidRPr="00977061" w:rsidRDefault="000A3910" w:rsidP="000A3910">
            <w:pPr>
              <w:pStyle w:val="T2"/>
              <w:spacing w:after="0"/>
              <w:ind w:left="0" w:right="0"/>
              <w:jc w:val="left"/>
              <w:rPr>
                <w:sz w:val="24"/>
                <w:szCs w:val="24"/>
              </w:rPr>
            </w:pPr>
          </w:p>
        </w:tc>
        <w:tc>
          <w:tcPr>
            <w:tcW w:w="990" w:type="dxa"/>
            <w:vAlign w:val="center"/>
          </w:tcPr>
          <w:p w14:paraId="2ED80BED" w14:textId="77777777" w:rsidR="000A3910" w:rsidRPr="00977061" w:rsidRDefault="000A3910" w:rsidP="000A3910">
            <w:pPr>
              <w:pStyle w:val="T2"/>
              <w:spacing w:after="0"/>
              <w:ind w:left="0" w:right="0"/>
              <w:jc w:val="left"/>
              <w:rPr>
                <w:sz w:val="24"/>
                <w:szCs w:val="24"/>
              </w:rPr>
            </w:pPr>
          </w:p>
        </w:tc>
        <w:tc>
          <w:tcPr>
            <w:tcW w:w="355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206F64">
        <w:trPr>
          <w:jc w:val="center"/>
        </w:trPr>
        <w:tc>
          <w:tcPr>
            <w:tcW w:w="179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07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170" w:type="dxa"/>
            <w:vAlign w:val="center"/>
          </w:tcPr>
          <w:p w14:paraId="0DC3541C" w14:textId="77777777" w:rsidR="000A3910" w:rsidRPr="00977061" w:rsidRDefault="000A3910" w:rsidP="000A3910">
            <w:pPr>
              <w:pStyle w:val="T2"/>
              <w:spacing w:after="0"/>
              <w:ind w:left="0" w:right="0"/>
              <w:jc w:val="left"/>
              <w:rPr>
                <w:sz w:val="24"/>
                <w:szCs w:val="24"/>
              </w:rPr>
            </w:pPr>
          </w:p>
        </w:tc>
        <w:tc>
          <w:tcPr>
            <w:tcW w:w="990" w:type="dxa"/>
            <w:vAlign w:val="center"/>
          </w:tcPr>
          <w:p w14:paraId="197E641B" w14:textId="77777777" w:rsidR="000A3910" w:rsidRPr="00977061" w:rsidRDefault="000A3910" w:rsidP="000A3910">
            <w:pPr>
              <w:pStyle w:val="T2"/>
              <w:spacing w:after="0"/>
              <w:ind w:left="0" w:right="0"/>
              <w:jc w:val="left"/>
              <w:rPr>
                <w:sz w:val="24"/>
                <w:szCs w:val="24"/>
              </w:rPr>
            </w:pPr>
          </w:p>
        </w:tc>
        <w:tc>
          <w:tcPr>
            <w:tcW w:w="355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206F64">
        <w:trPr>
          <w:trHeight w:val="215"/>
          <w:jc w:val="center"/>
        </w:trPr>
        <w:tc>
          <w:tcPr>
            <w:tcW w:w="179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07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17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990" w:type="dxa"/>
            <w:vAlign w:val="center"/>
          </w:tcPr>
          <w:p w14:paraId="64B7887E" w14:textId="77777777" w:rsidR="000A3910" w:rsidRPr="00143796" w:rsidRDefault="000A3910" w:rsidP="000A3910">
            <w:pPr>
              <w:pStyle w:val="T2"/>
              <w:spacing w:after="0"/>
              <w:ind w:left="0" w:right="0"/>
              <w:rPr>
                <w:b w:val="0"/>
                <w:sz w:val="22"/>
                <w:szCs w:val="22"/>
              </w:rPr>
            </w:pPr>
          </w:p>
        </w:tc>
        <w:tc>
          <w:tcPr>
            <w:tcW w:w="355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11BBE">
        <w:trPr>
          <w:trHeight w:val="305"/>
          <w:jc w:val="center"/>
        </w:trPr>
        <w:tc>
          <w:tcPr>
            <w:tcW w:w="179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07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17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4BC2FD2D" w14:textId="77777777" w:rsidR="000A3910" w:rsidRPr="00143796" w:rsidRDefault="000A3910" w:rsidP="000A3910">
            <w:pPr>
              <w:pStyle w:val="T2"/>
              <w:spacing w:after="0"/>
              <w:ind w:left="0" w:right="0"/>
              <w:rPr>
                <w:b w:val="0"/>
                <w:sz w:val="22"/>
                <w:szCs w:val="22"/>
              </w:rPr>
            </w:pPr>
          </w:p>
        </w:tc>
        <w:tc>
          <w:tcPr>
            <w:tcW w:w="355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206F64">
        <w:trPr>
          <w:trHeight w:val="215"/>
          <w:jc w:val="center"/>
        </w:trPr>
        <w:tc>
          <w:tcPr>
            <w:tcW w:w="1795" w:type="dxa"/>
            <w:vAlign w:val="center"/>
          </w:tcPr>
          <w:p w14:paraId="17ED142C" w14:textId="0FEC2671" w:rsidR="000A3910" w:rsidRPr="00143796" w:rsidRDefault="000A3910" w:rsidP="000A3910">
            <w:pPr>
              <w:pStyle w:val="T2"/>
              <w:spacing w:after="0"/>
              <w:ind w:left="0" w:right="0"/>
              <w:jc w:val="left"/>
              <w:rPr>
                <w:b w:val="0"/>
                <w:sz w:val="22"/>
                <w:szCs w:val="22"/>
              </w:rPr>
            </w:pPr>
          </w:p>
        </w:tc>
        <w:tc>
          <w:tcPr>
            <w:tcW w:w="2070" w:type="dxa"/>
            <w:vAlign w:val="center"/>
          </w:tcPr>
          <w:p w14:paraId="7D2B9D65"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3C253E30" w14:textId="77777777" w:rsidR="000A3910" w:rsidRPr="00143796" w:rsidRDefault="000A3910" w:rsidP="000A3910">
            <w:pPr>
              <w:pStyle w:val="T2"/>
              <w:spacing w:after="0"/>
              <w:ind w:left="0" w:right="0"/>
              <w:rPr>
                <w:b w:val="0"/>
                <w:sz w:val="22"/>
                <w:szCs w:val="22"/>
              </w:rPr>
            </w:pPr>
          </w:p>
        </w:tc>
        <w:tc>
          <w:tcPr>
            <w:tcW w:w="3551" w:type="dxa"/>
            <w:vAlign w:val="center"/>
          </w:tcPr>
          <w:p w14:paraId="7BCF7E9E" w14:textId="77777777" w:rsidR="000A3910" w:rsidRPr="00143796" w:rsidRDefault="000A3910" w:rsidP="000A3910">
            <w:pPr>
              <w:pStyle w:val="T2"/>
              <w:spacing w:after="0"/>
              <w:ind w:left="0" w:right="0"/>
              <w:jc w:val="left"/>
              <w:rPr>
                <w:b w:val="0"/>
                <w:sz w:val="22"/>
                <w:szCs w:val="22"/>
              </w:rPr>
            </w:pPr>
          </w:p>
        </w:tc>
      </w:tr>
      <w:tr w:rsidR="000A3910" w:rsidRPr="00A525F0" w14:paraId="3896A1E2" w14:textId="77777777" w:rsidTr="00206F64">
        <w:trPr>
          <w:trHeight w:val="215"/>
          <w:jc w:val="center"/>
        </w:trPr>
        <w:tc>
          <w:tcPr>
            <w:tcW w:w="179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07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79EB867C" w14:textId="77777777" w:rsidR="000A3910" w:rsidRPr="00143796" w:rsidRDefault="000A3910" w:rsidP="000A3910">
            <w:pPr>
              <w:pStyle w:val="T2"/>
              <w:spacing w:after="0"/>
              <w:ind w:left="0" w:right="0"/>
              <w:rPr>
                <w:b w:val="0"/>
                <w:sz w:val="22"/>
                <w:szCs w:val="22"/>
              </w:rPr>
            </w:pPr>
          </w:p>
        </w:tc>
        <w:tc>
          <w:tcPr>
            <w:tcW w:w="355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When Channel Usage Request frame is used for channel switch request, the non-AP STA should indicate its new capabilities in a new band (</w:t>
            </w:r>
            <w:proofErr w:type="gramStart"/>
            <w:r>
              <w:rPr>
                <w:rFonts w:ascii="Arial" w:hAnsi="Arial" w:cs="Arial"/>
                <w:sz w:val="20"/>
              </w:rPr>
              <w:t>e.g.</w:t>
            </w:r>
            <w:proofErr w:type="gramEnd"/>
            <w:r>
              <w:rPr>
                <w:rFonts w:ascii="Arial" w:hAnsi="Arial" w:cs="Arial"/>
                <w:sz w:val="20"/>
              </w:rPr>
              <w:t xml:space="preserve">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w:t>
            </w:r>
            <w:proofErr w:type="gramStart"/>
            <w:r>
              <w:rPr>
                <w:rFonts w:ascii="Arial" w:hAnsi="Arial" w:cs="Arial"/>
                <w:sz w:val="20"/>
              </w:rPr>
              <w:t>GHz )</w:t>
            </w:r>
            <w:proofErr w:type="gramEnd"/>
            <w:r>
              <w:rPr>
                <w:rFonts w:ascii="Arial" w:hAnsi="Arial" w:cs="Arial"/>
                <w:sz w:val="20"/>
              </w:rPr>
              <w:t xml:space="preserve">,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0" w:name="_Hlk124866755"/>
    </w:p>
    <w:bookmarkEnd w:id="0"/>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495F9EDC" w:rsidR="00B07A2C" w:rsidRPr="00623030" w:rsidRDefault="00CF15E2" w:rsidP="006D7982">
            <w:pPr>
              <w:pStyle w:val="CellBody"/>
              <w:rPr>
                <w:color w:val="auto"/>
                <w:w w:val="100"/>
                <w:sz w:val="22"/>
                <w:szCs w:val="22"/>
              </w:rPr>
            </w:pPr>
            <w:r w:rsidRPr="00623030">
              <w:rPr>
                <w:color w:val="auto"/>
                <w:w w:val="100"/>
                <w:sz w:val="22"/>
                <w:szCs w:val="22"/>
              </w:rPr>
              <w:t>S</w:t>
            </w:r>
            <w:r w:rsidR="008D45E9" w:rsidRPr="00623030">
              <w:rPr>
                <w:color w:val="auto"/>
                <w:w w:val="100"/>
                <w:sz w:val="22"/>
                <w:szCs w:val="22"/>
              </w:rPr>
              <w:t xml:space="preserve">et to 1 to indicate </w:t>
            </w:r>
            <w:r w:rsidR="00463082" w:rsidRPr="00623030">
              <w:rPr>
                <w:color w:val="auto"/>
                <w:w w:val="100"/>
                <w:sz w:val="22"/>
                <w:szCs w:val="22"/>
              </w:rPr>
              <w:t>the</w:t>
            </w:r>
            <w:r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r w:rsidR="00B07A2C" w:rsidRPr="00623030">
              <w:rPr>
                <w:color w:val="auto"/>
                <w:w w:val="100"/>
                <w:sz w:val="22"/>
                <w:szCs w:val="22"/>
              </w:rPr>
              <w:t xml:space="preserve"> </w:t>
            </w:r>
          </w:p>
          <w:p w14:paraId="5B8346CD" w14:textId="6A2CCDD3" w:rsidR="00B07A2C" w:rsidRPr="00623030" w:rsidRDefault="00B07A2C" w:rsidP="00B07A2C">
            <w:pPr>
              <w:rPr>
                <w:sz w:val="22"/>
                <w:szCs w:val="22"/>
                <w:lang w:eastAsia="en-US"/>
              </w:rPr>
            </w:pPr>
            <w:r w:rsidRPr="00623030">
              <w:rPr>
                <w:sz w:val="22"/>
                <w:szCs w:val="22"/>
                <w:lang w:eastAsia="en-US"/>
              </w:rPr>
              <w:t>This field is reserved for a non-AP STA</w:t>
            </w:r>
            <w:r w:rsidR="0087654E">
              <w:rPr>
                <w:sz w:val="22"/>
                <w:szCs w:val="22"/>
                <w:lang w:eastAsia="en-US"/>
              </w:rPr>
              <w:t>.</w:t>
            </w:r>
          </w:p>
          <w:p w14:paraId="5328DB27" w14:textId="35CA189F" w:rsidR="00702870" w:rsidRPr="00623030" w:rsidRDefault="00702870" w:rsidP="006D7982">
            <w:pPr>
              <w:pStyle w:val="CellBody"/>
              <w:rPr>
                <w:color w:val="auto"/>
                <w:w w:val="100"/>
                <w:sz w:val="22"/>
                <w:szCs w:val="22"/>
              </w:rPr>
            </w:pPr>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1" w:name="RTF31343332343a205447762054"/>
            <w:r w:rsidRPr="00C30304">
              <w:rPr>
                <w:w w:val="100"/>
                <w:sz w:val="24"/>
                <w:szCs w:val="24"/>
              </w:rPr>
              <w:t>Usage Mode definitions</w:t>
            </w:r>
            <w:bookmarkEnd w:id="1"/>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2" w:name="RTF34363633383a2048342c312e"/>
      <w:r>
        <w:rPr>
          <w:w w:val="100"/>
        </w:rPr>
        <w:t>Channel Usage Request frame format</w:t>
      </w:r>
      <w:bookmarkEnd w:id="2"/>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3" w:name="RTF38383438383a204669677572"/>
      <w:r w:rsidR="00D2539B" w:rsidRPr="00D2539B">
        <w:rPr>
          <w:b/>
          <w:i/>
          <w:iCs/>
          <w:highlight w:val="yellow"/>
        </w:rPr>
        <w:t>Channel Usage Request frame Action field format</w:t>
      </w:r>
      <w:bookmarkEnd w:id="3"/>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pPr w:leftFromText="180" w:rightFromText="180" w:vertAnchor="text" w:horzAnchor="margin" w:tblpXSpec="center" w:tblpY="1773"/>
        <w:tblW w:w="11160"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920"/>
        <w:gridCol w:w="1080"/>
        <w:gridCol w:w="1080"/>
        <w:gridCol w:w="1080"/>
      </w:tblGrid>
      <w:tr w:rsidR="00CB320E" w14:paraId="74586F34" w14:textId="77777777" w:rsidTr="00CB320E">
        <w:trPr>
          <w:trHeight w:val="1040"/>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CB320E" w:rsidRDefault="00CB320E" w:rsidP="00CB320E">
            <w:pPr>
              <w:pStyle w:val="figuretext"/>
              <w:jc w:val="lef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CB320E" w:rsidRPr="004503D0" w:rsidRDefault="00CB320E" w:rsidP="00CB320E">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CB320E" w:rsidRPr="004503D0" w:rsidRDefault="00CB320E" w:rsidP="00CB320E">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CB320E" w:rsidRPr="004503D0" w:rsidRDefault="00CB320E" w:rsidP="00CB320E">
            <w:pPr>
              <w:pStyle w:val="figuretext"/>
              <w:rPr>
                <w:sz w:val="20"/>
                <w:szCs w:val="20"/>
              </w:rPr>
            </w:pPr>
            <w:r w:rsidRPr="004503D0">
              <w:rPr>
                <w:w w:val="100"/>
                <w:sz w:val="20"/>
                <w:szCs w:val="2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CB320E" w:rsidRPr="004503D0" w:rsidRDefault="00CB320E" w:rsidP="00CB320E">
            <w:pPr>
              <w:pStyle w:val="figuretext"/>
              <w:rPr>
                <w:sz w:val="20"/>
                <w:szCs w:val="20"/>
              </w:rPr>
            </w:pPr>
            <w:r w:rsidRPr="004503D0">
              <w:rPr>
                <w:w w:val="100"/>
                <w:sz w:val="20"/>
                <w:szCs w:val="2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CB320E" w:rsidRPr="004503D0" w:rsidRDefault="00CB320E" w:rsidP="00CB320E">
            <w:pPr>
              <w:pStyle w:val="figuretext"/>
              <w:rPr>
                <w:sz w:val="20"/>
                <w:szCs w:val="20"/>
              </w:rPr>
            </w:pPr>
            <w:r w:rsidRPr="004503D0">
              <w:rPr>
                <w:w w:val="100"/>
                <w:sz w:val="20"/>
                <w:szCs w:val="2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CB320E" w:rsidRPr="004503D0" w:rsidRDefault="00CB320E" w:rsidP="00CB320E">
            <w:pPr>
              <w:pStyle w:val="figuretext"/>
              <w:rPr>
                <w:w w:val="100"/>
                <w:sz w:val="20"/>
                <w:szCs w:val="20"/>
              </w:rPr>
            </w:pPr>
            <w:r w:rsidRPr="004503D0">
              <w:rPr>
                <w:w w:val="100"/>
                <w:sz w:val="20"/>
                <w:szCs w:val="20"/>
              </w:rPr>
              <w:t>TWT Elements (optional)</w:t>
            </w:r>
          </w:p>
          <w:p w14:paraId="48C1D504" w14:textId="77777777" w:rsidR="00CB320E" w:rsidRPr="004503D0" w:rsidRDefault="00CB320E" w:rsidP="00CB320E">
            <w:pPr>
              <w:pStyle w:val="figuretext"/>
              <w:rPr>
                <w:sz w:val="20"/>
                <w:szCs w:val="20"/>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CB320E" w:rsidRPr="004503D0" w:rsidRDefault="00CB320E" w:rsidP="00CB320E">
            <w:pPr>
              <w:pStyle w:val="figuretext"/>
              <w:rPr>
                <w:sz w:val="20"/>
                <w:szCs w:val="20"/>
              </w:rPr>
            </w:pPr>
            <w:r w:rsidRPr="004503D0">
              <w:rPr>
                <w:w w:val="100"/>
                <w:sz w:val="20"/>
                <w:szCs w:val="20"/>
              </w:rPr>
              <w:t>Timeout Interval Element (optional)</w:t>
            </w:r>
          </w:p>
        </w:tc>
        <w:tc>
          <w:tcPr>
            <w:tcW w:w="1080" w:type="dxa"/>
            <w:tcBorders>
              <w:top w:val="single" w:sz="10" w:space="0" w:color="000000"/>
              <w:left w:val="single" w:sz="10" w:space="0" w:color="000000"/>
              <w:bottom w:val="single" w:sz="10" w:space="0" w:color="000000"/>
              <w:right w:val="single" w:sz="10" w:space="0" w:color="000000"/>
            </w:tcBorders>
          </w:tcPr>
          <w:p w14:paraId="12BD7B96" w14:textId="77777777" w:rsidR="00CB320E" w:rsidRPr="004503D0" w:rsidRDefault="00CB320E" w:rsidP="00CB320E">
            <w:pPr>
              <w:pStyle w:val="figuretext"/>
              <w:rPr>
                <w:w w:val="100"/>
                <w:sz w:val="20"/>
                <w:szCs w:val="20"/>
                <w:u w:val="single"/>
              </w:rPr>
            </w:pPr>
            <w:r w:rsidRPr="004503D0">
              <w:rPr>
                <w:w w:val="100"/>
                <w:sz w:val="20"/>
                <w:szCs w:val="20"/>
                <w:u w:val="single"/>
              </w:rPr>
              <w:t>HT Capabilities Element (optional)</w:t>
            </w:r>
          </w:p>
        </w:tc>
        <w:tc>
          <w:tcPr>
            <w:tcW w:w="1080" w:type="dxa"/>
            <w:tcBorders>
              <w:top w:val="single" w:sz="10" w:space="0" w:color="000000"/>
              <w:left w:val="single" w:sz="10" w:space="0" w:color="000000"/>
              <w:bottom w:val="single" w:sz="10" w:space="0" w:color="000000"/>
              <w:right w:val="single" w:sz="10" w:space="0" w:color="000000"/>
            </w:tcBorders>
          </w:tcPr>
          <w:p w14:paraId="0A3AE417" w14:textId="77777777" w:rsidR="00CB320E" w:rsidRPr="004503D0" w:rsidRDefault="00CB320E" w:rsidP="00CB320E">
            <w:pPr>
              <w:pStyle w:val="figuretext"/>
              <w:rPr>
                <w:w w:val="100"/>
                <w:sz w:val="20"/>
                <w:szCs w:val="20"/>
                <w:u w:val="single"/>
              </w:rPr>
            </w:pPr>
            <w:r w:rsidRPr="004503D0">
              <w:rPr>
                <w:w w:val="100"/>
                <w:sz w:val="20"/>
                <w:szCs w:val="20"/>
                <w:u w:val="single"/>
              </w:rPr>
              <w:t xml:space="preserve">VHT Capabilities Element (optional) </w:t>
            </w:r>
          </w:p>
        </w:tc>
        <w:tc>
          <w:tcPr>
            <w:tcW w:w="1080" w:type="dxa"/>
            <w:tcBorders>
              <w:top w:val="single" w:sz="10" w:space="0" w:color="000000"/>
              <w:left w:val="single" w:sz="10" w:space="0" w:color="000000"/>
              <w:bottom w:val="single" w:sz="10" w:space="0" w:color="000000"/>
              <w:right w:val="single" w:sz="10" w:space="0" w:color="000000"/>
            </w:tcBorders>
          </w:tcPr>
          <w:p w14:paraId="104CFB7C" w14:textId="77777777" w:rsidR="00CB320E" w:rsidRPr="004503D0" w:rsidRDefault="00CB320E" w:rsidP="00CB320E">
            <w:pPr>
              <w:pStyle w:val="figuretext"/>
              <w:rPr>
                <w:w w:val="100"/>
                <w:sz w:val="20"/>
                <w:szCs w:val="20"/>
                <w:u w:val="single"/>
              </w:rPr>
            </w:pPr>
            <w:r w:rsidRPr="004503D0">
              <w:rPr>
                <w:w w:val="100"/>
                <w:sz w:val="20"/>
                <w:szCs w:val="20"/>
                <w:u w:val="single"/>
              </w:rPr>
              <w:t>HE Capabilities Element (optional)</w:t>
            </w:r>
          </w:p>
        </w:tc>
      </w:tr>
      <w:tr w:rsidR="00CB320E" w14:paraId="3B13832F" w14:textId="77777777" w:rsidTr="00CB320E">
        <w:trPr>
          <w:trHeight w:val="400"/>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CB320E" w:rsidRDefault="00CB320E" w:rsidP="00CB320E">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nil"/>
              <w:left w:val="nil"/>
              <w:bottom w:val="nil"/>
              <w:right w:val="nil"/>
            </w:tcBorders>
            <w:tcMar>
              <w:top w:w="160" w:type="dxa"/>
              <w:left w:w="120" w:type="dxa"/>
              <w:bottom w:w="100" w:type="dxa"/>
              <w:right w:w="120" w:type="dxa"/>
            </w:tcMar>
            <w:vAlign w:val="center"/>
          </w:tcPr>
          <w:p w14:paraId="5B5B9B68"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6465D4A6"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319BC56A" w14:textId="77777777" w:rsidR="00CB320E" w:rsidRPr="004503D0" w:rsidRDefault="00CB320E" w:rsidP="00CB320E">
            <w:pPr>
              <w:pStyle w:val="figuretext"/>
              <w:rPr>
                <w:sz w:val="20"/>
                <w:szCs w:val="20"/>
              </w:rPr>
            </w:pPr>
            <w:r w:rsidRPr="004503D0">
              <w:rPr>
                <w:w w:val="100"/>
                <w:sz w:val="20"/>
                <w:szCs w:val="20"/>
              </w:rPr>
              <w:t>variable</w:t>
            </w:r>
          </w:p>
        </w:tc>
        <w:tc>
          <w:tcPr>
            <w:tcW w:w="920" w:type="dxa"/>
            <w:tcBorders>
              <w:top w:val="nil"/>
              <w:left w:val="nil"/>
              <w:bottom w:val="nil"/>
              <w:right w:val="nil"/>
            </w:tcBorders>
            <w:tcMar>
              <w:top w:w="160" w:type="dxa"/>
              <w:left w:w="120" w:type="dxa"/>
              <w:bottom w:w="100" w:type="dxa"/>
              <w:right w:w="120" w:type="dxa"/>
            </w:tcMar>
            <w:vAlign w:val="center"/>
          </w:tcPr>
          <w:p w14:paraId="3FF13692" w14:textId="77777777" w:rsidR="00CB320E" w:rsidRPr="004503D0" w:rsidRDefault="00CB320E" w:rsidP="00CB320E">
            <w:pPr>
              <w:pStyle w:val="figuretext"/>
              <w:rPr>
                <w:sz w:val="20"/>
                <w:szCs w:val="20"/>
              </w:rPr>
            </w:pPr>
            <w:r w:rsidRPr="004503D0">
              <w:rPr>
                <w:w w:val="100"/>
                <w:sz w:val="20"/>
                <w:szCs w:val="20"/>
              </w:rPr>
              <w:t>0 or 7</w:t>
            </w:r>
          </w:p>
        </w:tc>
        <w:tc>
          <w:tcPr>
            <w:tcW w:w="1080" w:type="dxa"/>
            <w:tcBorders>
              <w:top w:val="nil"/>
              <w:left w:val="nil"/>
              <w:bottom w:val="nil"/>
              <w:right w:val="nil"/>
            </w:tcBorders>
          </w:tcPr>
          <w:p w14:paraId="23C74852"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2F2E3DFE"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1C0D08B3"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r>
      <w:tr w:rsidR="00CB320E" w14:paraId="2CB76A5F" w14:textId="77777777" w:rsidTr="00CB320E">
        <w:tc>
          <w:tcPr>
            <w:tcW w:w="7920" w:type="dxa"/>
            <w:gridSpan w:val="8"/>
            <w:tcBorders>
              <w:top w:val="nil"/>
              <w:left w:val="nil"/>
              <w:bottom w:val="nil"/>
              <w:right w:val="nil"/>
            </w:tcBorders>
            <w:tcMar>
              <w:top w:w="120" w:type="dxa"/>
              <w:left w:w="120" w:type="dxa"/>
              <w:bottom w:w="60" w:type="dxa"/>
              <w:right w:w="120" w:type="dxa"/>
            </w:tcMar>
            <w:vAlign w:val="center"/>
          </w:tcPr>
          <w:p w14:paraId="769C78D7" w14:textId="77777777" w:rsidR="00CB320E" w:rsidRDefault="00CB320E" w:rsidP="00CB320E">
            <w:pPr>
              <w:pStyle w:val="FigTitle"/>
              <w:numPr>
                <w:ilvl w:val="0"/>
                <w:numId w:val="12"/>
              </w:numPr>
            </w:pPr>
            <w:r>
              <w:rPr>
                <w:w w:val="100"/>
              </w:rPr>
              <w:t>Channel Usage Request frame Action field format</w:t>
            </w:r>
          </w:p>
        </w:tc>
        <w:tc>
          <w:tcPr>
            <w:tcW w:w="1080" w:type="dxa"/>
            <w:tcBorders>
              <w:top w:val="nil"/>
              <w:left w:val="nil"/>
              <w:bottom w:val="nil"/>
              <w:right w:val="nil"/>
            </w:tcBorders>
          </w:tcPr>
          <w:p w14:paraId="6BD4B6FB" w14:textId="77777777" w:rsidR="00CB320E" w:rsidRDefault="00CB320E" w:rsidP="00CB320E">
            <w:pPr>
              <w:pStyle w:val="FigTitle"/>
              <w:ind w:left="720"/>
              <w:rPr>
                <w:w w:val="100"/>
              </w:rPr>
            </w:pPr>
          </w:p>
        </w:tc>
        <w:tc>
          <w:tcPr>
            <w:tcW w:w="1080" w:type="dxa"/>
            <w:tcBorders>
              <w:top w:val="nil"/>
              <w:left w:val="nil"/>
              <w:bottom w:val="nil"/>
              <w:right w:val="nil"/>
            </w:tcBorders>
          </w:tcPr>
          <w:p w14:paraId="5A7CA428" w14:textId="77777777" w:rsidR="00CB320E" w:rsidRDefault="00CB320E" w:rsidP="00CB320E">
            <w:pPr>
              <w:pStyle w:val="FigTitle"/>
              <w:ind w:left="720"/>
              <w:rPr>
                <w:w w:val="100"/>
              </w:rPr>
            </w:pPr>
          </w:p>
        </w:tc>
        <w:tc>
          <w:tcPr>
            <w:tcW w:w="1080" w:type="dxa"/>
            <w:tcBorders>
              <w:top w:val="nil"/>
              <w:left w:val="nil"/>
              <w:bottom w:val="nil"/>
              <w:right w:val="nil"/>
            </w:tcBorders>
          </w:tcPr>
          <w:p w14:paraId="7AB27ECD" w14:textId="77777777" w:rsidR="00CB320E" w:rsidRDefault="00CB320E" w:rsidP="00CB320E">
            <w:pPr>
              <w:pStyle w:val="FigTitle"/>
              <w:ind w:left="450"/>
              <w:rPr>
                <w:w w:val="100"/>
              </w:rPr>
            </w:pPr>
          </w:p>
        </w:tc>
      </w:tr>
    </w:tbl>
    <w:p w14:paraId="72D05C98" w14:textId="77777777" w:rsidR="00696752" w:rsidRDefault="00696752" w:rsidP="00696752">
      <w:pPr>
        <w:pStyle w:val="T"/>
        <w:rPr>
          <w:w w:val="100"/>
        </w:rPr>
      </w:pPr>
    </w:p>
    <w:p w14:paraId="11930142" w14:textId="77777777" w:rsidR="0003324E" w:rsidRDefault="0003324E"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3117B0F7"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10AF10C0" w14:textId="39A86129" w:rsidR="00855CA9"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proofErr w:type="gramStart"/>
      <w:r w:rsidR="006E6342">
        <w:t xml:space="preserve">the </w:t>
      </w:r>
      <w:r w:rsidR="00DA0220">
        <w:t xml:space="preserve"> Channel</w:t>
      </w:r>
      <w:proofErr w:type="gramEnd"/>
      <w:r w:rsidR="00DA0220">
        <w:t xml:space="preserve">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4F92F494" w:rsidR="00A4452F" w:rsidRPr="000E3599"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r w:rsidR="00CE6747" w:rsidRPr="000E3599">
        <w:t xml:space="preserve"> </w:t>
      </w:r>
      <w:r w:rsidRPr="000E3599">
        <w:t xml:space="preserve"> </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lastRenderedPageBreak/>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3C4FA3E6" w:rsidR="00214F36" w:rsidRPr="00515899" w:rsidRDefault="009D243A" w:rsidP="00353EC6">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r w:rsidR="00281A87" w:rsidRPr="00515899">
        <w:rPr>
          <w:u w:val="single"/>
        </w:rPr>
        <w:t xml:space="preserve"> </w:t>
      </w:r>
      <w:r w:rsidR="003742A6">
        <w:rPr>
          <w:u w:val="single"/>
        </w:rPr>
        <w:t>and/</w:t>
      </w:r>
      <w:r w:rsidR="00281A87" w:rsidRPr="00515899">
        <w:rPr>
          <w:u w:val="single"/>
        </w:rPr>
        <w:t>or HE Capabilities element</w:t>
      </w:r>
      <w:r w:rsidR="00A476FE" w:rsidRPr="00515899">
        <w:rPr>
          <w:u w:val="single"/>
        </w:rPr>
        <w:t xml:space="preserve"> 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r w:rsidR="009A2A62" w:rsidRPr="00515899">
        <w:rPr>
          <w:u w:val="single"/>
        </w:rPr>
        <w:t xml:space="preserve">; </w:t>
      </w:r>
      <w:r w:rsidR="005119D9" w:rsidRPr="00515899">
        <w:rPr>
          <w:u w:val="single"/>
        </w:rPr>
        <w:t xml:space="preserve">otherwise, </w:t>
      </w:r>
      <w:r w:rsidR="00B04BD1" w:rsidRPr="00515899">
        <w:rPr>
          <w:u w:val="single"/>
        </w:rPr>
        <w:t>capabilities</w:t>
      </w:r>
      <w:r w:rsidR="001972EF" w:rsidRPr="00515899">
        <w:rPr>
          <w:u w:val="single"/>
        </w:rPr>
        <w:t xml:space="preserve"> element</w:t>
      </w:r>
      <w:r w:rsidR="00CF7DE2">
        <w:rPr>
          <w:u w:val="single"/>
        </w:rPr>
        <w:t>(</w:t>
      </w:r>
      <w:r w:rsidR="00B04BD1" w:rsidRPr="00515899">
        <w:rPr>
          <w:u w:val="single"/>
        </w:rPr>
        <w:t>s</w:t>
      </w:r>
      <w:r w:rsidR="00CF7DE2">
        <w:rPr>
          <w:u w:val="single"/>
        </w:rPr>
        <w:t>)</w:t>
      </w:r>
      <w:r w:rsidR="001972EF" w:rsidRPr="00515899">
        <w:rPr>
          <w:u w:val="single"/>
        </w:rPr>
        <w:t xml:space="preserve"> </w:t>
      </w:r>
      <w:r w:rsidR="00971E1F" w:rsidRPr="00515899">
        <w:rPr>
          <w:u w:val="single"/>
        </w:rPr>
        <w:t xml:space="preserve">shall </w:t>
      </w:r>
      <w:r w:rsidR="005119D9" w:rsidRPr="00515899">
        <w:rPr>
          <w:u w:val="single"/>
        </w:rPr>
        <w:t>not be included</w:t>
      </w:r>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 xml:space="preserve">ndicates </w:t>
      </w:r>
      <w:proofErr w:type="spellStart"/>
      <w:r w:rsidR="004C4705" w:rsidRPr="00515899">
        <w:rPr>
          <w:u w:val="single"/>
        </w:rPr>
        <w:t>Noninfrastructure</w:t>
      </w:r>
      <w:proofErr w:type="spellEnd"/>
      <w:r w:rsidR="004C4705" w:rsidRPr="00515899">
        <w:rPr>
          <w:u w:val="single"/>
        </w:rPr>
        <w:t xml:space="preserv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6ED20417" w14:textId="095C6571" w:rsidR="002E27C0" w:rsidRPr="00515899" w:rsidRDefault="000C4152" w:rsidP="00475761">
      <w:pPr>
        <w:pStyle w:val="T"/>
        <w:spacing w:beforeLines="60" w:before="144" w:after="120"/>
        <w:rPr>
          <w:color w:val="auto"/>
          <w:w w:val="100"/>
          <w:sz w:val="24"/>
          <w:szCs w:val="24"/>
        </w:rPr>
      </w:pPr>
      <w:r w:rsidRPr="00515899">
        <w:rPr>
          <w:color w:val="auto"/>
          <w:w w:val="100"/>
          <w:sz w:val="24"/>
          <w:szCs w:val="24"/>
        </w:rPr>
        <w:t xml:space="preserve">An AP that has dot11ChannelUsageActivated equal to true and supports </w:t>
      </w:r>
      <w:r w:rsidR="00815D60" w:rsidRPr="00515899">
        <w:rPr>
          <w:color w:val="auto"/>
          <w:w w:val="100"/>
          <w:sz w:val="24"/>
          <w:szCs w:val="24"/>
        </w:rPr>
        <w:t>capability notification</w:t>
      </w:r>
      <w:r w:rsidR="008F5BE7" w:rsidRPr="00515899">
        <w:rPr>
          <w:color w:val="auto"/>
          <w:w w:val="100"/>
          <w:sz w:val="24"/>
          <w:szCs w:val="24"/>
        </w:rPr>
        <w:t xml:space="preserve"> 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p>
    <w:p w14:paraId="28BB7B9E" w14:textId="527C6470" w:rsidR="0077636F" w:rsidRDefault="005B332C" w:rsidP="00A36ACB">
      <w:pPr>
        <w:pStyle w:val="T"/>
        <w:spacing w:beforeLines="60" w:before="144" w:after="120"/>
        <w:rPr>
          <w:sz w:val="24"/>
          <w:szCs w:val="24"/>
        </w:rPr>
      </w:pPr>
      <w:r w:rsidRPr="00515899">
        <w:rPr>
          <w:color w:val="auto"/>
          <w:w w:val="100"/>
          <w:sz w:val="24"/>
          <w:szCs w:val="24"/>
        </w:rPr>
        <w:t xml:space="preserve">If an AP has the Capability Notification Support field set to 1 in the Extended Capabilities element, </w:t>
      </w:r>
      <w:r w:rsidR="00515899" w:rsidRPr="00515899">
        <w:rPr>
          <w:color w:val="auto"/>
          <w:w w:val="100"/>
          <w:sz w:val="24"/>
          <w:szCs w:val="24"/>
        </w:rPr>
        <w:t>an associated</w:t>
      </w:r>
      <w:r w:rsidR="004D361B" w:rsidRPr="00515899">
        <w:rPr>
          <w:color w:val="auto"/>
          <w:w w:val="100"/>
          <w:sz w:val="24"/>
          <w:szCs w:val="24"/>
        </w:rPr>
        <w:t xml:space="preserve"> </w:t>
      </w:r>
      <w:r w:rsidR="00333C66" w:rsidRPr="00515899">
        <w:rPr>
          <w:color w:val="auto"/>
          <w:w w:val="100"/>
          <w:sz w:val="24"/>
          <w:szCs w:val="24"/>
        </w:rPr>
        <w:t xml:space="preserve">non-AP STA may send a Channel Usage Request frame with </w:t>
      </w:r>
      <w:r w:rsidR="00946FD6" w:rsidRPr="00515899">
        <w:rPr>
          <w:color w:val="auto"/>
          <w:w w:val="100"/>
          <w:sz w:val="24"/>
          <w:szCs w:val="24"/>
        </w:rPr>
        <w:t xml:space="preserve">the Usage Mode field </w:t>
      </w:r>
      <w:r w:rsidR="00B96145" w:rsidRPr="00515899">
        <w:rPr>
          <w:color w:val="auto"/>
          <w:w w:val="100"/>
          <w:sz w:val="24"/>
          <w:szCs w:val="24"/>
        </w:rPr>
        <w:t>indicating</w:t>
      </w:r>
      <w:r w:rsidR="00B04BD1" w:rsidRPr="00515899">
        <w:rPr>
          <w:color w:val="auto"/>
          <w:w w:val="100"/>
          <w:sz w:val="24"/>
          <w:szCs w:val="24"/>
        </w:rPr>
        <w:t xml:space="preserve"> Capability notification</w:t>
      </w:r>
      <w:r w:rsidR="00B96145" w:rsidRPr="00515899">
        <w:rPr>
          <w:color w:val="auto"/>
          <w:w w:val="100"/>
          <w:sz w:val="24"/>
          <w:szCs w:val="24"/>
        </w:rPr>
        <w:t xml:space="preserve"> </w:t>
      </w:r>
      <w:r w:rsidR="002869B2" w:rsidRPr="00515899">
        <w:rPr>
          <w:color w:val="auto"/>
          <w:w w:val="100"/>
          <w:sz w:val="24"/>
          <w:szCs w:val="24"/>
        </w:rPr>
        <w:t xml:space="preserve">in the </w:t>
      </w:r>
      <w:r w:rsidR="00333C66" w:rsidRPr="00515899">
        <w:rPr>
          <w:color w:val="auto"/>
          <w:w w:val="100"/>
          <w:sz w:val="24"/>
          <w:szCs w:val="24"/>
        </w:rPr>
        <w:t xml:space="preserve">Channel Usage element </w:t>
      </w:r>
      <w:r w:rsidR="00E032FD" w:rsidRPr="00515899">
        <w:rPr>
          <w:color w:val="auto"/>
          <w:w w:val="100"/>
          <w:sz w:val="24"/>
          <w:szCs w:val="24"/>
        </w:rPr>
        <w:t>to the AP</w:t>
      </w:r>
      <w:r w:rsidR="006D0050" w:rsidRPr="00515899">
        <w:rPr>
          <w:color w:val="auto"/>
          <w:w w:val="100"/>
          <w:sz w:val="24"/>
          <w:szCs w:val="24"/>
        </w:rPr>
        <w:t xml:space="preserve"> </w:t>
      </w:r>
      <w:r w:rsidR="00042ECD" w:rsidRPr="00515899">
        <w:rPr>
          <w:color w:val="auto"/>
          <w:w w:val="100"/>
          <w:sz w:val="24"/>
          <w:szCs w:val="24"/>
        </w:rPr>
        <w:t>after</w:t>
      </w:r>
      <w:r w:rsidR="006D0050" w:rsidRPr="00515899">
        <w:rPr>
          <w:color w:val="auto"/>
          <w:w w:val="100"/>
          <w:sz w:val="24"/>
          <w:szCs w:val="24"/>
        </w:rPr>
        <w:t xml:space="preserve"> the non-AP STA </w:t>
      </w:r>
      <w:r w:rsidR="009305C0" w:rsidRPr="00515899">
        <w:rPr>
          <w:color w:val="auto"/>
          <w:w w:val="100"/>
          <w:sz w:val="24"/>
          <w:szCs w:val="24"/>
        </w:rPr>
        <w:t>receives</w:t>
      </w:r>
      <w:r w:rsidR="006D0050" w:rsidRPr="00515899">
        <w:rPr>
          <w:color w:val="auto"/>
          <w:w w:val="100"/>
          <w:sz w:val="24"/>
          <w:szCs w:val="24"/>
        </w:rPr>
        <w:t xml:space="preserve"> </w:t>
      </w:r>
      <w:r w:rsidR="00043AE2" w:rsidRPr="00515899">
        <w:rPr>
          <w:color w:val="auto"/>
          <w:w w:val="100"/>
          <w:sz w:val="24"/>
          <w:szCs w:val="24"/>
        </w:rPr>
        <w:t>an Extended Channel Switch Announcement element</w:t>
      </w:r>
      <w:r w:rsidR="004A5352" w:rsidRPr="00515899">
        <w:rPr>
          <w:color w:val="auto"/>
          <w:w w:val="100"/>
          <w:sz w:val="24"/>
          <w:szCs w:val="24"/>
        </w:rPr>
        <w:t xml:space="preserve"> from the AP</w:t>
      </w:r>
      <w:r w:rsidR="005F0E63" w:rsidRPr="00515899">
        <w:rPr>
          <w:color w:val="auto"/>
          <w:w w:val="100"/>
          <w:sz w:val="24"/>
          <w:szCs w:val="24"/>
        </w:rPr>
        <w:t xml:space="preserve">. </w:t>
      </w:r>
      <w:r w:rsidR="00E32E24" w:rsidRPr="00515899">
        <w:rPr>
          <w:color w:val="auto"/>
          <w:w w:val="100"/>
          <w:sz w:val="24"/>
          <w:szCs w:val="24"/>
        </w:rPr>
        <w:t>The HT Capabilities element</w:t>
      </w:r>
      <w:r w:rsidR="00086E58" w:rsidRPr="00515899">
        <w:rPr>
          <w:color w:val="auto"/>
          <w:w w:val="100"/>
          <w:sz w:val="24"/>
          <w:szCs w:val="24"/>
        </w:rPr>
        <w:t>, VHT Capabilities element and/or HE Capabilities element</w:t>
      </w:r>
      <w:r w:rsidR="00E32E24" w:rsidRPr="00515899">
        <w:rPr>
          <w:color w:val="auto"/>
          <w:w w:val="100"/>
          <w:sz w:val="24"/>
          <w:szCs w:val="24"/>
        </w:rPr>
        <w:t xml:space="preserve"> shall be included in the </w:t>
      </w:r>
      <w:r w:rsidR="00A6553F" w:rsidRPr="00515899">
        <w:rPr>
          <w:color w:val="auto"/>
          <w:w w:val="100"/>
          <w:sz w:val="24"/>
          <w:szCs w:val="24"/>
        </w:rPr>
        <w:t xml:space="preserve">Channel Usage Request frame with </w:t>
      </w:r>
      <w:r w:rsidR="006F7FAA" w:rsidRPr="00515899">
        <w:rPr>
          <w:color w:val="auto"/>
          <w:w w:val="100"/>
          <w:sz w:val="24"/>
          <w:szCs w:val="24"/>
        </w:rPr>
        <w:t xml:space="preserve">the Usage Mode field </w:t>
      </w:r>
      <w:r w:rsidR="00CF38CD" w:rsidRPr="00515899">
        <w:rPr>
          <w:color w:val="auto"/>
          <w:w w:val="100"/>
          <w:sz w:val="24"/>
          <w:szCs w:val="24"/>
        </w:rPr>
        <w:t>indicating Capability notification</w:t>
      </w:r>
      <w:r w:rsidR="006F7FAA" w:rsidRPr="00515899">
        <w:rPr>
          <w:color w:val="auto"/>
          <w:w w:val="100"/>
          <w:sz w:val="24"/>
          <w:szCs w:val="24"/>
        </w:rPr>
        <w:t xml:space="preserve"> in the Channel Usage element</w:t>
      </w:r>
      <w:r w:rsidR="00A6553F" w:rsidRPr="00515899">
        <w:rPr>
          <w:color w:val="auto"/>
          <w:w w:val="100"/>
          <w:sz w:val="24"/>
          <w:szCs w:val="24"/>
        </w:rPr>
        <w:t xml:space="preserve"> </w:t>
      </w:r>
      <w:r w:rsidR="0029587B" w:rsidRPr="00930FAE">
        <w:rPr>
          <w:color w:val="auto"/>
          <w:w w:val="100"/>
          <w:sz w:val="24"/>
          <w:szCs w:val="24"/>
        </w:rPr>
        <w:t>t</w:t>
      </w:r>
      <w:r w:rsidR="003F6C94" w:rsidRPr="00930FAE">
        <w:rPr>
          <w:color w:val="auto"/>
          <w:w w:val="100"/>
          <w:sz w:val="24"/>
          <w:szCs w:val="24"/>
        </w:rPr>
        <w:t xml:space="preserve">o provide </w:t>
      </w:r>
      <w:r w:rsidR="00086E58" w:rsidRPr="00930FAE">
        <w:rPr>
          <w:color w:val="auto"/>
          <w:w w:val="100"/>
          <w:sz w:val="24"/>
          <w:szCs w:val="24"/>
        </w:rPr>
        <w:t xml:space="preserve">corresponding </w:t>
      </w:r>
      <w:r w:rsidR="00086E58" w:rsidRPr="00515899">
        <w:rPr>
          <w:color w:val="auto"/>
          <w:w w:val="100"/>
          <w:sz w:val="24"/>
          <w:szCs w:val="24"/>
        </w:rPr>
        <w:t>capabilities</w:t>
      </w:r>
      <w:r w:rsidR="00077E69">
        <w:rPr>
          <w:color w:val="auto"/>
          <w:w w:val="100"/>
          <w:sz w:val="24"/>
          <w:szCs w:val="24"/>
        </w:rPr>
        <w:t xml:space="preserve"> element(s)</w:t>
      </w:r>
      <w:r w:rsidR="00086E58" w:rsidRPr="00515899">
        <w:rPr>
          <w:color w:val="auto"/>
          <w:w w:val="100"/>
          <w:sz w:val="24"/>
          <w:szCs w:val="24"/>
        </w:rPr>
        <w:t xml:space="preserve"> </w:t>
      </w:r>
      <w:r w:rsidR="0085674C" w:rsidRPr="00515899">
        <w:rPr>
          <w:color w:val="auto"/>
          <w:w w:val="100"/>
          <w:sz w:val="24"/>
          <w:szCs w:val="24"/>
        </w:rPr>
        <w:t xml:space="preserve">for the </w:t>
      </w:r>
      <w:r w:rsidR="007E200B" w:rsidRPr="00515899">
        <w:rPr>
          <w:color w:val="auto"/>
          <w:w w:val="100"/>
          <w:sz w:val="24"/>
          <w:szCs w:val="24"/>
        </w:rPr>
        <w:t>new operating class</w:t>
      </w:r>
      <w:r w:rsidR="00F85C87" w:rsidRPr="00515899">
        <w:rPr>
          <w:color w:val="auto"/>
          <w:w w:val="100"/>
          <w:sz w:val="24"/>
          <w:szCs w:val="24"/>
        </w:rPr>
        <w:t xml:space="preserve"> and channel</w:t>
      </w:r>
      <w:r w:rsidR="00B04BD1" w:rsidRPr="00515899">
        <w:rPr>
          <w:color w:val="auto"/>
          <w:w w:val="100"/>
          <w:sz w:val="24"/>
          <w:szCs w:val="24"/>
        </w:rPr>
        <w:t>; otherwise, capabilities element</w:t>
      </w:r>
      <w:r w:rsidR="00AF64FD">
        <w:rPr>
          <w:color w:val="auto"/>
          <w:w w:val="100"/>
          <w:sz w:val="24"/>
          <w:szCs w:val="24"/>
        </w:rPr>
        <w:t>(</w:t>
      </w:r>
      <w:r w:rsidR="00B04BD1" w:rsidRPr="00515899">
        <w:rPr>
          <w:color w:val="auto"/>
          <w:w w:val="100"/>
          <w:sz w:val="24"/>
          <w:szCs w:val="24"/>
        </w:rPr>
        <w:t>s</w:t>
      </w:r>
      <w:r w:rsidR="00AD5505">
        <w:rPr>
          <w:color w:val="auto"/>
          <w:w w:val="100"/>
          <w:sz w:val="24"/>
          <w:szCs w:val="24"/>
        </w:rPr>
        <w:t xml:space="preserve">) </w:t>
      </w:r>
      <w:r w:rsidR="00B04BD1" w:rsidRPr="00515899">
        <w:rPr>
          <w:color w:val="auto"/>
          <w:w w:val="100"/>
          <w:sz w:val="24"/>
          <w:szCs w:val="24"/>
        </w:rPr>
        <w:t>shall not be included</w:t>
      </w:r>
      <w:r w:rsidR="0085674C" w:rsidRPr="00515899">
        <w:rPr>
          <w:color w:val="auto"/>
          <w:w w:val="100"/>
          <w:sz w:val="24"/>
          <w:szCs w:val="24"/>
        </w:rPr>
        <w:t xml:space="preserve">. </w:t>
      </w:r>
      <w:r w:rsidR="00683502" w:rsidRPr="00515899">
        <w:rPr>
          <w:sz w:val="24"/>
          <w:szCs w:val="24"/>
        </w:rPr>
        <w:t xml:space="preserve">When the Usage Mode field indicates </w:t>
      </w:r>
      <w:r w:rsidR="0057170F" w:rsidRPr="00515899">
        <w:rPr>
          <w:sz w:val="24"/>
          <w:szCs w:val="24"/>
        </w:rPr>
        <w:t>C</w:t>
      </w:r>
      <w:r w:rsidR="00683502" w:rsidRPr="00515899">
        <w:rPr>
          <w:sz w:val="24"/>
          <w:szCs w:val="24"/>
        </w:rPr>
        <w:t xml:space="preserve">apability notification, the Channel Entry field </w:t>
      </w:r>
      <w:r w:rsidR="005836E0" w:rsidRPr="00515899">
        <w:rPr>
          <w:sz w:val="24"/>
          <w:szCs w:val="24"/>
        </w:rPr>
        <w:t xml:space="preserve">shall </w:t>
      </w:r>
      <w:r w:rsidR="00683502" w:rsidRPr="00515899">
        <w:rPr>
          <w:sz w:val="24"/>
          <w:szCs w:val="24"/>
        </w:rPr>
        <w:t xml:space="preserve">include </w:t>
      </w:r>
      <w:r w:rsidR="00B04BD1" w:rsidRPr="00515899">
        <w:rPr>
          <w:sz w:val="24"/>
          <w:szCs w:val="24"/>
        </w:rPr>
        <w:t>an</w:t>
      </w:r>
      <w:r w:rsidR="00683502" w:rsidRPr="00515899">
        <w:rPr>
          <w:sz w:val="24"/>
          <w:szCs w:val="24"/>
        </w:rPr>
        <w:t xml:space="preserve"> </w:t>
      </w:r>
      <w:r w:rsidR="00683502" w:rsidRPr="00515899">
        <w:rPr>
          <w:rFonts w:eastAsia="Arial,Bold"/>
          <w:sz w:val="24"/>
          <w:szCs w:val="24"/>
          <w:lang w:eastAsia="en-GB"/>
        </w:rPr>
        <w:t>Operating Class and Channel field that</w:t>
      </w:r>
      <w:r w:rsidR="00683502" w:rsidRPr="00515899">
        <w:rPr>
          <w:sz w:val="24"/>
          <w:szCs w:val="24"/>
        </w:rPr>
        <w:t xml:space="preserve"> indicates the operating class and channel that the capability notification applies to.</w:t>
      </w:r>
    </w:p>
    <w:p w14:paraId="6BA9EAF7" w14:textId="12B130B9" w:rsidR="00F64524" w:rsidRDefault="00CB52D5" w:rsidP="00782651">
      <w:pPr>
        <w:pStyle w:val="T"/>
        <w:spacing w:beforeLines="60" w:before="144" w:after="120"/>
        <w:rPr>
          <w:sz w:val="24"/>
          <w:szCs w:val="24"/>
        </w:rPr>
      </w:pPr>
      <w:r>
        <w:rPr>
          <w:sz w:val="24"/>
          <w:szCs w:val="24"/>
        </w:rPr>
        <w:t xml:space="preserve">When </w:t>
      </w:r>
      <w:r w:rsidR="002F0108">
        <w:rPr>
          <w:sz w:val="24"/>
          <w:szCs w:val="24"/>
        </w:rPr>
        <w:t>an</w:t>
      </w:r>
      <w:r w:rsidR="00E4108A">
        <w:rPr>
          <w:sz w:val="24"/>
          <w:szCs w:val="24"/>
        </w:rPr>
        <w:t xml:space="preserve"> associated non-AP STA choose</w:t>
      </w:r>
      <w:r w:rsidR="00C33A86">
        <w:rPr>
          <w:sz w:val="24"/>
          <w:szCs w:val="24"/>
        </w:rPr>
        <w:t>s</w:t>
      </w:r>
      <w:r w:rsidR="00E4108A">
        <w:rPr>
          <w:sz w:val="24"/>
          <w:szCs w:val="24"/>
        </w:rPr>
        <w:t xml:space="preserve"> to </w:t>
      </w:r>
      <w:r>
        <w:rPr>
          <w:sz w:val="24"/>
          <w:szCs w:val="24"/>
        </w:rPr>
        <w:t xml:space="preserve">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00BA6538" w:rsidRPr="00BA6538">
        <w:rPr>
          <w:sz w:val="24"/>
          <w:szCs w:val="24"/>
        </w:rPr>
        <w:t>the STA shall wait a random</w:t>
      </w:r>
      <w:r w:rsidR="00D2475D">
        <w:rPr>
          <w:sz w:val="24"/>
          <w:szCs w:val="24"/>
        </w:rPr>
        <w:t xml:space="preserve"> </w:t>
      </w:r>
      <w:r w:rsidR="00BA6538" w:rsidRPr="00BA6538">
        <w:rPr>
          <w:sz w:val="24"/>
          <w:szCs w:val="24"/>
        </w:rPr>
        <w:t>delay uniformly</w:t>
      </w:r>
      <w:r w:rsidR="000B3855">
        <w:rPr>
          <w:sz w:val="24"/>
          <w:szCs w:val="24"/>
        </w:rPr>
        <w:t xml:space="preserve"> d</w:t>
      </w:r>
      <w:r w:rsidR="00BA6538" w:rsidRPr="00BA6538">
        <w:rPr>
          <w:sz w:val="24"/>
          <w:szCs w:val="24"/>
        </w:rPr>
        <w:t xml:space="preserve">istributed in the range between </w:t>
      </w:r>
      <w:r w:rsidR="000B3855">
        <w:rPr>
          <w:sz w:val="24"/>
          <w:szCs w:val="24"/>
        </w:rPr>
        <w:t>0</w:t>
      </w:r>
      <w:r w:rsidR="00BA6538" w:rsidRPr="00BA6538">
        <w:rPr>
          <w:sz w:val="24"/>
          <w:szCs w:val="24"/>
        </w:rPr>
        <w:t xml:space="preserve"> and 5000 µs, and then </w:t>
      </w:r>
      <w:r w:rsidR="001C4483">
        <w:rPr>
          <w:sz w:val="24"/>
          <w:szCs w:val="24"/>
        </w:rPr>
        <w:t>transmit the Channel Usage Request frame</w:t>
      </w:r>
      <w:r w:rsidR="00782651">
        <w:rPr>
          <w:sz w:val="24"/>
          <w:szCs w:val="24"/>
        </w:rPr>
        <w:t xml:space="preserve"> </w:t>
      </w:r>
      <w:r w:rsidR="00BA6538" w:rsidRPr="00BA6538">
        <w:rPr>
          <w:sz w:val="24"/>
          <w:szCs w:val="24"/>
        </w:rPr>
        <w:t>once any applicable conditions for transmitting are met (e.g., channel access procedures,</w:t>
      </w:r>
      <w:r w:rsidR="00D2475D">
        <w:rPr>
          <w:sz w:val="24"/>
          <w:szCs w:val="24"/>
        </w:rPr>
        <w:t xml:space="preserve"> </w:t>
      </w:r>
      <w:r w:rsidR="00BA6538" w:rsidRPr="00BA6538">
        <w:rPr>
          <w:sz w:val="24"/>
          <w:szCs w:val="24"/>
        </w:rPr>
        <w:t xml:space="preserve">DFS or enablement procedures). </w:t>
      </w:r>
    </w:p>
    <w:p w14:paraId="218A94DB" w14:textId="48B47CFE" w:rsidR="000A6CD0" w:rsidRDefault="00E50EE2" w:rsidP="00782651">
      <w:pPr>
        <w:pStyle w:val="T"/>
        <w:spacing w:beforeLines="60" w:before="144" w:after="120"/>
        <w:rPr>
          <w:sz w:val="24"/>
          <w:szCs w:val="24"/>
        </w:rPr>
      </w:pPr>
      <w:r w:rsidRPr="00515899">
        <w:rPr>
          <w:color w:val="auto"/>
          <w:w w:val="100"/>
          <w:sz w:val="24"/>
          <w:szCs w:val="24"/>
        </w:rPr>
        <w:lastRenderedPageBreak/>
        <w:t xml:space="preserve">If an AP </w:t>
      </w:r>
      <w:r w:rsidR="007615E3">
        <w:rPr>
          <w:color w:val="auto"/>
          <w:w w:val="100"/>
          <w:sz w:val="24"/>
          <w:szCs w:val="24"/>
        </w:rPr>
        <w:t xml:space="preserve">doesn’t </w:t>
      </w:r>
      <w:r w:rsidRPr="00515899">
        <w:rPr>
          <w:color w:val="auto"/>
          <w:w w:val="100"/>
          <w:sz w:val="24"/>
          <w:szCs w:val="24"/>
        </w:rPr>
        <w:t>ha</w:t>
      </w:r>
      <w:r w:rsidR="006633CD">
        <w:rPr>
          <w:color w:val="auto"/>
          <w:w w:val="100"/>
          <w:sz w:val="24"/>
          <w:szCs w:val="24"/>
        </w:rPr>
        <w:t>ve</w:t>
      </w:r>
      <w:r w:rsidRPr="00515899">
        <w:rPr>
          <w:color w:val="auto"/>
          <w:w w:val="100"/>
          <w:sz w:val="24"/>
          <w:szCs w:val="24"/>
        </w:rPr>
        <w:t xml:space="preserve"> the Capability Notification Support field set to </w:t>
      </w:r>
      <w:r w:rsidR="006633CD">
        <w:rPr>
          <w:color w:val="auto"/>
          <w:w w:val="100"/>
          <w:sz w:val="24"/>
          <w:szCs w:val="24"/>
        </w:rPr>
        <w:t>1</w:t>
      </w:r>
      <w:r w:rsidRPr="00515899">
        <w:rPr>
          <w:color w:val="auto"/>
          <w:w w:val="100"/>
          <w:sz w:val="24"/>
          <w:szCs w:val="24"/>
        </w:rPr>
        <w:t xml:space="preserve"> in the Extended Capabilities element, an associated non-AP STA </w:t>
      </w:r>
      <w:r>
        <w:rPr>
          <w:color w:val="auto"/>
          <w:w w:val="100"/>
          <w:sz w:val="24"/>
          <w:szCs w:val="24"/>
        </w:rPr>
        <w:t>shall not</w:t>
      </w:r>
      <w:r w:rsidRPr="00515899">
        <w:rPr>
          <w:color w:val="auto"/>
          <w:w w:val="100"/>
          <w:sz w:val="24"/>
          <w:szCs w:val="24"/>
        </w:rPr>
        <w:t xml:space="preserve"> send a Channel Usage Request frame with the Usage Mode field indicating Capability notification in the Channel Usage element to the AP</w:t>
      </w:r>
      <w:r>
        <w:rPr>
          <w:color w:val="auto"/>
          <w:w w:val="100"/>
          <w:sz w:val="24"/>
          <w:szCs w:val="24"/>
        </w:rPr>
        <w:t>.</w:t>
      </w:r>
    </w:p>
    <w:p w14:paraId="0BDE8A2F" w14:textId="428B1916" w:rsidR="00A36ACB" w:rsidRPr="00D2475D" w:rsidRDefault="00C37EB1" w:rsidP="00475761">
      <w:pPr>
        <w:pStyle w:val="T"/>
        <w:spacing w:beforeLines="60" w:before="144" w:after="120"/>
        <w:rPr>
          <w:sz w:val="24"/>
          <w:szCs w:val="24"/>
        </w:rPr>
      </w:pPr>
      <w:r w:rsidRPr="00515899">
        <w:rPr>
          <w:color w:val="auto"/>
          <w:w w:val="100"/>
          <w:sz w:val="24"/>
          <w:szCs w:val="24"/>
        </w:rPr>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  </w:t>
      </w:r>
    </w:p>
    <w:sectPr w:rsidR="00A36ACB" w:rsidRPr="00D2475D"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D5EF" w14:textId="77777777" w:rsidR="00B87612" w:rsidRDefault="00B87612">
      <w:r>
        <w:separator/>
      </w:r>
    </w:p>
  </w:endnote>
  <w:endnote w:type="continuationSeparator" w:id="0">
    <w:p w14:paraId="69F9E9FC" w14:textId="77777777" w:rsidR="00B87612" w:rsidRDefault="00B87612">
      <w:r>
        <w:continuationSeparator/>
      </w:r>
    </w:p>
  </w:endnote>
  <w:endnote w:type="continuationNotice" w:id="1">
    <w:p w14:paraId="0E2ED473" w14:textId="77777777" w:rsidR="00B87612" w:rsidRDefault="00B8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5347" w14:textId="77777777" w:rsidR="00B87612" w:rsidRDefault="00B87612">
      <w:r>
        <w:separator/>
      </w:r>
    </w:p>
  </w:footnote>
  <w:footnote w:type="continuationSeparator" w:id="0">
    <w:p w14:paraId="4E7BF94F" w14:textId="77777777" w:rsidR="00B87612" w:rsidRDefault="00B87612">
      <w:r>
        <w:continuationSeparator/>
      </w:r>
    </w:p>
  </w:footnote>
  <w:footnote w:type="continuationNotice" w:id="1">
    <w:p w14:paraId="0CFA1310" w14:textId="77777777" w:rsidR="00B87612" w:rsidRDefault="00B87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1D0D1CF" w:rsidR="00E12776" w:rsidRDefault="00C73152" w:rsidP="00A525F0">
    <w:pPr>
      <w:pStyle w:val="Header"/>
      <w:tabs>
        <w:tab w:val="clear" w:pos="6480"/>
        <w:tab w:val="center" w:pos="4680"/>
        <w:tab w:val="right" w:pos="9781"/>
      </w:tabs>
    </w:pPr>
    <w:r>
      <w:t>November</w:t>
    </w:r>
    <w:r w:rsidR="00C83F21">
      <w:t xml:space="preserve"> </w:t>
    </w:r>
    <w:r w:rsidR="00F60DD0">
      <w:t>202</w:t>
    </w:r>
    <w:r w:rsidR="000139F2">
      <w:t>3</w:t>
    </w:r>
    <w:r w:rsidR="00E12776">
      <w:tab/>
    </w:r>
    <w:r w:rsidR="00E12776">
      <w:tab/>
      <w:t xml:space="preserve">  </w:t>
    </w:r>
    <w:fldSimple w:instr=" TITLE  \* MERGEFORMAT ">
      <w:r w:rsidR="005C2927">
        <w:t>doc.: IEEE 802.11-2</w:t>
      </w:r>
      <w:r w:rsidR="000139F2">
        <w:t>3</w:t>
      </w:r>
      <w:r w:rsidR="00E12776">
        <w:t>/</w:t>
      </w:r>
      <w:r w:rsidR="00C30304">
        <w:t>2035</w:t>
      </w:r>
      <w:r w:rsidR="005C2927">
        <w:t>r</w:t>
      </w:r>
    </w:fldSimple>
    <w:r w:rsidR="004B164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3"/>
  </w:num>
  <w:num w:numId="8" w16cid:durableId="1470054675">
    <w:abstractNumId w:val="4"/>
  </w:num>
  <w:num w:numId="9" w16cid:durableId="1646155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6"/>
  </w:num>
  <w:num w:numId="14" w16cid:durableId="1019357194">
    <w:abstractNumId w:val="6"/>
  </w:num>
  <w:num w:numId="15" w16cid:durableId="1452474801">
    <w:abstractNumId w:val="2"/>
  </w:num>
  <w:num w:numId="16" w16cid:durableId="12116502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2355"/>
    <w:rsid w:val="0001289D"/>
    <w:rsid w:val="00012F6F"/>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20718"/>
    <w:rsid w:val="00120B43"/>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92A"/>
    <w:rsid w:val="001B710A"/>
    <w:rsid w:val="001B763A"/>
    <w:rsid w:val="001C0054"/>
    <w:rsid w:val="001C107F"/>
    <w:rsid w:val="001C1ADC"/>
    <w:rsid w:val="001C20EB"/>
    <w:rsid w:val="001C4483"/>
    <w:rsid w:val="001C5499"/>
    <w:rsid w:val="001C6899"/>
    <w:rsid w:val="001C6DE9"/>
    <w:rsid w:val="001C7FAD"/>
    <w:rsid w:val="001D0B34"/>
    <w:rsid w:val="001D0D64"/>
    <w:rsid w:val="001D1C6D"/>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5EFE"/>
    <w:rsid w:val="002474BE"/>
    <w:rsid w:val="0024798B"/>
    <w:rsid w:val="00250256"/>
    <w:rsid w:val="00250D60"/>
    <w:rsid w:val="00250DFF"/>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178ED"/>
    <w:rsid w:val="00320207"/>
    <w:rsid w:val="00320571"/>
    <w:rsid w:val="00321C48"/>
    <w:rsid w:val="00322397"/>
    <w:rsid w:val="00322F8B"/>
    <w:rsid w:val="003230F9"/>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4835"/>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F86"/>
    <w:rsid w:val="0041271D"/>
    <w:rsid w:val="0041280E"/>
    <w:rsid w:val="00413284"/>
    <w:rsid w:val="0041357D"/>
    <w:rsid w:val="004137BB"/>
    <w:rsid w:val="004140E6"/>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49ED"/>
    <w:rsid w:val="00464B86"/>
    <w:rsid w:val="00464D10"/>
    <w:rsid w:val="00464F87"/>
    <w:rsid w:val="0046636A"/>
    <w:rsid w:val="00466B97"/>
    <w:rsid w:val="00467620"/>
    <w:rsid w:val="0046774E"/>
    <w:rsid w:val="00470320"/>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DF5"/>
    <w:rsid w:val="0059505C"/>
    <w:rsid w:val="00595A9F"/>
    <w:rsid w:val="005975B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CF3"/>
    <w:rsid w:val="005B332C"/>
    <w:rsid w:val="005B38F2"/>
    <w:rsid w:val="005B47B4"/>
    <w:rsid w:val="005B5762"/>
    <w:rsid w:val="005B6385"/>
    <w:rsid w:val="005B676E"/>
    <w:rsid w:val="005B6BD0"/>
    <w:rsid w:val="005C0160"/>
    <w:rsid w:val="005C127F"/>
    <w:rsid w:val="005C22C2"/>
    <w:rsid w:val="005C2927"/>
    <w:rsid w:val="005C2966"/>
    <w:rsid w:val="005C2DA7"/>
    <w:rsid w:val="005C2FCB"/>
    <w:rsid w:val="005C35B3"/>
    <w:rsid w:val="005C35DD"/>
    <w:rsid w:val="005C43C9"/>
    <w:rsid w:val="005C52F0"/>
    <w:rsid w:val="005C5C3F"/>
    <w:rsid w:val="005C6086"/>
    <w:rsid w:val="005C6B13"/>
    <w:rsid w:val="005C703A"/>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8FA"/>
    <w:rsid w:val="00646D6E"/>
    <w:rsid w:val="00646DDF"/>
    <w:rsid w:val="00647E82"/>
    <w:rsid w:val="00650F1E"/>
    <w:rsid w:val="0065158F"/>
    <w:rsid w:val="00652376"/>
    <w:rsid w:val="006529CA"/>
    <w:rsid w:val="00653B8C"/>
    <w:rsid w:val="00655626"/>
    <w:rsid w:val="00655A22"/>
    <w:rsid w:val="00655D66"/>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78"/>
    <w:rsid w:val="006A1AF9"/>
    <w:rsid w:val="006A32E4"/>
    <w:rsid w:val="006A346B"/>
    <w:rsid w:val="006A3559"/>
    <w:rsid w:val="006A3A06"/>
    <w:rsid w:val="006A57FE"/>
    <w:rsid w:val="006A6373"/>
    <w:rsid w:val="006A682D"/>
    <w:rsid w:val="006A7F4D"/>
    <w:rsid w:val="006B0335"/>
    <w:rsid w:val="006B1AAD"/>
    <w:rsid w:val="006B23A4"/>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F4D"/>
    <w:rsid w:val="0074163F"/>
    <w:rsid w:val="0074164A"/>
    <w:rsid w:val="007416C8"/>
    <w:rsid w:val="00741ABE"/>
    <w:rsid w:val="00741D48"/>
    <w:rsid w:val="007423BE"/>
    <w:rsid w:val="00742732"/>
    <w:rsid w:val="00742C0B"/>
    <w:rsid w:val="00742FD6"/>
    <w:rsid w:val="0074389E"/>
    <w:rsid w:val="0074477A"/>
    <w:rsid w:val="0074528F"/>
    <w:rsid w:val="00745623"/>
    <w:rsid w:val="00745789"/>
    <w:rsid w:val="00745C22"/>
    <w:rsid w:val="007475D6"/>
    <w:rsid w:val="00747CE5"/>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D0F"/>
    <w:rsid w:val="0078610B"/>
    <w:rsid w:val="0078615F"/>
    <w:rsid w:val="00786734"/>
    <w:rsid w:val="007869AF"/>
    <w:rsid w:val="00786B57"/>
    <w:rsid w:val="00786EC3"/>
    <w:rsid w:val="00787F34"/>
    <w:rsid w:val="007918BA"/>
    <w:rsid w:val="00792299"/>
    <w:rsid w:val="00793192"/>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06A"/>
    <w:rsid w:val="007B1880"/>
    <w:rsid w:val="007B1F37"/>
    <w:rsid w:val="007B2579"/>
    <w:rsid w:val="007B26A4"/>
    <w:rsid w:val="007B29A4"/>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CBD"/>
    <w:rsid w:val="007C1EA8"/>
    <w:rsid w:val="007C510F"/>
    <w:rsid w:val="007C5DF7"/>
    <w:rsid w:val="007C61AB"/>
    <w:rsid w:val="007D13D6"/>
    <w:rsid w:val="007D386E"/>
    <w:rsid w:val="007D42AA"/>
    <w:rsid w:val="007D5D9B"/>
    <w:rsid w:val="007D6A6B"/>
    <w:rsid w:val="007D7421"/>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4CE9"/>
    <w:rsid w:val="007F4D8A"/>
    <w:rsid w:val="007F4F83"/>
    <w:rsid w:val="007F5205"/>
    <w:rsid w:val="007F53D4"/>
    <w:rsid w:val="007F5B5C"/>
    <w:rsid w:val="007F6921"/>
    <w:rsid w:val="007F7B8E"/>
    <w:rsid w:val="00802B00"/>
    <w:rsid w:val="008036FF"/>
    <w:rsid w:val="008041AC"/>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BF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B78"/>
    <w:rsid w:val="008E4C3E"/>
    <w:rsid w:val="008E4F07"/>
    <w:rsid w:val="008E50F4"/>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60E7"/>
    <w:rsid w:val="0093629C"/>
    <w:rsid w:val="00937B28"/>
    <w:rsid w:val="00937EFD"/>
    <w:rsid w:val="00940BC6"/>
    <w:rsid w:val="0094269E"/>
    <w:rsid w:val="00942F15"/>
    <w:rsid w:val="00943097"/>
    <w:rsid w:val="0094472E"/>
    <w:rsid w:val="00944BBF"/>
    <w:rsid w:val="009455D2"/>
    <w:rsid w:val="00945711"/>
    <w:rsid w:val="00945951"/>
    <w:rsid w:val="00946D14"/>
    <w:rsid w:val="00946FD6"/>
    <w:rsid w:val="00947C03"/>
    <w:rsid w:val="00950508"/>
    <w:rsid w:val="00950843"/>
    <w:rsid w:val="0095092C"/>
    <w:rsid w:val="009517DD"/>
    <w:rsid w:val="0095190C"/>
    <w:rsid w:val="009536A5"/>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65F"/>
    <w:rsid w:val="009929C0"/>
    <w:rsid w:val="00992EAE"/>
    <w:rsid w:val="009931D0"/>
    <w:rsid w:val="00993496"/>
    <w:rsid w:val="00993550"/>
    <w:rsid w:val="009936B6"/>
    <w:rsid w:val="00993C91"/>
    <w:rsid w:val="00994A45"/>
    <w:rsid w:val="00994B9F"/>
    <w:rsid w:val="00994CC1"/>
    <w:rsid w:val="009950E3"/>
    <w:rsid w:val="009959EB"/>
    <w:rsid w:val="00995BEE"/>
    <w:rsid w:val="00995FBB"/>
    <w:rsid w:val="00996FA9"/>
    <w:rsid w:val="009976A7"/>
    <w:rsid w:val="009A018E"/>
    <w:rsid w:val="009A1025"/>
    <w:rsid w:val="009A21F0"/>
    <w:rsid w:val="009A2A62"/>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FC8"/>
    <w:rsid w:val="00A82FF2"/>
    <w:rsid w:val="00A83C08"/>
    <w:rsid w:val="00A842EB"/>
    <w:rsid w:val="00A853FC"/>
    <w:rsid w:val="00A85F61"/>
    <w:rsid w:val="00A86404"/>
    <w:rsid w:val="00A87C2E"/>
    <w:rsid w:val="00A901F1"/>
    <w:rsid w:val="00A90353"/>
    <w:rsid w:val="00A92584"/>
    <w:rsid w:val="00A92597"/>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6FF9"/>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3080"/>
    <w:rsid w:val="00BB3A7E"/>
    <w:rsid w:val="00BB3F03"/>
    <w:rsid w:val="00BB4113"/>
    <w:rsid w:val="00BB5C2D"/>
    <w:rsid w:val="00BB6279"/>
    <w:rsid w:val="00BB62F3"/>
    <w:rsid w:val="00BB643A"/>
    <w:rsid w:val="00BB74C4"/>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567"/>
    <w:rsid w:val="00BF12DC"/>
    <w:rsid w:val="00BF1E2A"/>
    <w:rsid w:val="00BF3C30"/>
    <w:rsid w:val="00BF435C"/>
    <w:rsid w:val="00BF441F"/>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2003"/>
    <w:rsid w:val="00C92073"/>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4DD7"/>
    <w:rsid w:val="00D350BF"/>
    <w:rsid w:val="00D355F2"/>
    <w:rsid w:val="00D369E1"/>
    <w:rsid w:val="00D379AE"/>
    <w:rsid w:val="00D403B8"/>
    <w:rsid w:val="00D40582"/>
    <w:rsid w:val="00D413D3"/>
    <w:rsid w:val="00D41442"/>
    <w:rsid w:val="00D415D4"/>
    <w:rsid w:val="00D42D69"/>
    <w:rsid w:val="00D436AC"/>
    <w:rsid w:val="00D43DDA"/>
    <w:rsid w:val="00D44F30"/>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2326"/>
    <w:rsid w:val="00DC27D2"/>
    <w:rsid w:val="00DC3B85"/>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700E"/>
    <w:rsid w:val="00E072DB"/>
    <w:rsid w:val="00E100D5"/>
    <w:rsid w:val="00E10156"/>
    <w:rsid w:val="00E1022F"/>
    <w:rsid w:val="00E12776"/>
    <w:rsid w:val="00E13C43"/>
    <w:rsid w:val="00E142E9"/>
    <w:rsid w:val="00E143CA"/>
    <w:rsid w:val="00E1501F"/>
    <w:rsid w:val="00E16517"/>
    <w:rsid w:val="00E1664D"/>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2CD"/>
    <w:rsid w:val="00EF5446"/>
    <w:rsid w:val="00EF5760"/>
    <w:rsid w:val="00EF72B4"/>
    <w:rsid w:val="00EF77A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C06"/>
    <w:rsid w:val="00F10747"/>
    <w:rsid w:val="00F110BC"/>
    <w:rsid w:val="00F112E7"/>
    <w:rsid w:val="00F118FC"/>
    <w:rsid w:val="00F12045"/>
    <w:rsid w:val="00F14A83"/>
    <w:rsid w:val="00F15223"/>
    <w:rsid w:val="00F158D4"/>
    <w:rsid w:val="00F17C3A"/>
    <w:rsid w:val="00F17FE5"/>
    <w:rsid w:val="00F20280"/>
    <w:rsid w:val="00F20A3C"/>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1A72"/>
    <w:rsid w:val="00F5249D"/>
    <w:rsid w:val="00F524D0"/>
    <w:rsid w:val="00F52C23"/>
    <w:rsid w:val="00F52F8E"/>
    <w:rsid w:val="00F53A37"/>
    <w:rsid w:val="00F541AB"/>
    <w:rsid w:val="00F5482B"/>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12855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cp:revision>
  <cp:lastPrinted>2011-03-31T15:31:00Z</cp:lastPrinted>
  <dcterms:created xsi:type="dcterms:W3CDTF">2023-11-17T00:35:00Z</dcterms:created>
  <dcterms:modified xsi:type="dcterms:W3CDTF">2023-11-17T00:38:00Z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