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483E666"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w:t>
            </w:r>
            <w:r w:rsidR="00C67AFC">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34F8D"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 xml:space="preserve">Rev </w:t>
                            </w:r>
                            <w:r>
                              <w:rPr>
                                <w:sz w:val="22"/>
                                <w:szCs w:val="22"/>
                              </w:rPr>
                              <w:t>7</w:t>
                            </w:r>
                            <w:r>
                              <w:rPr>
                                <w:sz w:val="22"/>
                                <w:szCs w:val="22"/>
                              </w:rPr>
                              <w:t xml:space="preserve">: </w:t>
                            </w:r>
                            <w:r>
                              <w:rPr>
                                <w:sz w:val="22"/>
                                <w:szCs w:val="22"/>
                              </w:rPr>
                              <w:t>List</w:t>
                            </w:r>
                            <w:r w:rsidR="002938D0">
                              <w:rPr>
                                <w:sz w:val="22"/>
                                <w:szCs w:val="22"/>
                              </w:rPr>
                              <w:t>s</w:t>
                            </w:r>
                            <w:r>
                              <w:rPr>
                                <w:sz w:val="22"/>
                                <w:szCs w:val="22"/>
                              </w:rPr>
                              <w:t xml:space="preserve"> of attendees for </w:t>
                            </w:r>
                            <w:r w:rsidR="002938D0">
                              <w:rPr>
                                <w:sz w:val="22"/>
                                <w:szCs w:val="22"/>
                              </w:rPr>
                              <w:t>the six teleconference calls are added.</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 xml:space="preserve">Rev </w:t>
                      </w:r>
                      <w:r>
                        <w:rPr>
                          <w:sz w:val="22"/>
                          <w:szCs w:val="22"/>
                        </w:rPr>
                        <w:t>7</w:t>
                      </w:r>
                      <w:r>
                        <w:rPr>
                          <w:sz w:val="22"/>
                          <w:szCs w:val="22"/>
                        </w:rPr>
                        <w:t xml:space="preserve">: </w:t>
                      </w:r>
                      <w:r>
                        <w:rPr>
                          <w:sz w:val="22"/>
                          <w:szCs w:val="22"/>
                        </w:rPr>
                        <w:t>List</w:t>
                      </w:r>
                      <w:r w:rsidR="002938D0">
                        <w:rPr>
                          <w:sz w:val="22"/>
                          <w:szCs w:val="22"/>
                        </w:rPr>
                        <w:t>s</w:t>
                      </w:r>
                      <w:r>
                        <w:rPr>
                          <w:sz w:val="22"/>
                          <w:szCs w:val="22"/>
                        </w:rPr>
                        <w:t xml:space="preserve"> of attendees for </w:t>
                      </w:r>
                      <w:r w:rsidR="002938D0">
                        <w:rPr>
                          <w:sz w:val="22"/>
                          <w:szCs w:val="22"/>
                        </w:rPr>
                        <w:t>the six teleconference calls are added.</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834F8D"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1137C6" w14:paraId="5FB0D593" w14:textId="77777777" w:rsidTr="001137C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Alayedi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Mohanad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1137C6" w14:paraId="2C3343A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Aygul</w:t>
            </w:r>
            <w:proofErr w:type="spellEnd"/>
            <w:r>
              <w:rPr>
                <w:rFonts w:ascii="Calibri" w:hAnsi="Calibri" w:cs="Calibri"/>
                <w:color w:val="000000"/>
                <w:sz w:val="22"/>
                <w:szCs w:val="22"/>
              </w:rPr>
              <w:t>,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Bredewoud</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CHENG, </w:t>
            </w:r>
            <w:proofErr w:type="spellStart"/>
            <w:r>
              <w:rPr>
                <w:rFonts w:ascii="Calibri" w:hAnsi="Calibri" w:cs="Calibri"/>
                <w:color w:val="000000"/>
                <w:sz w:val="22"/>
                <w:szCs w:val="22"/>
              </w:rPr>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1137C6" w14:paraId="1B15643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narengerile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narengerile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Raissinia</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 xml:space="preserve">Schweizer, </w:t>
            </w:r>
            <w:proofErr w:type="spellStart"/>
            <w:r>
              <w:rPr>
                <w:rFonts w:ascii="Calibri" w:hAnsi="Calibri" w:cs="Calibri"/>
                <w:color w:val="000000"/>
                <w:sz w:val="22"/>
                <w:szCs w:val="22"/>
              </w:rPr>
              <w:t>Benedikt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proofErr w:type="spellStart"/>
            <w:r>
              <w:rPr>
                <w:rFonts w:ascii="Calibri" w:hAnsi="Calibri" w:cs="Calibri"/>
                <w:color w:val="000000"/>
                <w:sz w:val="22"/>
                <w:szCs w:val="22"/>
              </w:rPr>
              <w:t>Sosack</w:t>
            </w:r>
            <w:proofErr w:type="spellEnd"/>
            <w:r>
              <w:rPr>
                <w:rFonts w:ascii="Calibri" w:hAnsi="Calibri" w:cs="Calibri"/>
                <w:color w:val="000000"/>
                <w:sz w:val="22"/>
                <w:szCs w:val="22"/>
              </w:rPr>
              <w:t>,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834F8D"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382509" w14:paraId="50B39A20" w14:textId="77777777" w:rsidTr="00382509">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834F8D"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 xml:space="preserve">Call the meeting to </w:t>
      </w:r>
      <w:proofErr w:type="gramStart"/>
      <w:r w:rsidRPr="000563E7">
        <w:rPr>
          <w:bCs/>
        </w:rPr>
        <w:t>order</w:t>
      </w:r>
      <w:proofErr w:type="gramEnd"/>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proofErr w:type="spellStart"/>
      <w:r w:rsidRPr="000563E7">
        <w:rPr>
          <w:bCs/>
        </w:rPr>
        <w:t>TGbf</w:t>
      </w:r>
      <w:proofErr w:type="spellEnd"/>
      <w:r w:rsidRPr="000563E7">
        <w:rPr>
          <w:bCs/>
        </w:rPr>
        <w:t xml:space="preserve">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 xml:space="preserve">and announces the </w:t>
      </w:r>
      <w:proofErr w:type="spellStart"/>
      <w:r w:rsidR="008058A4">
        <w:rPr>
          <w:bCs/>
        </w:rPr>
        <w:t>the</w:t>
      </w:r>
      <w:proofErr w:type="spellEnd"/>
      <w:r w:rsidR="008058A4">
        <w:rPr>
          <w:bCs/>
        </w:rPr>
        <w:t xml:space="preserv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 xml:space="preserve">Some clarifying discussion related to </w:t>
      </w:r>
      <w:proofErr w:type="gramStart"/>
      <w:r w:rsidR="00EF6474">
        <w:rPr>
          <w:lang w:eastAsia="zh-CN"/>
        </w:rPr>
        <w:t>306</w:t>
      </w:r>
      <w:r w:rsidR="008E125D">
        <w:rPr>
          <w:lang w:eastAsia="zh-CN"/>
        </w:rPr>
        <w:t>1</w:t>
      </w:r>
      <w:proofErr w:type="gramEnd"/>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proofErr w:type="spellStart"/>
      <w:r w:rsidR="000A5E01">
        <w:rPr>
          <w:b/>
        </w:rPr>
        <w:t>InterDigital</w:t>
      </w:r>
      <w:proofErr w:type="spellEnd"/>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w:t>
      </w:r>
      <w:proofErr w:type="gramStart"/>
      <w:r w:rsidR="00C34161">
        <w:t>result</w:t>
      </w:r>
      <w:proofErr w:type="gramEnd"/>
      <w:r w:rsidR="00C34161">
        <w:t xml:space="preserve">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834F8D"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 xml:space="preserve">Call the meeting to </w:t>
      </w:r>
      <w:proofErr w:type="gramStart"/>
      <w:r w:rsidRPr="000563E7">
        <w:rPr>
          <w:bCs/>
        </w:rPr>
        <w:t>order</w:t>
      </w:r>
      <w:proofErr w:type="gramEnd"/>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proofErr w:type="spellStart"/>
      <w:r w:rsidRPr="000563E7">
        <w:rPr>
          <w:bCs/>
        </w:rPr>
        <w:t>TGbf</w:t>
      </w:r>
      <w:proofErr w:type="spellEnd"/>
      <w:r w:rsidRPr="000563E7">
        <w:rPr>
          <w:bCs/>
        </w:rPr>
        <w:t xml:space="preserve"> Timeline</w:t>
      </w:r>
    </w:p>
    <w:p w14:paraId="5852FE43" w14:textId="77777777" w:rsidR="00D13E59" w:rsidRPr="000563E7" w:rsidRDefault="00D13E59" w:rsidP="008A6B2B">
      <w:pPr>
        <w:numPr>
          <w:ilvl w:val="0"/>
          <w:numId w:val="7"/>
        </w:numPr>
        <w:rPr>
          <w:bCs/>
        </w:rPr>
      </w:pPr>
      <w:r w:rsidRPr="000563E7">
        <w:rPr>
          <w:bCs/>
        </w:rPr>
        <w:t xml:space="preserve">Call for </w:t>
      </w:r>
      <w:proofErr w:type="gramStart"/>
      <w:r w:rsidRPr="000563E7">
        <w:rPr>
          <w:bCs/>
        </w:rPr>
        <w:t>contribution</w:t>
      </w:r>
      <w:proofErr w:type="gramEnd"/>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 xml:space="preserve">and announces the </w:t>
      </w:r>
      <w:proofErr w:type="spellStart"/>
      <w:r>
        <w:rPr>
          <w:bCs/>
        </w:rPr>
        <w:t>the</w:t>
      </w:r>
      <w:proofErr w:type="spellEnd"/>
      <w:r>
        <w:rPr>
          <w:bCs/>
        </w:rPr>
        <w:t xml:space="preserv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 xml:space="preserve">Move to approve resolutions to the following CIDs listed in the following document and incorporate the text changes into the latest </w:t>
      </w:r>
      <w:proofErr w:type="spellStart"/>
      <w:r w:rsidR="00A712BE" w:rsidRPr="00A712BE">
        <w:rPr>
          <w:b/>
          <w:bCs/>
        </w:rPr>
        <w:t>TGbf</w:t>
      </w:r>
      <w:proofErr w:type="spellEnd"/>
      <w:r w:rsidR="00A712BE" w:rsidRPr="00A712BE">
        <w:rPr>
          <w:b/>
          <w:bCs/>
        </w:rPr>
        <w:t xml:space="preserve">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 xml:space="preserve">Ali </w:t>
      </w:r>
      <w:proofErr w:type="spellStart"/>
      <w:r w:rsidR="00091F6A" w:rsidRPr="00091F6A">
        <w:t>Raissinia</w:t>
      </w:r>
      <w:proofErr w:type="spellEnd"/>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 xml:space="preserve">Move to approve resolutions to the following CIDs listed in the following document and incorporate the text changes into the latest </w:t>
      </w:r>
      <w:proofErr w:type="spellStart"/>
      <w:r w:rsidR="00923C00" w:rsidRPr="00923C00">
        <w:t>TGbf</w:t>
      </w:r>
      <w:proofErr w:type="spellEnd"/>
      <w:r w:rsidR="00923C00" w:rsidRPr="00923C00">
        <w:t xml:space="preserve">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 xml:space="preserve">Ali </w:t>
      </w:r>
      <w:proofErr w:type="spellStart"/>
      <w:r w:rsidR="001732A9" w:rsidRPr="001732A9">
        <w:t>Raissinia</w:t>
      </w:r>
      <w:proofErr w:type="spellEnd"/>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 xml:space="preserve">Move to approve resolutions to the following CIDs listed in the following document and incorporate the text changes into the latest </w:t>
      </w:r>
      <w:proofErr w:type="spellStart"/>
      <w:r w:rsidR="006F3233" w:rsidRPr="006F3233">
        <w:t>TGbf</w:t>
      </w:r>
      <w:proofErr w:type="spellEnd"/>
      <w:r w:rsidR="006F3233" w:rsidRPr="006F3233">
        <w:t xml:space="preserve">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 xml:space="preserve">Ali </w:t>
      </w:r>
      <w:proofErr w:type="spellStart"/>
      <w:r w:rsidR="00811E81">
        <w:t>Raissinia</w:t>
      </w:r>
      <w:proofErr w:type="spellEnd"/>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 xml:space="preserve">Move to approve resolutions to the following CIDs listed in the following document and incorporate the text changes into the latest </w:t>
      </w:r>
      <w:proofErr w:type="spellStart"/>
      <w:r w:rsidR="00F7497F" w:rsidRPr="00F7497F">
        <w:t>TGbf</w:t>
      </w:r>
      <w:proofErr w:type="spellEnd"/>
      <w:r w:rsidR="00F7497F" w:rsidRPr="00F7497F">
        <w:t xml:space="preserve">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 xml:space="preserve">Move to approve resolutions to the following CIDs listed in the following document and incorporate the text changes into the latest </w:t>
      </w:r>
      <w:proofErr w:type="spellStart"/>
      <w:r w:rsidR="005656FA" w:rsidRPr="005656FA">
        <w:t>TGbf</w:t>
      </w:r>
      <w:proofErr w:type="spellEnd"/>
      <w:r w:rsidR="005656FA" w:rsidRPr="005656FA">
        <w:t xml:space="preserve">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 xml:space="preserve">Move to approve resolutions to the following CIDs listed in the following document and incorporate the text changes into the latest </w:t>
      </w:r>
      <w:proofErr w:type="spellStart"/>
      <w:r w:rsidR="003E1A13" w:rsidRPr="003E1A13">
        <w:t>TGbf</w:t>
      </w:r>
      <w:proofErr w:type="spellEnd"/>
      <w:r w:rsidR="003E1A13" w:rsidRPr="003E1A13">
        <w:t xml:space="preserve">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proofErr w:type="spellStart"/>
      <w:r w:rsidR="007B2A3D">
        <w:t>Naren</w:t>
      </w:r>
      <w:proofErr w:type="spellEnd"/>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proofErr w:type="spellStart"/>
      <w:r w:rsidR="00351003" w:rsidRPr="00351003">
        <w:t>Zhuq</w:t>
      </w:r>
      <w:r w:rsidR="00351003">
        <w:t>in</w:t>
      </w:r>
      <w:r w:rsidR="00351003" w:rsidRPr="00351003">
        <w:t>g</w:t>
      </w:r>
      <w:proofErr w:type="spellEnd"/>
      <w:r w:rsidR="00351003" w:rsidRPr="00351003">
        <w:t xml:space="preserve">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 xml:space="preserve">Move to approve resolutions to the following CIDs listed in the following document and incorporate the text changes into the latest </w:t>
      </w:r>
      <w:proofErr w:type="spellStart"/>
      <w:r w:rsidR="00112ED0" w:rsidRPr="00112ED0">
        <w:t>TGbf</w:t>
      </w:r>
      <w:proofErr w:type="spellEnd"/>
      <w:r w:rsidR="00112ED0" w:rsidRPr="00112ED0">
        <w:t xml:space="preserve">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proofErr w:type="spellStart"/>
      <w:r w:rsidR="002B3702">
        <w:t>Zhuqing</w:t>
      </w:r>
      <w:proofErr w:type="spellEnd"/>
      <w:r w:rsidR="002B3702">
        <w:t xml:space="preserve">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 xml:space="preserve">Move to approve resolutions to the following CIDs listed in the following document and incorporate the text changes into the latest </w:t>
      </w:r>
      <w:proofErr w:type="spellStart"/>
      <w:r w:rsidR="000712AE" w:rsidRPr="000712AE">
        <w:t>TGbf</w:t>
      </w:r>
      <w:proofErr w:type="spellEnd"/>
      <w:r w:rsidR="000712AE" w:rsidRPr="000712AE">
        <w:t xml:space="preserve">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 xml:space="preserve">Move to approve resolutions to the following CIDs listed in the following document and incorporate the text changes into the latest </w:t>
      </w:r>
      <w:proofErr w:type="spellStart"/>
      <w:r w:rsidR="0054001D" w:rsidRPr="0054001D">
        <w:t>TGbf</w:t>
      </w:r>
      <w:proofErr w:type="spellEnd"/>
      <w:r w:rsidR="0054001D" w:rsidRPr="0054001D">
        <w:t xml:space="preserve">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 xml:space="preserve">Ali </w:t>
      </w:r>
      <w:proofErr w:type="spellStart"/>
      <w:r w:rsidR="00A97FAF" w:rsidRPr="00A97FAF">
        <w:t>Raissinia</w:t>
      </w:r>
      <w:proofErr w:type="spellEnd"/>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 xml:space="preserve">Do you support the proposed resolutions to the CIDs and incorporate the text changes into the latest </w:t>
      </w:r>
      <w:proofErr w:type="spellStart"/>
      <w:r>
        <w:t>TGbf</w:t>
      </w:r>
      <w:proofErr w:type="spellEnd"/>
      <w:r>
        <w:t xml:space="preserve">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74079C" w14:paraId="23A916DF" w14:textId="77777777" w:rsidTr="0074079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834F8D"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 xml:space="preserve">Call the meeting to </w:t>
      </w:r>
      <w:proofErr w:type="gramStart"/>
      <w:r w:rsidRPr="000563E7">
        <w:rPr>
          <w:bCs/>
        </w:rPr>
        <w:t>order</w:t>
      </w:r>
      <w:proofErr w:type="gramEnd"/>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proofErr w:type="spellStart"/>
      <w:r w:rsidRPr="000563E7">
        <w:rPr>
          <w:bCs/>
        </w:rPr>
        <w:t>TGbf</w:t>
      </w:r>
      <w:proofErr w:type="spellEnd"/>
      <w:r w:rsidRPr="000563E7">
        <w:rPr>
          <w:bCs/>
        </w:rPr>
        <w:t xml:space="preserve"> Timeline</w:t>
      </w:r>
    </w:p>
    <w:p w14:paraId="15335DE1" w14:textId="77777777" w:rsidR="000F1E9F" w:rsidRPr="000563E7" w:rsidRDefault="000F1E9F" w:rsidP="008A6B2B">
      <w:pPr>
        <w:numPr>
          <w:ilvl w:val="0"/>
          <w:numId w:val="24"/>
        </w:numPr>
        <w:rPr>
          <w:bCs/>
        </w:rPr>
      </w:pPr>
      <w:r w:rsidRPr="000563E7">
        <w:rPr>
          <w:bCs/>
        </w:rPr>
        <w:t xml:space="preserve">Call for </w:t>
      </w:r>
      <w:proofErr w:type="gramStart"/>
      <w:r w:rsidRPr="000563E7">
        <w:rPr>
          <w:bCs/>
        </w:rPr>
        <w:t>contribution</w:t>
      </w:r>
      <w:proofErr w:type="gramEnd"/>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w:t>
      </w:r>
      <w:proofErr w:type="spellStart"/>
      <w:r w:rsidR="0080680B" w:rsidRPr="00A946A3">
        <w:t>TGb</w:t>
      </w:r>
      <w:r w:rsidR="0080680B">
        <w:t>f</w:t>
      </w:r>
      <w:proofErr w:type="spellEnd"/>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w:t>
      </w:r>
      <w:proofErr w:type="spellStart"/>
      <w:r w:rsidR="00C37692">
        <w:t>TGbf</w:t>
      </w:r>
      <w:proofErr w:type="spellEnd"/>
      <w:r w:rsidR="00C37692">
        <w:t xml:space="preserve">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 xml:space="preserve">Do you support resolutions to the following CIDs and incorporate the text changes into the latest </w:t>
      </w:r>
      <w:proofErr w:type="spellStart"/>
      <w:r>
        <w:t>TGbf</w:t>
      </w:r>
      <w:proofErr w:type="spellEnd"/>
      <w:r>
        <w:t xml:space="preserve">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w:t>
      </w:r>
      <w:proofErr w:type="gramStart"/>
      <w:r w:rsidR="00614238">
        <w:rPr>
          <w:bCs/>
        </w:rPr>
        <w:t>has to</w:t>
      </w:r>
      <w:proofErr w:type="gramEnd"/>
      <w:r w:rsidR="00614238">
        <w:rPr>
          <w:bCs/>
        </w:rPr>
        <w:t xml:space="preserve"> be made. </w:t>
      </w:r>
      <w:proofErr w:type="gramStart"/>
      <w:r w:rsidR="00614238">
        <w:rPr>
          <w:bCs/>
        </w:rPr>
        <w:t xml:space="preserve">As a </w:t>
      </w:r>
      <w:r w:rsidR="00D1680B">
        <w:rPr>
          <w:bCs/>
        </w:rPr>
        <w:t>consequence</w:t>
      </w:r>
      <w:proofErr w:type="gramEnd"/>
      <w:r w:rsidR="00D1680B">
        <w:rPr>
          <w:bCs/>
        </w:rPr>
        <w:t>,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 xml:space="preserve">received for </w:t>
      </w:r>
      <w:proofErr w:type="spellStart"/>
      <w:r w:rsidRPr="00A946A3">
        <w:t>TGb</w:t>
      </w:r>
      <w:r>
        <w:t>f</w:t>
      </w:r>
      <w:proofErr w:type="spellEnd"/>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834F8D"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 xml:space="preserve">Call the meeting to </w:t>
      </w:r>
      <w:proofErr w:type="gramStart"/>
      <w:r w:rsidRPr="000563E7">
        <w:rPr>
          <w:bCs/>
        </w:rPr>
        <w:t>order</w:t>
      </w:r>
      <w:proofErr w:type="gramEnd"/>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proofErr w:type="spellStart"/>
      <w:r w:rsidRPr="000563E7">
        <w:rPr>
          <w:bCs/>
        </w:rPr>
        <w:t>TGbf</w:t>
      </w:r>
      <w:proofErr w:type="spellEnd"/>
      <w:r w:rsidRPr="000563E7">
        <w:rPr>
          <w:bCs/>
        </w:rPr>
        <w:t xml:space="preserve"> Timeline</w:t>
      </w:r>
    </w:p>
    <w:p w14:paraId="46F93D10" w14:textId="77777777" w:rsidR="00136CE5" w:rsidRPr="000563E7" w:rsidRDefault="00136CE5" w:rsidP="00136CE5">
      <w:pPr>
        <w:numPr>
          <w:ilvl w:val="0"/>
          <w:numId w:val="26"/>
        </w:numPr>
        <w:rPr>
          <w:bCs/>
        </w:rPr>
      </w:pPr>
      <w:r w:rsidRPr="000563E7">
        <w:rPr>
          <w:bCs/>
        </w:rPr>
        <w:t xml:space="preserve">Call for </w:t>
      </w:r>
      <w:proofErr w:type="gramStart"/>
      <w:r w:rsidRPr="000563E7">
        <w:rPr>
          <w:bCs/>
        </w:rPr>
        <w:t>contribution</w:t>
      </w:r>
      <w:proofErr w:type="gramEnd"/>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 xml:space="preserve">Revision 2 of this document was presented in the previous teleconference and </w:t>
      </w:r>
      <w:proofErr w:type="spellStart"/>
      <w:r>
        <w:rPr>
          <w:sz w:val="22"/>
        </w:rPr>
        <w:t>Naren</w:t>
      </w:r>
      <w:proofErr w:type="spellEnd"/>
      <w:r>
        <w:rPr>
          <w:sz w:val="22"/>
        </w:rPr>
        <w:t xml:space="preserve">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 xml:space="preserve">received for </w:t>
      </w:r>
      <w:proofErr w:type="spellStart"/>
      <w:r w:rsidRPr="00A946A3">
        <w:t>TGb</w:t>
      </w:r>
      <w:r>
        <w:t>f</w:t>
      </w:r>
      <w:proofErr w:type="spellEnd"/>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57F679FD" w:rsidR="00E050C8" w:rsidRPr="00E050C8" w:rsidRDefault="00E050C8" w:rsidP="00E050C8">
      <w:pPr>
        <w:rPr>
          <w:rFonts w:eastAsiaTheme="minorEastAsia"/>
          <w:b/>
          <w:szCs w:val="20"/>
          <w:lang w:val="en-GB" w:eastAsia="ko-KR"/>
        </w:rPr>
      </w:pPr>
    </w:p>
    <w:sectPr w:rsidR="00E050C8" w:rsidRPr="00E050C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A993" w14:textId="77777777" w:rsidR="00F45767" w:rsidRDefault="00F45767">
      <w:r>
        <w:separator/>
      </w:r>
    </w:p>
  </w:endnote>
  <w:endnote w:type="continuationSeparator" w:id="0">
    <w:p w14:paraId="06325A9B" w14:textId="77777777" w:rsidR="00F45767" w:rsidRDefault="00F45767">
      <w:r>
        <w:continuationSeparator/>
      </w:r>
    </w:p>
  </w:endnote>
  <w:endnote w:type="continuationNotice" w:id="1">
    <w:p w14:paraId="7F01556D" w14:textId="77777777" w:rsidR="00F45767" w:rsidRDefault="00F4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A23212">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EF2C" w14:textId="77777777" w:rsidR="00F45767" w:rsidRDefault="00F45767">
      <w:r>
        <w:separator/>
      </w:r>
    </w:p>
  </w:footnote>
  <w:footnote w:type="continuationSeparator" w:id="0">
    <w:p w14:paraId="696D5A11" w14:textId="77777777" w:rsidR="00F45767" w:rsidRDefault="00F45767">
      <w:r>
        <w:continuationSeparator/>
      </w:r>
    </w:p>
  </w:footnote>
  <w:footnote w:type="continuationNotice" w:id="1">
    <w:p w14:paraId="624D9528" w14:textId="77777777" w:rsidR="00F45767" w:rsidRDefault="00F4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97921D4" w:rsidR="0085353F" w:rsidRDefault="0085353F">
    <w:pPr>
      <w:pStyle w:val="Header"/>
      <w:tabs>
        <w:tab w:val="clear" w:pos="6480"/>
        <w:tab w:val="center" w:pos="4680"/>
        <w:tab w:val="right" w:pos="9360"/>
      </w:tabs>
    </w:pPr>
    <w:r>
      <w:t>September 2023</w:t>
    </w:r>
    <w:r>
      <w:tab/>
    </w:r>
    <w:r>
      <w:tab/>
    </w:r>
    <w:fldSimple w:instr=" TITLE  \* MERGEFORMAT ">
      <w:r>
        <w:t>doc.: IEEE 802.11-23/1</w:t>
      </w:r>
      <w:r w:rsidR="00BA7D0D">
        <w:t>663</w:t>
      </w:r>
      <w:r>
        <w:t>r</w:t>
      </w:r>
    </w:fldSimple>
    <w:r w:rsidR="00C67AF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7"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81E3013"/>
    <w:multiLevelType w:val="hybridMultilevel"/>
    <w:tmpl w:val="D806E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13"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15"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5A46767"/>
    <w:multiLevelType w:val="hybridMultilevel"/>
    <w:tmpl w:val="3ACAB27A"/>
    <w:lvl w:ilvl="0" w:tplc="62888EEE">
      <w:start w:val="1"/>
      <w:numFmt w:val="bullet"/>
      <w:lvlText w:val="•"/>
      <w:lvlJc w:val="left"/>
      <w:pPr>
        <w:tabs>
          <w:tab w:val="num" w:pos="720"/>
        </w:tabs>
        <w:ind w:left="720" w:hanging="360"/>
      </w:pPr>
      <w:rPr>
        <w:rFonts w:ascii="Times New Roman" w:hAnsi="Times New Roman" w:hint="default"/>
      </w:rPr>
    </w:lvl>
    <w:lvl w:ilvl="1" w:tplc="AAF633FC" w:tentative="1">
      <w:start w:val="1"/>
      <w:numFmt w:val="bullet"/>
      <w:lvlText w:val="•"/>
      <w:lvlJc w:val="left"/>
      <w:pPr>
        <w:tabs>
          <w:tab w:val="num" w:pos="1440"/>
        </w:tabs>
        <w:ind w:left="1440" w:hanging="360"/>
      </w:pPr>
      <w:rPr>
        <w:rFonts w:ascii="Times New Roman" w:hAnsi="Times New Roman" w:hint="default"/>
      </w:rPr>
    </w:lvl>
    <w:lvl w:ilvl="2" w:tplc="D5E0A38A" w:tentative="1">
      <w:start w:val="1"/>
      <w:numFmt w:val="bullet"/>
      <w:lvlText w:val="•"/>
      <w:lvlJc w:val="left"/>
      <w:pPr>
        <w:tabs>
          <w:tab w:val="num" w:pos="2160"/>
        </w:tabs>
        <w:ind w:left="2160" w:hanging="360"/>
      </w:pPr>
      <w:rPr>
        <w:rFonts w:ascii="Times New Roman" w:hAnsi="Times New Roman" w:hint="default"/>
      </w:rPr>
    </w:lvl>
    <w:lvl w:ilvl="3" w:tplc="94F27750" w:tentative="1">
      <w:start w:val="1"/>
      <w:numFmt w:val="bullet"/>
      <w:lvlText w:val="•"/>
      <w:lvlJc w:val="left"/>
      <w:pPr>
        <w:tabs>
          <w:tab w:val="num" w:pos="2880"/>
        </w:tabs>
        <w:ind w:left="2880" w:hanging="360"/>
      </w:pPr>
      <w:rPr>
        <w:rFonts w:ascii="Times New Roman" w:hAnsi="Times New Roman" w:hint="default"/>
      </w:rPr>
    </w:lvl>
    <w:lvl w:ilvl="4" w:tplc="D15690FC" w:tentative="1">
      <w:start w:val="1"/>
      <w:numFmt w:val="bullet"/>
      <w:lvlText w:val="•"/>
      <w:lvlJc w:val="left"/>
      <w:pPr>
        <w:tabs>
          <w:tab w:val="num" w:pos="3600"/>
        </w:tabs>
        <w:ind w:left="3600" w:hanging="360"/>
      </w:pPr>
      <w:rPr>
        <w:rFonts w:ascii="Times New Roman" w:hAnsi="Times New Roman" w:hint="default"/>
      </w:rPr>
    </w:lvl>
    <w:lvl w:ilvl="5" w:tplc="8014DBC2" w:tentative="1">
      <w:start w:val="1"/>
      <w:numFmt w:val="bullet"/>
      <w:lvlText w:val="•"/>
      <w:lvlJc w:val="left"/>
      <w:pPr>
        <w:tabs>
          <w:tab w:val="num" w:pos="4320"/>
        </w:tabs>
        <w:ind w:left="4320" w:hanging="360"/>
      </w:pPr>
      <w:rPr>
        <w:rFonts w:ascii="Times New Roman" w:hAnsi="Times New Roman" w:hint="default"/>
      </w:rPr>
    </w:lvl>
    <w:lvl w:ilvl="6" w:tplc="49DE42F0" w:tentative="1">
      <w:start w:val="1"/>
      <w:numFmt w:val="bullet"/>
      <w:lvlText w:val="•"/>
      <w:lvlJc w:val="left"/>
      <w:pPr>
        <w:tabs>
          <w:tab w:val="num" w:pos="5040"/>
        </w:tabs>
        <w:ind w:left="5040" w:hanging="360"/>
      </w:pPr>
      <w:rPr>
        <w:rFonts w:ascii="Times New Roman" w:hAnsi="Times New Roman" w:hint="default"/>
      </w:rPr>
    </w:lvl>
    <w:lvl w:ilvl="7" w:tplc="753E6550" w:tentative="1">
      <w:start w:val="1"/>
      <w:numFmt w:val="bullet"/>
      <w:lvlText w:val="•"/>
      <w:lvlJc w:val="left"/>
      <w:pPr>
        <w:tabs>
          <w:tab w:val="num" w:pos="5760"/>
        </w:tabs>
        <w:ind w:left="5760" w:hanging="360"/>
      </w:pPr>
      <w:rPr>
        <w:rFonts w:ascii="Times New Roman" w:hAnsi="Times New Roman" w:hint="default"/>
      </w:rPr>
    </w:lvl>
    <w:lvl w:ilvl="8" w:tplc="31F4D9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515B66E5"/>
    <w:multiLevelType w:val="hybridMultilevel"/>
    <w:tmpl w:val="5B46EE0A"/>
    <w:lvl w:ilvl="0" w:tplc="9C04E67E">
      <w:start w:val="1"/>
      <w:numFmt w:val="bullet"/>
      <w:lvlText w:val="•"/>
      <w:lvlJc w:val="left"/>
      <w:pPr>
        <w:tabs>
          <w:tab w:val="num" w:pos="720"/>
        </w:tabs>
        <w:ind w:left="720" w:hanging="360"/>
      </w:pPr>
      <w:rPr>
        <w:rFonts w:ascii="Times New Roman" w:hAnsi="Times New Roman" w:hint="default"/>
      </w:rPr>
    </w:lvl>
    <w:lvl w:ilvl="1" w:tplc="28824C88">
      <w:numFmt w:val="bullet"/>
      <w:lvlText w:val="–"/>
      <w:lvlJc w:val="left"/>
      <w:pPr>
        <w:tabs>
          <w:tab w:val="num" w:pos="1440"/>
        </w:tabs>
        <w:ind w:left="1440" w:hanging="360"/>
      </w:pPr>
      <w:rPr>
        <w:rFonts w:ascii="Times New Roman" w:hAnsi="Times New Roman" w:hint="default"/>
      </w:rPr>
    </w:lvl>
    <w:lvl w:ilvl="2" w:tplc="551EEB2A">
      <w:numFmt w:val="bullet"/>
      <w:lvlText w:val="•"/>
      <w:lvlJc w:val="left"/>
      <w:pPr>
        <w:tabs>
          <w:tab w:val="num" w:pos="2160"/>
        </w:tabs>
        <w:ind w:left="2160" w:hanging="360"/>
      </w:pPr>
      <w:rPr>
        <w:rFonts w:ascii="Times New Roman" w:hAnsi="Times New Roman" w:hint="default"/>
      </w:rPr>
    </w:lvl>
    <w:lvl w:ilvl="3" w:tplc="6D8625F0" w:tentative="1">
      <w:start w:val="1"/>
      <w:numFmt w:val="bullet"/>
      <w:lvlText w:val="•"/>
      <w:lvlJc w:val="left"/>
      <w:pPr>
        <w:tabs>
          <w:tab w:val="num" w:pos="2880"/>
        </w:tabs>
        <w:ind w:left="2880" w:hanging="360"/>
      </w:pPr>
      <w:rPr>
        <w:rFonts w:ascii="Times New Roman" w:hAnsi="Times New Roman" w:hint="default"/>
      </w:rPr>
    </w:lvl>
    <w:lvl w:ilvl="4" w:tplc="B0B8F02A" w:tentative="1">
      <w:start w:val="1"/>
      <w:numFmt w:val="bullet"/>
      <w:lvlText w:val="•"/>
      <w:lvlJc w:val="left"/>
      <w:pPr>
        <w:tabs>
          <w:tab w:val="num" w:pos="3600"/>
        </w:tabs>
        <w:ind w:left="3600" w:hanging="360"/>
      </w:pPr>
      <w:rPr>
        <w:rFonts w:ascii="Times New Roman" w:hAnsi="Times New Roman" w:hint="default"/>
      </w:rPr>
    </w:lvl>
    <w:lvl w:ilvl="5" w:tplc="2DD81236" w:tentative="1">
      <w:start w:val="1"/>
      <w:numFmt w:val="bullet"/>
      <w:lvlText w:val="•"/>
      <w:lvlJc w:val="left"/>
      <w:pPr>
        <w:tabs>
          <w:tab w:val="num" w:pos="4320"/>
        </w:tabs>
        <w:ind w:left="4320" w:hanging="360"/>
      </w:pPr>
      <w:rPr>
        <w:rFonts w:ascii="Times New Roman" w:hAnsi="Times New Roman" w:hint="default"/>
      </w:rPr>
    </w:lvl>
    <w:lvl w:ilvl="6" w:tplc="F6B8ACFE" w:tentative="1">
      <w:start w:val="1"/>
      <w:numFmt w:val="bullet"/>
      <w:lvlText w:val="•"/>
      <w:lvlJc w:val="left"/>
      <w:pPr>
        <w:tabs>
          <w:tab w:val="num" w:pos="5040"/>
        </w:tabs>
        <w:ind w:left="5040" w:hanging="360"/>
      </w:pPr>
      <w:rPr>
        <w:rFonts w:ascii="Times New Roman" w:hAnsi="Times New Roman" w:hint="default"/>
      </w:rPr>
    </w:lvl>
    <w:lvl w:ilvl="7" w:tplc="20327108" w:tentative="1">
      <w:start w:val="1"/>
      <w:numFmt w:val="bullet"/>
      <w:lvlText w:val="•"/>
      <w:lvlJc w:val="left"/>
      <w:pPr>
        <w:tabs>
          <w:tab w:val="num" w:pos="5760"/>
        </w:tabs>
        <w:ind w:left="5760" w:hanging="360"/>
      </w:pPr>
      <w:rPr>
        <w:rFonts w:ascii="Times New Roman" w:hAnsi="Times New Roman" w:hint="default"/>
      </w:rPr>
    </w:lvl>
    <w:lvl w:ilvl="8" w:tplc="9B70B0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C3D26F0"/>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1E77043"/>
    <w:multiLevelType w:val="hybridMultilevel"/>
    <w:tmpl w:val="F48AFE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30"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677267751">
    <w:abstractNumId w:val="9"/>
  </w:num>
  <w:num w:numId="2" w16cid:durableId="2064865124">
    <w:abstractNumId w:val="23"/>
  </w:num>
  <w:num w:numId="3" w16cid:durableId="210727265">
    <w:abstractNumId w:val="5"/>
  </w:num>
  <w:num w:numId="4" w16cid:durableId="2120102827">
    <w:abstractNumId w:val="10"/>
  </w:num>
  <w:num w:numId="5" w16cid:durableId="1895462699">
    <w:abstractNumId w:val="21"/>
  </w:num>
  <w:num w:numId="6" w16cid:durableId="2132287911">
    <w:abstractNumId w:val="1"/>
  </w:num>
  <w:num w:numId="7" w16cid:durableId="78990902">
    <w:abstractNumId w:val="30"/>
  </w:num>
  <w:num w:numId="8" w16cid:durableId="963582796">
    <w:abstractNumId w:val="28"/>
  </w:num>
  <w:num w:numId="9" w16cid:durableId="1451512118">
    <w:abstractNumId w:val="17"/>
  </w:num>
  <w:num w:numId="10" w16cid:durableId="216401076">
    <w:abstractNumId w:val="12"/>
  </w:num>
  <w:num w:numId="11" w16cid:durableId="396562372">
    <w:abstractNumId w:val="0"/>
  </w:num>
  <w:num w:numId="12" w16cid:durableId="13196976">
    <w:abstractNumId w:val="15"/>
  </w:num>
  <w:num w:numId="13" w16cid:durableId="2044207593">
    <w:abstractNumId w:val="31"/>
  </w:num>
  <w:num w:numId="14" w16cid:durableId="1207139096">
    <w:abstractNumId w:val="3"/>
  </w:num>
  <w:num w:numId="15" w16cid:durableId="1621720263">
    <w:abstractNumId w:val="11"/>
  </w:num>
  <w:num w:numId="16" w16cid:durableId="746073937">
    <w:abstractNumId w:val="18"/>
  </w:num>
  <w:num w:numId="17" w16cid:durableId="518738812">
    <w:abstractNumId w:val="14"/>
  </w:num>
  <w:num w:numId="18" w16cid:durableId="834371087">
    <w:abstractNumId w:val="13"/>
  </w:num>
  <w:num w:numId="19" w16cid:durableId="1211503206">
    <w:abstractNumId w:val="27"/>
  </w:num>
  <w:num w:numId="20" w16cid:durableId="1164972837">
    <w:abstractNumId w:val="2"/>
  </w:num>
  <w:num w:numId="21" w16cid:durableId="321544632">
    <w:abstractNumId w:val="29"/>
  </w:num>
  <w:num w:numId="22" w16cid:durableId="1536694436">
    <w:abstractNumId w:val="22"/>
  </w:num>
  <w:num w:numId="23" w16cid:durableId="1493450753">
    <w:abstractNumId w:val="6"/>
  </w:num>
  <w:num w:numId="24" w16cid:durableId="287513360">
    <w:abstractNumId w:val="7"/>
  </w:num>
  <w:num w:numId="25" w16cid:durableId="1335720814">
    <w:abstractNumId w:val="20"/>
  </w:num>
  <w:num w:numId="26" w16cid:durableId="2093815174">
    <w:abstractNumId w:val="24"/>
  </w:num>
  <w:num w:numId="27" w16cid:durableId="1615214572">
    <w:abstractNumId w:val="4"/>
  </w:num>
  <w:num w:numId="28" w16cid:durableId="684090620">
    <w:abstractNumId w:val="16"/>
  </w:num>
  <w:num w:numId="29" w16cid:durableId="1059062373">
    <w:abstractNumId w:val="26"/>
  </w:num>
  <w:num w:numId="30" w16cid:durableId="1629243679">
    <w:abstractNumId w:val="8"/>
  </w:num>
  <w:num w:numId="31" w16cid:durableId="1758358792">
    <w:abstractNumId w:val="19"/>
  </w:num>
  <w:num w:numId="32" w16cid:durableId="208479612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5FA0"/>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19F"/>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847"/>
    <w:rsid w:val="00C14876"/>
    <w:rsid w:val="00C15132"/>
    <w:rsid w:val="00C151A4"/>
    <w:rsid w:val="00C15745"/>
    <w:rsid w:val="00C15FE9"/>
    <w:rsid w:val="00C1604F"/>
    <w:rsid w:val="00C1609B"/>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DF3"/>
    <w:rsid w:val="00D60179"/>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5E3"/>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TotalTime>
  <Pages>24</Pages>
  <Words>6231</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40794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17</cp:revision>
  <cp:lastPrinted>2019-10-09T16:05:00Z</cp:lastPrinted>
  <dcterms:created xsi:type="dcterms:W3CDTF">2023-10-22T14:07:00Z</dcterms:created>
  <dcterms:modified xsi:type="dcterms:W3CDTF">2023-10-22T14:21:00Z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