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23B9E62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E74F49">
              <w:rPr>
                <w:rFonts w:asciiTheme="minorHAnsi" w:hAnsiTheme="minorHAnsi" w:cstheme="minorHAnsi"/>
                <w:b w:val="0"/>
                <w:sz w:val="22"/>
                <w:szCs w:val="22"/>
                <w:lang w:eastAsia="ko-KR"/>
              </w:rPr>
              <w:t>01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BE15CF0" w:rsidR="001146DD" w:rsidRDefault="00694DE0" w:rsidP="001146DD">
      <w:pPr>
        <w:spacing w:after="0" w:line="240" w:lineRule="auto"/>
        <w:rPr>
          <w:rFonts w:cstheme="minorHAnsi"/>
          <w:sz w:val="24"/>
        </w:rPr>
      </w:pPr>
      <w:r>
        <w:rPr>
          <w:rFonts w:cstheme="minorHAnsi"/>
          <w:sz w:val="24"/>
        </w:rPr>
        <w:t>CIDs XXXX</w:t>
      </w:r>
      <w:r w:rsidR="00111165">
        <w:rPr>
          <w:rFonts w:cstheme="minorHAnsi"/>
          <w:sz w:val="24"/>
        </w:rPr>
        <w:t xml:space="preserve"> (using 990-996 for now)</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ins w:id="0" w:author="Brian Hart (brianh)" w:date="2023-04-28T15:12:00Z"/>
          <w:rFonts w:cstheme="minorHAnsi"/>
          <w:b/>
          <w:bCs/>
          <w:sz w:val="24"/>
        </w:rPr>
      </w:pPr>
    </w:p>
    <w:p w14:paraId="5E9D4953" w14:textId="3E38571C" w:rsidR="00C151D2" w:rsidRDefault="009A1015" w:rsidP="009A1015">
      <w:pPr>
        <w:pStyle w:val="Heading1"/>
      </w:pPr>
      <w:r>
        <w:t>Most Urgent and Non-Controversial</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33"/>
        <w:gridCol w:w="2449"/>
        <w:gridCol w:w="661"/>
        <w:gridCol w:w="683"/>
        <w:gridCol w:w="439"/>
        <w:gridCol w:w="2743"/>
        <w:gridCol w:w="2322"/>
      </w:tblGrid>
      <w:tr w:rsidR="004D411A" w:rsidRPr="00B97AC2" w14:paraId="24486A33" w14:textId="281402AA" w:rsidTr="00EB669E">
        <w:trPr>
          <w:trHeight w:val="70"/>
        </w:trPr>
        <w:tc>
          <w:tcPr>
            <w:tcW w:w="1333" w:type="dxa"/>
          </w:tcPr>
          <w:p w14:paraId="0632103D" w14:textId="1A8D7857" w:rsidR="004D411A" w:rsidRPr="00B97AC2" w:rsidRDefault="004D411A" w:rsidP="00B97AC2">
            <w:pPr>
              <w:rPr>
                <w:rFonts w:ascii="Arial" w:eastAsia="Times New Roman" w:hAnsi="Arial" w:cs="Arial"/>
                <w:sz w:val="20"/>
                <w:szCs w:val="20"/>
              </w:rPr>
            </w:pPr>
            <w:r>
              <w:rPr>
                <w:rFonts w:ascii="Arial" w:eastAsia="Times New Roman" w:hAnsi="Arial" w:cs="Arial"/>
                <w:sz w:val="20"/>
                <w:szCs w:val="20"/>
              </w:rPr>
              <w:t>990</w:t>
            </w:r>
          </w:p>
        </w:tc>
        <w:tc>
          <w:tcPr>
            <w:tcW w:w="2449" w:type="dxa"/>
            <w:hideMark/>
          </w:tcPr>
          <w:p w14:paraId="11E9916E" w14:textId="479DA790"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w:t>
            </w:r>
            <w:r w:rsidRPr="00B97AC2">
              <w:rPr>
                <w:rFonts w:ascii="Arial" w:eastAsia="Times New Roman" w:hAnsi="Arial" w:cs="Arial"/>
                <w:sz w:val="20"/>
                <w:szCs w:val="20"/>
              </w:rPr>
              <w:lastRenderedPageBreak/>
              <w:t xml:space="preserve">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3) For the AP, if it </w:t>
            </w:r>
            <w:proofErr w:type="gramStart"/>
            <w:r w:rsidRPr="00B97AC2">
              <w:rPr>
                <w:rFonts w:ascii="Arial" w:eastAsia="Times New Roman" w:hAnsi="Arial" w:cs="Arial"/>
                <w:sz w:val="20"/>
                <w:szCs w:val="20"/>
              </w:rPr>
              <w:t>has to</w:t>
            </w:r>
            <w:proofErr w:type="gramEnd"/>
            <w:r w:rsidRPr="00B97AC2">
              <w:rPr>
                <w:rFonts w:ascii="Arial" w:eastAsia="Times New Roman" w:hAnsi="Arial" w:cs="Arial"/>
                <w:sz w:val="20"/>
                <w:szCs w:val="20"/>
              </w:rPr>
              <w:t xml:space="preserve"> choose between SPAP </w:t>
            </w:r>
            <w:proofErr w:type="spellStart"/>
            <w:r w:rsidRPr="00B97AC2">
              <w:rPr>
                <w:rFonts w:ascii="Arial" w:eastAsia="Times New Roman" w:hAnsi="Arial" w:cs="Arial"/>
                <w:sz w:val="20"/>
                <w:szCs w:val="20"/>
              </w:rPr>
              <w:t>xor</w:t>
            </w:r>
            <w:proofErr w:type="spellEnd"/>
            <w:r w:rsidRPr="00B97AC2">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w:t>
            </w:r>
            <w:proofErr w:type="gramStart"/>
            <w:r w:rsidRPr="00B97AC2">
              <w:rPr>
                <w:rFonts w:ascii="Arial" w:eastAsia="Times New Roman" w:hAnsi="Arial" w:cs="Arial"/>
                <w:sz w:val="20"/>
                <w:szCs w:val="20"/>
              </w:rPr>
              <w:t>in order for</w:t>
            </w:r>
            <w:proofErr w:type="gramEnd"/>
            <w:r w:rsidRPr="00B97AC2">
              <w:rPr>
                <w:rFonts w:ascii="Arial" w:eastAsia="Times New Roman" w:hAnsi="Arial" w:cs="Arial"/>
                <w:sz w:val="20"/>
                <w:szCs w:val="20"/>
              </w:rPr>
              <w:t xml:space="preserve"> an AP to make the IAP/SPAP choice that maximizes client connectivity, it is important for the AP to know each client’s 6 GHz and TX power capabilities and really to know them before </w:t>
            </w:r>
            <w:proofErr w:type="spellStart"/>
            <w:r w:rsidRPr="00B97AC2">
              <w:rPr>
                <w:rFonts w:ascii="Arial" w:eastAsia="Times New Roman" w:hAnsi="Arial" w:cs="Arial"/>
                <w:sz w:val="20"/>
                <w:szCs w:val="20"/>
              </w:rPr>
              <w:t>before</w:t>
            </w:r>
            <w:proofErr w:type="spellEnd"/>
            <w:r w:rsidRPr="00B97AC2">
              <w:rPr>
                <w:rFonts w:ascii="Arial" w:eastAsia="Times New Roman" w:hAnsi="Arial" w:cs="Arial"/>
                <w:sz w:val="20"/>
                <w:szCs w:val="20"/>
              </w:rPr>
              <w:t xml:space="preserve"> </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(e.g., else a SPAP never knows if it should be operating as an IAP).</w:t>
            </w:r>
          </w:p>
        </w:tc>
        <w:tc>
          <w:tcPr>
            <w:tcW w:w="661" w:type="dxa"/>
            <w:hideMark/>
          </w:tcPr>
          <w:p w14:paraId="79EABD4E"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3D6D452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02F80F"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0F319D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Add client capability </w:t>
            </w:r>
            <w:proofErr w:type="spellStart"/>
            <w:r w:rsidRPr="00B97AC2">
              <w:rPr>
                <w:rFonts w:ascii="Arial" w:eastAsia="Times New Roman" w:hAnsi="Arial" w:cs="Arial"/>
                <w:sz w:val="20"/>
                <w:szCs w:val="20"/>
              </w:rPr>
              <w:t>signalling</w:t>
            </w:r>
            <w:proofErr w:type="spellEnd"/>
            <w:r w:rsidRPr="00B97AC2">
              <w:rPr>
                <w:rFonts w:ascii="Arial" w:eastAsia="Times New Roman" w:hAnsi="Arial" w:cs="Arial"/>
                <w:sz w:val="20"/>
                <w:szCs w:val="20"/>
              </w:rPr>
              <w:t xml:space="preserve">: can the client operate under the control of either of an IAP or SPAP? This can positively indicate that the client is a "modern" client. (The absence of such signaling indicates that the client probably can only operate under the control of an IAP.)  Include such signaling in probe req and </w:t>
            </w:r>
            <w:r w:rsidRPr="00B97AC2">
              <w:rPr>
                <w:rFonts w:ascii="Arial" w:eastAsia="Times New Roman" w:hAnsi="Arial" w:cs="Arial"/>
                <w:sz w:val="20"/>
                <w:szCs w:val="20"/>
              </w:rPr>
              <w:lastRenderedPageBreak/>
              <w:t>(re)</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req, A single bit in the Extended Capabilities element is a reasonable choice. 2) For 6 GHz, require the client to indicate </w:t>
            </w:r>
            <w:proofErr w:type="gramStart"/>
            <w:r w:rsidRPr="00B97AC2">
              <w:rPr>
                <w:rFonts w:ascii="Arial" w:eastAsia="Times New Roman" w:hAnsi="Arial" w:cs="Arial"/>
                <w:sz w:val="20"/>
                <w:szCs w:val="20"/>
              </w:rPr>
              <w:t>its</w:t>
            </w:r>
            <w:proofErr w:type="gramEnd"/>
            <w:r w:rsidRPr="00B97AC2">
              <w:rPr>
                <w:rFonts w:ascii="Arial" w:eastAsia="Times New Roman" w:hAnsi="Arial" w:cs="Arial"/>
                <w:sz w:val="20"/>
                <w:szCs w:val="20"/>
              </w:rPr>
              <w:t xml:space="preserve"> transmit power support. This could be the Power Capability element, but this has not been refreshed in a long time - so providing a power per bandwidth, and the option of reporting conducted and/or EIRP for the whole bandwidth and/or per MHz (</w:t>
            </w:r>
            <w:proofErr w:type="gramStart"/>
            <w:r w:rsidRPr="00B97AC2">
              <w:rPr>
                <w:rFonts w:ascii="Arial" w:eastAsia="Times New Roman" w:hAnsi="Arial" w:cs="Arial"/>
                <w:sz w:val="20"/>
                <w:szCs w:val="20"/>
              </w:rPr>
              <w:t>i.e.</w:t>
            </w:r>
            <w:proofErr w:type="gramEnd"/>
            <w:r w:rsidRPr="00B97AC2">
              <w:rPr>
                <w:rFonts w:ascii="Arial" w:eastAsia="Times New Roman" w:hAnsi="Arial" w:cs="Arial"/>
                <w:sz w:val="20"/>
                <w:szCs w:val="20"/>
              </w:rPr>
              <w:t xml:space="preserve"> akin to TPE) may be required.</w:t>
            </w:r>
          </w:p>
        </w:tc>
        <w:tc>
          <w:tcPr>
            <w:tcW w:w="2322" w:type="dxa"/>
          </w:tcPr>
          <w:p w14:paraId="22B6EA3C" w14:textId="6EAB09E2"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lastRenderedPageBreak/>
              <w:t xml:space="preserve">Revised. See changes in </w:t>
            </w:r>
            <w:r w:rsidR="008F23EC">
              <w:rPr>
                <w:rFonts w:ascii="Arial" w:eastAsia="Times New Roman" w:hAnsi="Arial" w:cs="Arial"/>
                <w:sz w:val="20"/>
                <w:szCs w:val="20"/>
              </w:rPr>
              <w:t>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#990 which substantially align with the commenter’s proposed resolution.</w:t>
            </w:r>
          </w:p>
        </w:tc>
      </w:tr>
      <w:tr w:rsidR="004D411A" w:rsidRPr="00B97AC2" w14:paraId="059B4E29" w14:textId="52C727E2" w:rsidTr="004D411A">
        <w:trPr>
          <w:trHeight w:val="1800"/>
        </w:trPr>
        <w:tc>
          <w:tcPr>
            <w:tcW w:w="1333" w:type="dxa"/>
          </w:tcPr>
          <w:p w14:paraId="3DF184EB" w14:textId="40BA1A62" w:rsidR="004D411A" w:rsidRPr="00B97AC2" w:rsidRDefault="004D411A" w:rsidP="00B97AC2">
            <w:pPr>
              <w:rPr>
                <w:rFonts w:ascii="Calibri" w:eastAsia="Times New Roman" w:hAnsi="Calibri" w:cs="Calibri"/>
              </w:rPr>
            </w:pPr>
            <w:r>
              <w:rPr>
                <w:rFonts w:ascii="Calibri" w:eastAsia="Times New Roman" w:hAnsi="Calibri" w:cs="Calibri"/>
              </w:rPr>
              <w:t>994</w:t>
            </w:r>
          </w:p>
        </w:tc>
        <w:tc>
          <w:tcPr>
            <w:tcW w:w="2449"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xml:space="preserve">. At the same time, the AP’s operational mode is much more important than its capability and </w:t>
            </w:r>
            <w:r w:rsidRPr="00B97AC2">
              <w:rPr>
                <w:rFonts w:ascii="Calibri" w:eastAsia="Times New Roman" w:hAnsi="Calibri" w:cs="Calibri"/>
              </w:rPr>
              <w:lastRenderedPageBreak/>
              <w:t>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Try "The Regulatory Info subfield in the Control field of the 6 GHz Operation Information field of the HE Operation element *expresses the current operational mode of the AP (rather than its </w:t>
            </w:r>
            <w:proofErr w:type="gramStart"/>
            <w:r w:rsidRPr="00B97AC2">
              <w:rPr>
                <w:rFonts w:ascii="Arial" w:eastAsia="Times New Roman" w:hAnsi="Arial" w:cs="Arial"/>
                <w:sz w:val="20"/>
                <w:szCs w:val="20"/>
              </w:rPr>
              <w:t>capability)*</w:t>
            </w:r>
            <w:proofErr w:type="gramEnd"/>
            <w:r w:rsidRPr="00B97AC2">
              <w:rPr>
                <w:rFonts w:ascii="Arial" w:eastAsia="Times New Roman" w:hAnsi="Arial" w:cs="Arial"/>
                <w:sz w:val="20"/>
                <w:szCs w:val="20"/>
              </w:rPr>
              <w:t xml:space="preserve"> and is interpreted ...". If AP </w:t>
            </w:r>
            <w:r w:rsidRPr="00B97AC2">
              <w:rPr>
                <w:rFonts w:ascii="Arial" w:eastAsia="Times New Roman" w:hAnsi="Arial" w:cs="Arial"/>
                <w:sz w:val="20"/>
                <w:szCs w:val="20"/>
              </w:rPr>
              <w:lastRenderedPageBreak/>
              <w:t>capability is also of interest, it can be added as a new field in the HE Capabilities element</w:t>
            </w:r>
          </w:p>
        </w:tc>
        <w:tc>
          <w:tcPr>
            <w:tcW w:w="2322" w:type="dxa"/>
          </w:tcPr>
          <w:p w14:paraId="3D51E171" w14:textId="288A742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lastRenderedPageBreak/>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#994 which substantially align with the commenter’s proposed resolution.</w:t>
            </w:r>
          </w:p>
        </w:tc>
      </w:tr>
      <w:tr w:rsidR="004D411A" w:rsidRPr="00B97AC2" w14:paraId="0E9FA258" w14:textId="18BFAE41" w:rsidTr="004D411A">
        <w:trPr>
          <w:trHeight w:val="70"/>
        </w:trPr>
        <w:tc>
          <w:tcPr>
            <w:tcW w:w="1333" w:type="dxa"/>
          </w:tcPr>
          <w:p w14:paraId="07ADD847" w14:textId="72937838" w:rsidR="004D411A" w:rsidRPr="00B97AC2" w:rsidRDefault="004D411A" w:rsidP="00B97AC2">
            <w:pPr>
              <w:rPr>
                <w:rFonts w:ascii="Calibri" w:eastAsia="Times New Roman" w:hAnsi="Calibri" w:cs="Calibri"/>
              </w:rPr>
            </w:pPr>
            <w:r>
              <w:rPr>
                <w:rFonts w:ascii="Calibri" w:eastAsia="Times New Roman" w:hAnsi="Calibri" w:cs="Calibri"/>
              </w:rPr>
              <w:t>995</w:t>
            </w:r>
          </w:p>
        </w:tc>
        <w:tc>
          <w:tcPr>
            <w:tcW w:w="2449"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In regulatory domains without </w:t>
            </w:r>
            <w:proofErr w:type="gramStart"/>
            <w:r w:rsidRPr="00B97AC2">
              <w:rPr>
                <w:rFonts w:ascii="Calibri" w:eastAsia="Times New Roman" w:hAnsi="Calibri" w:cs="Calibri"/>
              </w:rPr>
              <w:t>IAPs,  SPAPs</w:t>
            </w:r>
            <w:proofErr w:type="gramEnd"/>
            <w:r w:rsidRPr="00B97AC2">
              <w:rPr>
                <w:rFonts w:ascii="Calibri" w:eastAsia="Times New Roman" w:hAnsi="Calibri" w:cs="Calibri"/>
              </w:rPr>
              <w:t xml:space="preserve">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w:t>
            </w:r>
            <w:proofErr w:type="gramStart"/>
            <w:r w:rsidRPr="00B97AC2">
              <w:rPr>
                <w:rFonts w:ascii="Calibri" w:eastAsia="Times New Roman" w:hAnsi="Calibri" w:cs="Calibri"/>
              </w:rPr>
              <w:t>domain.(</w:t>
            </w:r>
            <w:proofErr w:type="gramEnd"/>
            <w:r w:rsidRPr="00B97AC2">
              <w:rPr>
                <w:rFonts w:ascii="Calibri" w:eastAsia="Times New Roman" w:hAnsi="Calibri" w:cs="Calibri"/>
              </w:rPr>
              <w:t>#600)",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4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Allocate a value for this situation: </w:t>
            </w:r>
            <w:proofErr w:type="spellStart"/>
            <w:r w:rsidRPr="00B97AC2">
              <w:rPr>
                <w:rFonts w:ascii="Arial" w:eastAsia="Times New Roman" w:hAnsi="Arial" w:cs="Arial"/>
                <w:sz w:val="20"/>
                <w:szCs w:val="20"/>
              </w:rPr>
              <w:t>i.e</w:t>
            </w:r>
            <w:proofErr w:type="spellEnd"/>
            <w:r w:rsidRPr="00B97AC2">
              <w:rPr>
                <w:rFonts w:ascii="Arial" w:eastAsia="Times New Roman" w:hAnsi="Arial" w:cs="Arial"/>
                <w:sz w:val="20"/>
                <w:szCs w:val="20"/>
              </w:rPr>
              <w:t>, in Table E-12, define 7 as "None of the above".</w:t>
            </w:r>
          </w:p>
        </w:tc>
        <w:tc>
          <w:tcPr>
            <w:tcW w:w="2322" w:type="dxa"/>
          </w:tcPr>
          <w:p w14:paraId="0C8CB913" w14:textId="780BF632"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#995 which substantially align with the commenter’s proposed resolution.</w:t>
            </w:r>
          </w:p>
        </w:tc>
      </w:tr>
    </w:tbl>
    <w:p w14:paraId="2BE88DD6" w14:textId="49AE75AD" w:rsidR="00CA59FA" w:rsidRDefault="00CA59FA" w:rsidP="00F07CBB">
      <w:pPr>
        <w:pStyle w:val="T"/>
        <w:spacing w:line="240" w:lineRule="auto"/>
        <w:rPr>
          <w:bCs/>
          <w:highlight w:val="yellow"/>
        </w:rPr>
      </w:pPr>
    </w:p>
    <w:p w14:paraId="44E53FF8" w14:textId="5104DD27" w:rsidR="00A65042" w:rsidRDefault="00A65042" w:rsidP="00F07CBB">
      <w:pPr>
        <w:pStyle w:val="T"/>
        <w:spacing w:line="240" w:lineRule="auto"/>
        <w:rPr>
          <w:bCs/>
          <w:highlight w:val="yellow"/>
        </w:rPr>
      </w:pPr>
    </w:p>
    <w:p w14:paraId="42A4FE61" w14:textId="0FC390A6" w:rsidR="00A65042" w:rsidRDefault="00A65042" w:rsidP="00F07CBB">
      <w:pPr>
        <w:pStyle w:val="T"/>
        <w:spacing w:line="240" w:lineRule="auto"/>
        <w:rPr>
          <w:bCs/>
        </w:rPr>
      </w:pPr>
      <w:r w:rsidRPr="00A65042">
        <w:rPr>
          <w:bCs/>
        </w:rPr>
        <w:t>9.4.2.25 Extended Capabilities element</w:t>
      </w:r>
    </w:p>
    <w:p w14:paraId="5C90F264" w14:textId="4C52380F" w:rsidR="00A65042" w:rsidRDefault="00A65042" w:rsidP="00F07CBB">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656B53" w14:paraId="12DA5AA6" w14:textId="77777777" w:rsidTr="00C10BF8">
        <w:tc>
          <w:tcPr>
            <w:tcW w:w="3543" w:type="dxa"/>
          </w:tcPr>
          <w:p w14:paraId="6D35B9EC" w14:textId="709C3E09" w:rsidR="00C10BF8" w:rsidRPr="00C10BF8" w:rsidRDefault="00C10BF8" w:rsidP="00C10BF8">
            <w:r w:rsidRPr="00C10BF8">
              <w:t>Bit</w:t>
            </w:r>
          </w:p>
        </w:tc>
        <w:tc>
          <w:tcPr>
            <w:tcW w:w="3543" w:type="dxa"/>
          </w:tcPr>
          <w:p w14:paraId="412A859A" w14:textId="2FDCB1AE" w:rsidR="00C10BF8" w:rsidRPr="00C10BF8" w:rsidRDefault="00C10BF8" w:rsidP="00C10BF8">
            <w:r w:rsidRPr="00C10BF8">
              <w:t>Information</w:t>
            </w:r>
          </w:p>
        </w:tc>
        <w:tc>
          <w:tcPr>
            <w:tcW w:w="3544" w:type="dxa"/>
          </w:tcPr>
          <w:p w14:paraId="175429F5" w14:textId="165092D5" w:rsidR="00C10BF8" w:rsidRPr="00C10BF8" w:rsidRDefault="00C10BF8" w:rsidP="00C10BF8">
            <w:r w:rsidRPr="00C10BF8">
              <w:t>Note</w:t>
            </w:r>
          </w:p>
        </w:tc>
      </w:tr>
      <w:tr w:rsidR="0033683F" w14:paraId="3351A1CB" w14:textId="77777777" w:rsidTr="00C10BF8">
        <w:tc>
          <w:tcPr>
            <w:tcW w:w="3543" w:type="dxa"/>
          </w:tcPr>
          <w:p w14:paraId="0BDD9025" w14:textId="38954054" w:rsidR="00C10BF8" w:rsidRPr="00C10BF8" w:rsidRDefault="00FC4FA2" w:rsidP="00C10BF8">
            <w:ins w:id="1" w:author="Brian Hart (brianh)" w:date="2023-04-27T16:17:00Z">
              <w:r>
                <w:t>(#</w:t>
              </w:r>
              <w:proofErr w:type="gramStart"/>
              <w:r>
                <w:t>990)</w:t>
              </w:r>
            </w:ins>
            <w:ins w:id="2" w:author="Brian Hart (brianh)" w:date="2023-04-27T16:14:00Z">
              <w:r w:rsidR="00164079">
                <w:t>ANA</w:t>
              </w:r>
            </w:ins>
            <w:proofErr w:type="gramEnd"/>
          </w:p>
        </w:tc>
        <w:tc>
          <w:tcPr>
            <w:tcW w:w="3543" w:type="dxa"/>
          </w:tcPr>
          <w:p w14:paraId="4DEF9210" w14:textId="4274D0F7" w:rsidR="00C10BF8" w:rsidRPr="00C10BF8" w:rsidRDefault="00656B53" w:rsidP="00C10BF8">
            <w:ins w:id="3" w:author="Brian Hart (brianh)" w:date="2023-04-27T16:15:00Z">
              <w:r>
                <w:t>Controllable by Indoor and SP AP</w:t>
              </w:r>
            </w:ins>
          </w:p>
        </w:tc>
        <w:tc>
          <w:tcPr>
            <w:tcW w:w="3544" w:type="dxa"/>
          </w:tcPr>
          <w:p w14:paraId="7AC3599C" w14:textId="3DA2EC56" w:rsidR="00C10BF8" w:rsidRPr="00C10BF8" w:rsidRDefault="008450DD" w:rsidP="0033683F">
            <w:ins w:id="4" w:author="Brian Hart (brianh)" w:date="2023-05-01T11:59:00Z">
              <w:r>
                <w:t xml:space="preserve">Set to 1 </w:t>
              </w:r>
              <w:r w:rsidR="003C51AF">
                <w:t xml:space="preserve">by a non-AP STA </w:t>
              </w:r>
            </w:ins>
            <w:ins w:id="5" w:author="Brian Hart (brianh)" w:date="2023-04-27T16:14:00Z">
              <w:r w:rsidR="00A87A21">
                <w:t>to</w:t>
              </w:r>
            </w:ins>
            <w:ins w:id="6" w:author="Brian Hart (brianh)" w:date="2023-05-01T11:59:00Z">
              <w:r>
                <w:t xml:space="preserve"> </w:t>
              </w:r>
            </w:ins>
            <w:ins w:id="7" w:author="Brian Hart (brianh)" w:date="2023-04-27T16:14:00Z">
              <w:r w:rsidR="00A87A21">
                <w:t xml:space="preserve">indicate </w:t>
              </w:r>
            </w:ins>
            <w:ins w:id="8" w:author="Brian Hart (brianh)" w:date="2023-05-01T11:59:00Z">
              <w:r w:rsidR="003C51AF">
                <w:t xml:space="preserve">support for </w:t>
              </w:r>
            </w:ins>
            <w:ins w:id="9" w:author="Brian Hart (brianh)" w:date="2023-04-27T16:16:00Z">
              <w:r w:rsidR="0033683F">
                <w:t>operating under the control of both an Indoor AP and a SP AP (see Annex E.2.7)</w:t>
              </w:r>
            </w:ins>
            <w:ins w:id="10" w:author="Brian Hart (brianh)" w:date="2023-05-01T12:00:00Z">
              <w:r w:rsidR="000220E4">
                <w:t>; o</w:t>
              </w:r>
            </w:ins>
            <w:ins w:id="11" w:author="Brian Hart (brianh)" w:date="2023-04-27T16:14:00Z">
              <w:r w:rsidR="00A87A21">
                <w:t>therwise, set to 0.</w:t>
              </w:r>
            </w:ins>
            <w:ins w:id="12" w:author="Brian Hart (brianh)" w:date="2023-04-27T16:17:00Z">
              <w:r w:rsidR="007906AD">
                <w:t xml:space="preserve"> </w:t>
              </w:r>
            </w:ins>
          </w:p>
        </w:tc>
      </w:tr>
    </w:tbl>
    <w:p w14:paraId="093D7A0F" w14:textId="0A3B3B6B" w:rsidR="00C10BF8" w:rsidRDefault="00C10BF8" w:rsidP="00F07CBB">
      <w:pPr>
        <w:pStyle w:val="T"/>
        <w:spacing w:line="240" w:lineRule="auto"/>
        <w:rPr>
          <w:ins w:id="13" w:author="Brian Hart (brianh)" w:date="2023-04-27T16:17:00Z"/>
          <w:bCs/>
          <w:highlight w:val="yellow"/>
        </w:rPr>
      </w:pPr>
    </w:p>
    <w:p w14:paraId="1D6321D5" w14:textId="2B01303B" w:rsidR="007906AD" w:rsidRDefault="007906AD" w:rsidP="00F07CBB">
      <w:pPr>
        <w:pStyle w:val="T"/>
        <w:spacing w:line="240" w:lineRule="auto"/>
        <w:rPr>
          <w:ins w:id="14" w:author="Brian Hart (brianh)" w:date="2023-04-27T16:17:00Z"/>
          <w:bCs/>
          <w:highlight w:val="yellow"/>
        </w:rPr>
      </w:pPr>
    </w:p>
    <w:p w14:paraId="2FAC745D" w14:textId="77777777" w:rsidR="006950A8" w:rsidDel="001B318C" w:rsidRDefault="006950A8" w:rsidP="00F07CBB">
      <w:pPr>
        <w:pStyle w:val="T"/>
        <w:spacing w:line="240" w:lineRule="auto"/>
        <w:rPr>
          <w:del w:id="15" w:author="Brian Hart (brianh)" w:date="2023-04-27T16:30:00Z"/>
        </w:rPr>
      </w:pPr>
    </w:p>
    <w:p w14:paraId="41CD6ADC" w14:textId="00894348" w:rsidR="003B3A71" w:rsidRDefault="003B3A71" w:rsidP="00F07CBB">
      <w:pPr>
        <w:pStyle w:val="T"/>
        <w:spacing w:line="240" w:lineRule="auto"/>
      </w:pPr>
    </w:p>
    <w:p w14:paraId="2C3285B7" w14:textId="77777777" w:rsidR="003B3A71" w:rsidRPr="003B3A71" w:rsidRDefault="003B3A71" w:rsidP="00CF1F13">
      <w:r w:rsidRPr="003B3A71">
        <w:t>E.2.7 6 GHz band(11</w:t>
      </w:r>
      <w:proofErr w:type="gramStart"/>
      <w:r w:rsidRPr="003B3A71">
        <w:t>ax)(</w:t>
      </w:r>
      <w:proofErr w:type="gramEnd"/>
      <w:r w:rsidRPr="003B3A71">
        <w:t>#600)</w:t>
      </w:r>
    </w:p>
    <w:p w14:paraId="1091F800" w14:textId="1D1526D8" w:rsidR="003B3A71" w:rsidRPr="003B3A71" w:rsidRDefault="003B3A71" w:rsidP="00CF1F13">
      <w:r w:rsidRPr="003B3A71">
        <w:t>(#</w:t>
      </w:r>
      <w:proofErr w:type="gramStart"/>
      <w:r w:rsidRPr="003B3A71">
        <w:t>600)When</w:t>
      </w:r>
      <w:proofErr w:type="gramEnd"/>
      <w:r w:rsidRPr="003B3A71">
        <w:t xml:space="preserve">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t>NOTE 1—The first two octets indicate the United States. The third octet indicates that Table E-4 (Global operating</w:t>
      </w:r>
      <w:r w:rsidR="00CF1F13">
        <w:t xml:space="preserve"> </w:t>
      </w:r>
      <w:r w:rsidRPr="003B3A71">
        <w:t>classes) is in use (see Annex C).</w:t>
      </w:r>
    </w:p>
    <w:p w14:paraId="2CE6CDF7" w14:textId="209439D0"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16" w:author="Brian Hart (brianh)" w:date="2023-04-27T16:31:00Z">
        <w:r w:rsidR="00FC4FA2">
          <w:t>(#</w:t>
        </w:r>
        <w:proofErr w:type="gramStart"/>
        <w:r w:rsidR="00FC4FA2">
          <w:t>994)</w:t>
        </w:r>
      </w:ins>
      <w:ins w:id="17" w:author="Brian Hart (brianh)" w:date="2023-04-27T16:30:00Z">
        <w:r w:rsidR="002F0B12">
          <w:t>expresses</w:t>
        </w:r>
        <w:proofErr w:type="gramEnd"/>
        <w:r w:rsidR="002F0B12">
          <w:t xml:space="preserve">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 xml:space="preserve">values defined in Table E-12 (Regulatory Info subfield </w:t>
      </w:r>
      <w:proofErr w:type="gramStart"/>
      <w:r w:rsidRPr="003B3A71">
        <w:t>encoding(</w:t>
      </w:r>
      <w:proofErr w:type="gramEnd"/>
      <w:r w:rsidRPr="003B3A71">
        <w:t>#600))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 xml:space="preserve">value is not used when operating in that regulatory </w:t>
      </w:r>
      <w:proofErr w:type="gramStart"/>
      <w:r w:rsidRPr="003B3A71">
        <w:t>domain.(</w:t>
      </w:r>
      <w:proofErr w:type="gramEnd"/>
      <w:r w:rsidRPr="003B3A71">
        <w:t>#600)</w:t>
      </w:r>
    </w:p>
    <w:p w14:paraId="4A06889B" w14:textId="77B376F9" w:rsidR="00E91F1F" w:rsidRDefault="00E91F1F" w:rsidP="00CF1F13"/>
    <w:p w14:paraId="1FA65B20" w14:textId="68429CCE" w:rsidR="006F1786" w:rsidRPr="003A74F5" w:rsidRDefault="00E91F1F"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906"/>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10EB7FA6" w:rsidR="006F1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18" w:author="Brian Hart (brianh)" w:date="2023-04-27T16:27:00Z">
              <w:r>
                <w:t>6</w:t>
              </w:r>
            </w:ins>
            <w:del w:id="19"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1CC308B8" w:rsidR="006F1786" w:rsidRPr="006F1786" w:rsidRDefault="00FC4FA2" w:rsidP="006F1786">
            <w:ins w:id="20" w:author="Brian Hart (brianh)" w:date="2023-04-27T16:30:00Z">
              <w:r>
                <w:t>(#995)</w:t>
              </w:r>
            </w:ins>
            <w:ins w:id="21" w:author="Brian Hart (brianh)" w:date="2023-04-27T16:27:00Z">
              <w:r w:rsidR="006F1786">
                <w:t>7</w:t>
              </w:r>
            </w:ins>
          </w:p>
        </w:tc>
        <w:tc>
          <w:tcPr>
            <w:tcW w:w="8931" w:type="dxa"/>
          </w:tcPr>
          <w:p w14:paraId="04D0EDF5" w14:textId="68298F00" w:rsidR="006F1786" w:rsidRPr="006F1786" w:rsidRDefault="006F1786" w:rsidP="006F1786">
            <w:ins w:id="22" w:author="Brian Hart (brianh)" w:date="2023-04-27T16:28:00Z">
              <w:r>
                <w:t xml:space="preserve">None </w:t>
              </w:r>
              <w:r w:rsidR="00CF1F13">
                <w:t>of the above</w:t>
              </w:r>
            </w:ins>
          </w:p>
        </w:tc>
      </w:tr>
    </w:tbl>
    <w:p w14:paraId="0EAE5933" w14:textId="20CDCE50" w:rsidR="00E91F1F" w:rsidRDefault="00E91F1F" w:rsidP="006F1786">
      <w:pPr>
        <w:pStyle w:val="T"/>
        <w:spacing w:line="240" w:lineRule="auto"/>
        <w:rPr>
          <w:ins w:id="23" w:author="Brian Hart (brianh)" w:date="2023-04-27T16:43:00Z"/>
          <w:bCs/>
          <w:highlight w:val="yellow"/>
        </w:rPr>
      </w:pPr>
    </w:p>
    <w:p w14:paraId="12708BDC" w14:textId="173AB1F0" w:rsidR="00741886" w:rsidRDefault="00741886" w:rsidP="006F1786">
      <w:pPr>
        <w:pStyle w:val="T"/>
        <w:spacing w:line="240" w:lineRule="auto"/>
        <w:rPr>
          <w:ins w:id="24" w:author="Brian Hart (brianh)" w:date="2023-04-27T16:43:00Z"/>
          <w:bCs/>
          <w:highlight w:val="yellow"/>
        </w:rPr>
      </w:pPr>
    </w:p>
    <w:p w14:paraId="41C8FEC8" w14:textId="364124E9" w:rsidR="00741886" w:rsidRDefault="00741886" w:rsidP="006F1786">
      <w:pPr>
        <w:pStyle w:val="T"/>
        <w:spacing w:line="240" w:lineRule="auto"/>
        <w:rPr>
          <w:bCs/>
          <w:highlight w:val="yellow"/>
        </w:rPr>
      </w:pPr>
    </w:p>
    <w:p w14:paraId="4F810D45" w14:textId="5B00E0D2" w:rsidR="009A1015" w:rsidRDefault="009A1015" w:rsidP="009A1015">
      <w:pPr>
        <w:pStyle w:val="Heading1"/>
      </w:pPr>
      <w:r>
        <w:t>Urgent</w:t>
      </w:r>
      <w:r w:rsidR="00307751">
        <w:t xml:space="preserve"> and needs some </w:t>
      </w:r>
      <w:proofErr w:type="gramStart"/>
      <w:r w:rsidR="00307751">
        <w:t>discussion</w:t>
      </w:r>
      <w:proofErr w:type="gramEnd"/>
    </w:p>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7777777" w:rsidR="005038A1" w:rsidRPr="00B97AC2" w:rsidRDefault="005038A1" w:rsidP="00352F9B">
            <w:pPr>
              <w:rPr>
                <w:rFonts w:ascii="Arial" w:eastAsia="Times New Roman" w:hAnsi="Arial" w:cs="Arial"/>
                <w:sz w:val="20"/>
                <w:szCs w:val="20"/>
              </w:rPr>
            </w:pPr>
            <w:r>
              <w:rPr>
                <w:rFonts w:ascii="Arial" w:eastAsia="Times New Roman" w:hAnsi="Arial" w:cs="Arial"/>
                <w:sz w:val="20"/>
                <w:szCs w:val="20"/>
              </w:rPr>
              <w:t>993</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Here an Extended Channel Switch Announcement might be the least disruptive mechanism to switch from IAP to SPAP and vice versa, but 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2FB74B39" w14:textId="19A5121B" w:rsidR="005038A1" w:rsidRPr="00B97AC2" w:rsidRDefault="005038A1" w:rsidP="00352F9B">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#993 which substantially align with the commenter’s proposed resolution.</w:t>
            </w:r>
          </w:p>
        </w:tc>
      </w:tr>
    </w:tbl>
    <w:p w14:paraId="31901F92" w14:textId="77777777" w:rsidR="00146EFF" w:rsidRDefault="00146EFF" w:rsidP="00741886">
      <w:pPr>
        <w:pStyle w:val="T"/>
        <w:spacing w:line="240" w:lineRule="auto"/>
        <w:rPr>
          <w:bCs/>
          <w:highlight w:val="yellow"/>
        </w:rPr>
      </w:pPr>
    </w:p>
    <w:p w14:paraId="58CB16AA" w14:textId="77777777" w:rsidR="00741886" w:rsidRDefault="00741886" w:rsidP="00741886">
      <w:pPr>
        <w:pStyle w:val="T"/>
        <w:spacing w:line="240" w:lineRule="auto"/>
      </w:pPr>
      <w:r>
        <w:t>Dot11StaOperatesUnderControlOfIndoorAndSpApImplemented</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0A73CF68" w:rsidR="00B42483" w:rsidRDefault="009B5242" w:rsidP="00B42483">
            <w:pPr>
              <w:pStyle w:val="T"/>
              <w:spacing w:line="240" w:lineRule="auto"/>
            </w:pPr>
            <w:ins w:id="25" w:author="Brian Hart (brianh)" w:date="2023-04-27T16:47:00Z">
              <w:r>
                <w:t>(#</w:t>
              </w:r>
              <w:proofErr w:type="gramStart"/>
              <w:r>
                <w:t>993)</w:t>
              </w:r>
            </w:ins>
            <w:ins w:id="26" w:author="Brian Hart (brianh)" w:date="2023-04-27T16:45:00Z">
              <w:r w:rsidR="00B42483">
                <w:t>NoRegOrIndoor</w:t>
              </w:r>
            </w:ins>
            <w:proofErr w:type="gramEnd"/>
          </w:p>
        </w:tc>
        <w:tc>
          <w:tcPr>
            <w:tcW w:w="5315" w:type="dxa"/>
          </w:tcPr>
          <w:p w14:paraId="00029843" w14:textId="06929742" w:rsidR="00B42483" w:rsidRDefault="00865E0E" w:rsidP="00B42483">
            <w:pPr>
              <w:pStyle w:val="T"/>
              <w:spacing w:line="240" w:lineRule="auto"/>
            </w:pPr>
            <w:ins w:id="27" w:author="Brian Hart (brianh)" w:date="2023-04-27T16:45:00Z">
              <w:r>
                <w:t xml:space="preserve">No applicable </w:t>
              </w:r>
              <w:r w:rsidR="00B42483">
                <w:t xml:space="preserve">regulation or </w:t>
              </w:r>
              <w:r>
                <w:t xml:space="preserve">AP </w:t>
              </w:r>
              <w:r w:rsidR="00B42483">
                <w:t xml:space="preserve">is </w:t>
              </w:r>
            </w:ins>
            <w:ins w:id="28" w:author="Brian Hart (brianh)" w:date="2023-04-27T16:46:00Z">
              <w:r>
                <w:t xml:space="preserve">indicating that it is an </w:t>
              </w:r>
            </w:ins>
            <w:ins w:id="29" w:author="Brian Hart (brianh)" w:date="2023-04-27T16:45:00Z">
              <w:r w:rsidR="00B42483">
                <w:t>Indoor AP (see E.2.7)</w:t>
              </w:r>
            </w:ins>
          </w:p>
        </w:tc>
      </w:tr>
      <w:tr w:rsidR="00B42483" w14:paraId="2B448480" w14:textId="77777777" w:rsidTr="00352F9B">
        <w:tc>
          <w:tcPr>
            <w:tcW w:w="5315" w:type="dxa"/>
          </w:tcPr>
          <w:p w14:paraId="2681C751" w14:textId="27BBEB6C" w:rsidR="00B42483" w:rsidRDefault="00B42483" w:rsidP="00B42483">
            <w:pPr>
              <w:pStyle w:val="T"/>
              <w:spacing w:line="240" w:lineRule="auto"/>
            </w:pPr>
            <w:ins w:id="30" w:author="Brian Hart (brianh)" w:date="2023-04-27T16:45:00Z">
              <w:r>
                <w:t>SP</w:t>
              </w:r>
            </w:ins>
          </w:p>
        </w:tc>
        <w:tc>
          <w:tcPr>
            <w:tcW w:w="5315" w:type="dxa"/>
          </w:tcPr>
          <w:p w14:paraId="5BC83921" w14:textId="53CD2235" w:rsidR="00B42483" w:rsidRDefault="00B42483" w:rsidP="00B42483">
            <w:pPr>
              <w:pStyle w:val="T"/>
              <w:spacing w:line="240" w:lineRule="auto"/>
            </w:pPr>
            <w:ins w:id="31" w:author="Brian Hart (brianh)" w:date="2023-04-27T16:45:00Z">
              <w:r>
                <w:t xml:space="preserve">AP is </w:t>
              </w:r>
            </w:ins>
            <w:ins w:id="32" w:author="Brian Hart (brianh)" w:date="2023-04-27T16:46:00Z">
              <w:r w:rsidR="00865E0E">
                <w:t xml:space="preserve">indicating that it is </w:t>
              </w:r>
            </w:ins>
            <w:ins w:id="33"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t>Table E-4—Global operating classes</w:t>
      </w:r>
    </w:p>
    <w:tbl>
      <w:tblPr>
        <w:tblStyle w:val="TableGrid"/>
        <w:tblW w:w="5000" w:type="pct"/>
        <w:tblLook w:val="04A0" w:firstRow="1" w:lastRow="0" w:firstColumn="1" w:lastColumn="0" w:noHBand="0" w:noVBand="1"/>
      </w:tblPr>
      <w:tblGrid>
        <w:gridCol w:w="1459"/>
        <w:gridCol w:w="1533"/>
        <w:gridCol w:w="1462"/>
        <w:gridCol w:w="1256"/>
        <w:gridCol w:w="1256"/>
        <w:gridCol w:w="1462"/>
        <w:gridCol w:w="2202"/>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1, 5, 9, 13, 17, 21, 25, 29, 33, 37, 41, 45, 49, 53, 57, 61, 65, 69, 73, 77, 81, 85, 89, 93, 97, 101, 105, 109, 113, 117, 121, 125, 129, 133, 137, 141, 145, 149, 153, 157, 161, 165, 169, 173, 177, 181, 185, 189, 193, 197, 201, 205, 209, 213, 217, 221, 225, 229, 233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t>-</w:t>
            </w:r>
          </w:p>
        </w:tc>
        <w:tc>
          <w:tcPr>
            <w:tcW w:w="764" w:type="pct"/>
          </w:tcPr>
          <w:p w14:paraId="7B1EBAF8" w14:textId="252801E4" w:rsidR="00146EFF" w:rsidRPr="00462079" w:rsidRDefault="009B5242" w:rsidP="00146EFF">
            <w:ins w:id="34" w:author="Brian Hart (brianh)" w:date="2023-04-27T16:47:00Z">
              <w:r>
                <w:t>(#</w:t>
              </w:r>
              <w:proofErr w:type="gramStart"/>
              <w:r>
                <w:t>993)</w:t>
              </w:r>
            </w:ins>
            <w:ins w:id="35" w:author="Brian Hart (brianh)" w:date="2023-04-27T16:43:00Z">
              <w:r w:rsidR="00146EFF">
                <w:t>NoRegOrIndoor</w:t>
              </w:r>
            </w:ins>
            <w:proofErr w:type="gramEnd"/>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 xml:space="preserve">3, 11, 19, 27, 35, 43, 51, 59, 67, 75, 83, 91, 99, 107, 115, 123, 131, 139, 147, 155, 163, 171, 179, 187, </w:t>
            </w:r>
            <w:r>
              <w:lastRenderedPageBreak/>
              <w:t>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proofErr w:type="spellStart"/>
            <w:ins w:id="36" w:author="Brian Hart (brianh)" w:date="2023-04-27T16:43:00Z">
              <w:r>
                <w:t>NoRegOrIndoor</w:t>
              </w:r>
            </w:ins>
            <w:proofErr w:type="spellEnd"/>
          </w:p>
        </w:tc>
      </w:tr>
      <w:tr w:rsidR="00146EFF" w:rsidRPr="00462079" w14:paraId="0B64EE21" w14:textId="77777777" w:rsidTr="00352F9B">
        <w:tc>
          <w:tcPr>
            <w:tcW w:w="732" w:type="pct"/>
          </w:tcPr>
          <w:p w14:paraId="5139F765" w14:textId="77777777" w:rsidR="00146EFF" w:rsidRDefault="00146EFF" w:rsidP="00146EFF">
            <w:r>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proofErr w:type="spellStart"/>
            <w:ins w:id="37" w:author="Brian Hart (brianh)" w:date="2023-04-27T16:43:00Z">
              <w:r>
                <w:t>NoRegOrIndoor</w:t>
              </w:r>
            </w:ins>
            <w:proofErr w:type="spellEnd"/>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proofErr w:type="spellStart"/>
            <w:ins w:id="38" w:author="Brian Hart (brianh)" w:date="2023-04-27T16:43:00Z">
              <w:r>
                <w:t>NoRegOrIndoor</w:t>
              </w:r>
            </w:ins>
            <w:proofErr w:type="spellEnd"/>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7, 23, 39, 55, 71, 87, 103, 119, 135, 151, 167, 183, 199, 215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39" w:author="Brian Hart (brianh)" w:date="2023-04-27T16:43:00Z">
              <w:r>
                <w:t xml:space="preserve">, </w:t>
              </w:r>
              <w:proofErr w:type="spellStart"/>
              <w:r>
                <w:t>NoRegOrIndoor</w:t>
              </w:r>
            </w:ins>
            <w:proofErr w:type="spellEnd"/>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proofErr w:type="spellStart"/>
            <w:ins w:id="40" w:author="Brian Hart (brianh)" w:date="2023-04-27T16:43:00Z">
              <w:r>
                <w:t>NoRegOrIndoor</w:t>
              </w:r>
            </w:ins>
            <w:proofErr w:type="spellEnd"/>
          </w:p>
        </w:tc>
      </w:tr>
      <w:tr w:rsidR="00146EFF" w:rsidRPr="00462079" w14:paraId="0998E487" w14:textId="77777777" w:rsidTr="00352F9B">
        <w:tc>
          <w:tcPr>
            <w:tcW w:w="732" w:type="pct"/>
          </w:tcPr>
          <w:p w14:paraId="0AA1F55D" w14:textId="1D0D1858" w:rsidR="00146EFF" w:rsidRDefault="009B5242" w:rsidP="00146EFF">
            <w:ins w:id="41" w:author="Brian Hart (brianh)" w:date="2023-04-27T16:47:00Z">
              <w:r>
                <w:t>(#</w:t>
              </w:r>
              <w:proofErr w:type="gramStart"/>
              <w:r>
                <w:t>993)</w:t>
              </w:r>
            </w:ins>
            <w:ins w:id="42" w:author="Brian Hart (brianh)" w:date="2023-04-27T16:40:00Z">
              <w:r w:rsidR="00146EFF">
                <w:t>&lt;</w:t>
              </w:r>
              <w:proofErr w:type="gramEnd"/>
              <w:r w:rsidR="00146EFF">
                <w: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43" w:author="Brian Hart (brianh)" w:date="2023-04-27T16:40:00Z">
              <w:r>
                <w:t>5.950</w:t>
              </w:r>
            </w:ins>
          </w:p>
        </w:tc>
        <w:tc>
          <w:tcPr>
            <w:tcW w:w="636" w:type="pct"/>
          </w:tcPr>
          <w:p w14:paraId="46C48499" w14:textId="1EF028CD" w:rsidR="00146EFF" w:rsidRDefault="00146EFF" w:rsidP="00146EFF">
            <w:ins w:id="44" w:author="Brian Hart (brianh)" w:date="2023-04-27T16:40:00Z">
              <w:r>
                <w:t>20</w:t>
              </w:r>
            </w:ins>
          </w:p>
        </w:tc>
        <w:tc>
          <w:tcPr>
            <w:tcW w:w="636" w:type="pct"/>
          </w:tcPr>
          <w:p w14:paraId="7C1FA9A9" w14:textId="7E5A0F68" w:rsidR="00146EFF" w:rsidRDefault="00146EFF" w:rsidP="00146EFF">
            <w:ins w:id="45" w:author="Brian Hart (brianh)" w:date="2023-04-27T16:40:00Z">
              <w:r>
                <w:t xml:space="preserve">1, 5, 9, 13, 17, 21, 25, 29, 33, 37, 41, 45, 49, 53, 57, 61, 65, 69, 73, 77, 81, 85, 89, 93, 97, 101, 105, 109, 113, 117, 121, 125, 129, 133, 137, 141, 145, 149, 153, 157, 161, 165, 169, 173, 177, 181, 185, 189, 193, 197, 201, 205, 209, 213, 217, </w:t>
              </w:r>
              <w:r>
                <w:lastRenderedPageBreak/>
                <w:t>221, 225, 229, 233</w:t>
              </w:r>
            </w:ins>
          </w:p>
        </w:tc>
        <w:tc>
          <w:tcPr>
            <w:tcW w:w="733" w:type="pct"/>
          </w:tcPr>
          <w:p w14:paraId="65BCAE8E" w14:textId="600E038D" w:rsidR="00146EFF" w:rsidRDefault="00146EFF" w:rsidP="00146EFF">
            <w:ins w:id="46" w:author="Brian Hart (brianh)" w:date="2023-04-27T16:40:00Z">
              <w:r>
                <w:lastRenderedPageBreak/>
                <w:t>-</w:t>
              </w:r>
            </w:ins>
          </w:p>
        </w:tc>
        <w:tc>
          <w:tcPr>
            <w:tcW w:w="764" w:type="pct"/>
          </w:tcPr>
          <w:p w14:paraId="128168A9" w14:textId="14AB16B6" w:rsidR="00146EFF" w:rsidRPr="00462079" w:rsidRDefault="00146EFF" w:rsidP="00146EFF">
            <w:ins w:id="47"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48"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49" w:author="Brian Hart (brianh)" w:date="2023-04-27T16:40:00Z">
              <w:r>
                <w:t>5.950</w:t>
              </w:r>
            </w:ins>
          </w:p>
        </w:tc>
        <w:tc>
          <w:tcPr>
            <w:tcW w:w="636" w:type="pct"/>
          </w:tcPr>
          <w:p w14:paraId="20440D66" w14:textId="534C827C" w:rsidR="00146EFF" w:rsidRDefault="00146EFF" w:rsidP="00146EFF">
            <w:ins w:id="50" w:author="Brian Hart (brianh)" w:date="2023-04-27T16:40:00Z">
              <w:r>
                <w:t>40</w:t>
              </w:r>
            </w:ins>
          </w:p>
        </w:tc>
        <w:tc>
          <w:tcPr>
            <w:tcW w:w="636" w:type="pct"/>
          </w:tcPr>
          <w:p w14:paraId="6DC2C56A" w14:textId="3936BDA4" w:rsidR="00146EFF" w:rsidRDefault="00146EFF" w:rsidP="00146EFF">
            <w:ins w:id="51" w:author="Brian Hart (brianh)" w:date="2023-04-27T16:40:00Z">
              <w:r>
                <w:t>3, 11, 19, 27, 35, 43, 51, 59, 67, 75, 83, 91, 99, 107, 115, 123, 131, 139, 147, 155, 163, 171, 179, 187, 195, 203, 211, 219, 227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52"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53"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54" w:author="Brian Hart (brianh)" w:date="2023-04-27T16:40:00Z">
              <w:r>
                <w:t>5.950</w:t>
              </w:r>
            </w:ins>
          </w:p>
        </w:tc>
        <w:tc>
          <w:tcPr>
            <w:tcW w:w="636" w:type="pct"/>
          </w:tcPr>
          <w:p w14:paraId="36B5C313" w14:textId="55D08E3C" w:rsidR="00146EFF" w:rsidRDefault="00146EFF" w:rsidP="00146EFF">
            <w:ins w:id="55" w:author="Brian Hart (brianh)" w:date="2023-04-27T16:40:00Z">
              <w:r>
                <w:t>80</w:t>
              </w:r>
            </w:ins>
          </w:p>
        </w:tc>
        <w:tc>
          <w:tcPr>
            <w:tcW w:w="636" w:type="pct"/>
          </w:tcPr>
          <w:p w14:paraId="76097C67" w14:textId="3CED683E" w:rsidR="00146EFF" w:rsidRDefault="00146EFF" w:rsidP="00146EFF">
            <w:ins w:id="56" w:author="Brian Hart (brianh)" w:date="2023-04-27T16:40:00Z">
              <w:r>
                <w:t>7, 23, 39, 55, 71, 87, 103, 119, 135, 151, 167, 183, 199, 215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57"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58"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59" w:author="Brian Hart (brianh)" w:date="2023-04-27T16:40:00Z">
              <w:r>
                <w:t>5.950</w:t>
              </w:r>
            </w:ins>
          </w:p>
        </w:tc>
        <w:tc>
          <w:tcPr>
            <w:tcW w:w="636" w:type="pct"/>
          </w:tcPr>
          <w:p w14:paraId="1653DFAF" w14:textId="55EDB326" w:rsidR="00146EFF" w:rsidRDefault="00146EFF" w:rsidP="00146EFF">
            <w:ins w:id="60" w:author="Brian Hart (brianh)" w:date="2023-04-27T16:40:00Z">
              <w:r>
                <w:t>160</w:t>
              </w:r>
            </w:ins>
          </w:p>
        </w:tc>
        <w:tc>
          <w:tcPr>
            <w:tcW w:w="636" w:type="pct"/>
          </w:tcPr>
          <w:p w14:paraId="2AB8ECE8" w14:textId="1AFEA168" w:rsidR="00146EFF" w:rsidRDefault="00146EFF" w:rsidP="00146EFF">
            <w:ins w:id="61"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62"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63"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64" w:author="Brian Hart (brianh)" w:date="2023-04-27T16:40:00Z">
              <w:r>
                <w:t>5.950</w:t>
              </w:r>
            </w:ins>
          </w:p>
        </w:tc>
        <w:tc>
          <w:tcPr>
            <w:tcW w:w="636" w:type="pct"/>
          </w:tcPr>
          <w:p w14:paraId="381D82B4" w14:textId="5010262C" w:rsidR="00146EFF" w:rsidRDefault="00146EFF" w:rsidP="00146EFF">
            <w:ins w:id="65" w:author="Brian Hart (brianh)" w:date="2023-04-27T16:40:00Z">
              <w:r>
                <w:t>80</w:t>
              </w:r>
            </w:ins>
          </w:p>
        </w:tc>
        <w:tc>
          <w:tcPr>
            <w:tcW w:w="636" w:type="pct"/>
          </w:tcPr>
          <w:p w14:paraId="5F2C013D" w14:textId="16954033" w:rsidR="00146EFF" w:rsidRDefault="00146EFF" w:rsidP="00146EFF">
            <w:ins w:id="66"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67"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68"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69" w:author="Brian Hart (brianh)" w:date="2023-04-27T16:40:00Z">
              <w:r>
                <w:t>5.925</w:t>
              </w:r>
            </w:ins>
          </w:p>
        </w:tc>
        <w:tc>
          <w:tcPr>
            <w:tcW w:w="636" w:type="pct"/>
          </w:tcPr>
          <w:p w14:paraId="6756648C" w14:textId="69E5438B" w:rsidR="00146EFF" w:rsidRDefault="00146EFF" w:rsidP="00146EFF">
            <w:ins w:id="70" w:author="Brian Hart (brianh)" w:date="2023-04-27T16:40:00Z">
              <w:r>
                <w:t>20</w:t>
              </w:r>
            </w:ins>
          </w:p>
        </w:tc>
        <w:tc>
          <w:tcPr>
            <w:tcW w:w="636" w:type="pct"/>
          </w:tcPr>
          <w:p w14:paraId="785C3EE0" w14:textId="1B5D21CF" w:rsidR="00146EFF" w:rsidRDefault="00146EFF" w:rsidP="00146EFF">
            <w:ins w:id="71"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72"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29B21E89" w:rsidR="0085472E" w:rsidRDefault="0085472E" w:rsidP="0085472E">
      <w:pPr>
        <w:pStyle w:val="Heading1"/>
      </w:pPr>
      <w:r>
        <w:lastRenderedPageBreak/>
        <w:t>Other</w:t>
      </w:r>
    </w:p>
    <w:tbl>
      <w:tblPr>
        <w:tblStyle w:val="TableGrid"/>
        <w:tblW w:w="0" w:type="auto"/>
        <w:tblLook w:val="04A0" w:firstRow="1" w:lastRow="0" w:firstColumn="1" w:lastColumn="0" w:noHBand="0" w:noVBand="1"/>
      </w:tblPr>
      <w:tblGrid>
        <w:gridCol w:w="551"/>
        <w:gridCol w:w="2938"/>
        <w:gridCol w:w="661"/>
        <w:gridCol w:w="683"/>
        <w:gridCol w:w="439"/>
        <w:gridCol w:w="2373"/>
        <w:gridCol w:w="2985"/>
      </w:tblGrid>
      <w:tr w:rsidR="00A502F3" w:rsidRPr="00E3041E" w14:paraId="25668537" w14:textId="4BFDECD3" w:rsidTr="00F869CB">
        <w:trPr>
          <w:trHeight w:val="4800"/>
        </w:trPr>
        <w:tc>
          <w:tcPr>
            <w:tcW w:w="0" w:type="auto"/>
          </w:tcPr>
          <w:p w14:paraId="2ECDB964" w14:textId="05D189E9" w:rsidR="00F869CB" w:rsidRPr="00E3041E" w:rsidRDefault="00F869CB" w:rsidP="00E3041E">
            <w:pPr>
              <w:rPr>
                <w:rFonts w:ascii="Calibri" w:eastAsia="Times New Roman" w:hAnsi="Calibri" w:cs="Calibri"/>
              </w:rPr>
            </w:pPr>
            <w:r>
              <w:rPr>
                <w:rFonts w:ascii="Calibri" w:eastAsia="Times New Roman" w:hAnsi="Calibri" w:cs="Calibri"/>
              </w:rPr>
              <w:t>991</w:t>
            </w:r>
          </w:p>
        </w:tc>
        <w:tc>
          <w:tcPr>
            <w:tcW w:w="0" w:type="auto"/>
            <w:hideMark/>
          </w:tcPr>
          <w:p w14:paraId="46849DB2" w14:textId="44CE061F" w:rsidR="00F869CB" w:rsidRPr="00E3041E" w:rsidRDefault="00F869CB" w:rsidP="00E3041E">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is not known to the controller, nor is it met if a std for the regulated spectrum somehow prevents the controller from exercising any control over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as some kind of controller behavior by the AP. </w:t>
            </w:r>
          </w:p>
        </w:tc>
        <w:tc>
          <w:tcPr>
            <w:tcW w:w="0" w:type="auto"/>
            <w:hideMark/>
          </w:tcPr>
          <w:p w14:paraId="3DC18C8C"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4539A83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4FF7C350"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6F0CB2C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67732F9E" w14:textId="5D9FADD8"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Revised.</w:t>
            </w:r>
            <w:r w:rsidR="005038A1">
              <w:rPr>
                <w:rFonts w:ascii="Arial" w:eastAsia="Times New Roman" w:hAnsi="Arial" w:cs="Arial"/>
                <w:sz w:val="20"/>
                <w:szCs w:val="20"/>
              </w:rPr>
              <w:t xml:space="preserve"> </w:t>
            </w:r>
            <w:r w:rsidR="00F869CB">
              <w:rPr>
                <w:rFonts w:ascii="Arial" w:eastAsia="Times New Roman" w:hAnsi="Arial" w:cs="Arial"/>
                <w:sz w:val="20"/>
                <w:szCs w:val="20"/>
              </w:rPr>
              <w:t xml:space="preserve">The commenter is concerned that </w:t>
            </w:r>
            <w:r w:rsidR="00950B65">
              <w:rPr>
                <w:rFonts w:ascii="Arial" w:eastAsia="Times New Roman" w:hAnsi="Arial" w:cs="Arial"/>
                <w:sz w:val="20"/>
                <w:szCs w:val="20"/>
              </w:rPr>
              <w:t xml:space="preserve">controller’s hands are tied by the standard such that it cannot function as a controller.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sidR="00950B65">
              <w:rPr>
                <w:rFonts w:ascii="Arial" w:eastAsia="Times New Roman" w:hAnsi="Arial" w:cs="Arial"/>
                <w:sz w:val="20"/>
                <w:szCs w:val="20"/>
              </w:rPr>
              <w:t xml:space="preserve"> under this CID which substantially address this concern</w:t>
            </w:r>
            <w:r w:rsidR="00202995">
              <w:rPr>
                <w:rFonts w:ascii="Arial" w:eastAsia="Times New Roman" w:hAnsi="Arial" w:cs="Arial"/>
                <w:sz w:val="20"/>
                <w:szCs w:val="20"/>
              </w:rPr>
              <w:t xml:space="preserve"> (but in a different part of the text)</w:t>
            </w:r>
            <w:r w:rsidR="00950B65">
              <w:rPr>
                <w:rFonts w:ascii="Arial" w:eastAsia="Times New Roman" w:hAnsi="Arial" w:cs="Arial"/>
                <w:sz w:val="20"/>
                <w:szCs w:val="20"/>
              </w:rPr>
              <w:t>.</w:t>
            </w:r>
          </w:p>
        </w:tc>
      </w:tr>
      <w:tr w:rsidR="00A502F3" w:rsidRPr="00E3041E" w14:paraId="607762C7" w14:textId="31E954E2" w:rsidTr="00F869CB">
        <w:trPr>
          <w:trHeight w:val="3315"/>
        </w:trPr>
        <w:tc>
          <w:tcPr>
            <w:tcW w:w="0" w:type="auto"/>
          </w:tcPr>
          <w:p w14:paraId="762E0F70" w14:textId="309E9B99" w:rsidR="00F869CB" w:rsidRPr="00E3041E" w:rsidRDefault="00F869CB" w:rsidP="00E3041E">
            <w:pPr>
              <w:rPr>
                <w:rFonts w:ascii="Arial" w:eastAsia="Times New Roman" w:hAnsi="Arial" w:cs="Arial"/>
                <w:sz w:val="20"/>
                <w:szCs w:val="20"/>
              </w:rPr>
            </w:pPr>
            <w:r>
              <w:rPr>
                <w:rFonts w:ascii="Arial" w:eastAsia="Times New Roman" w:hAnsi="Arial" w:cs="Arial"/>
                <w:sz w:val="20"/>
                <w:szCs w:val="20"/>
              </w:rPr>
              <w:t>992</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E3041E">
              <w:rPr>
                <w:rFonts w:ascii="Arial" w:eastAsia="Times New Roman" w:hAnsi="Arial" w:cs="Arial"/>
                <w:sz w:val="20"/>
                <w:szCs w:val="20"/>
              </w:rPr>
              <w:t>time,  this</w:t>
            </w:r>
            <w:proofErr w:type="gramEnd"/>
            <w:r w:rsidRPr="00E3041E">
              <w:rPr>
                <w:rFonts w:ascii="Arial" w:eastAsia="Times New Roman" w:hAnsi="Arial" w:cs="Arial"/>
                <w:sz w:val="20"/>
                <w:szCs w:val="20"/>
              </w:rPr>
              <w:t xml:space="preserve"> was never anticipated and the consistent message from FCC Labs (OET) has been that this is disallowed. </w:t>
            </w:r>
            <w:proofErr w:type="gramStart"/>
            <w:r w:rsidRPr="00E3041E">
              <w:rPr>
                <w:rFonts w:ascii="Arial" w:eastAsia="Times New Roman" w:hAnsi="Arial" w:cs="Arial"/>
                <w:sz w:val="20"/>
                <w:szCs w:val="20"/>
              </w:rPr>
              <w:t>Instead</w:t>
            </w:r>
            <w:proofErr w:type="gramEnd"/>
            <w:r w:rsidRPr="00E3041E">
              <w:rPr>
                <w:rFonts w:ascii="Arial" w:eastAsia="Times New Roman" w:hAnsi="Arial" w:cs="Arial"/>
                <w:sz w:val="20"/>
                <w:szCs w:val="20"/>
              </w:rPr>
              <w:t xml:space="preserve"> FCC Labs expect a SPAP to IAP mode switch (and vice versa) to require an AP reboot or (perhaps) at least the BSS to be brought down and up again. 2) Then we don't see any regulatory use for values 3 and 4 in Table E-12, and they are misleading in that they imply 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4FFE8366" w14:textId="5CEBB82F" w:rsidR="00EF5A59" w:rsidRDefault="00EF5A59" w:rsidP="00EF5A59">
            <w:pPr>
              <w:rPr>
                <w:rFonts w:ascii="Arial" w:eastAsia="Times New Roman" w:hAnsi="Arial" w:cs="Arial"/>
                <w:sz w:val="20"/>
                <w:szCs w:val="20"/>
              </w:rPr>
            </w:pPr>
            <w:r>
              <w:rPr>
                <w:rFonts w:ascii="Arial" w:eastAsia="Times New Roman" w:hAnsi="Arial" w:cs="Arial"/>
                <w:sz w:val="20"/>
                <w:szCs w:val="20"/>
              </w:rPr>
              <w:t xml:space="preserve">DISCUSSION: </w:t>
            </w:r>
            <w:r w:rsidR="0010487E">
              <w:rPr>
                <w:rFonts w:ascii="Arial" w:eastAsia="Times New Roman" w:hAnsi="Arial" w:cs="Arial"/>
                <w:sz w:val="20"/>
                <w:szCs w:val="20"/>
              </w:rPr>
              <w:t xml:space="preserve">for value 3, </w:t>
            </w:r>
            <w:r>
              <w:rPr>
                <w:rFonts w:ascii="Arial" w:eastAsia="Times New Roman" w:hAnsi="Arial" w:cs="Arial"/>
                <w:sz w:val="20"/>
                <w:szCs w:val="20"/>
              </w:rPr>
              <w:t xml:space="preserve">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996 </w:t>
            </w:r>
            <w:proofErr w:type="gramStart"/>
            <w:r>
              <w:rPr>
                <w:rFonts w:ascii="Arial" w:eastAsia="Times New Roman" w:hAnsi="Arial" w:cs="Arial"/>
                <w:sz w:val="20"/>
                <w:szCs w:val="20"/>
              </w:rPr>
              <w:t>path</w:t>
            </w:r>
            <w:proofErr w:type="gramEnd"/>
            <w:r>
              <w:rPr>
                <w:rFonts w:ascii="Arial" w:eastAsia="Times New Roman" w:hAnsi="Arial" w:cs="Arial"/>
                <w:sz w:val="20"/>
                <w:szCs w:val="20"/>
              </w:rPr>
              <w:t>.</w:t>
            </w:r>
          </w:p>
          <w:p w14:paraId="6E648688" w14:textId="59894AD7" w:rsidR="00EF5A59" w:rsidRDefault="00B96446" w:rsidP="00E3041E">
            <w:pPr>
              <w:rPr>
                <w:rFonts w:ascii="Arial" w:eastAsia="Times New Roman" w:hAnsi="Arial" w:cs="Arial"/>
                <w:sz w:val="20"/>
                <w:szCs w:val="20"/>
              </w:rPr>
            </w:pPr>
            <w:r>
              <w:rPr>
                <w:rFonts w:ascii="Arial" w:eastAsia="Times New Roman" w:hAnsi="Arial" w:cs="Arial"/>
                <w:sz w:val="20"/>
                <w:szCs w:val="20"/>
              </w:rPr>
              <w:t>---</w:t>
            </w:r>
          </w:p>
          <w:p w14:paraId="7680C27B" w14:textId="218A12D5" w:rsidR="004D411A" w:rsidRDefault="009F456C" w:rsidP="00E3041E">
            <w:pPr>
              <w:rPr>
                <w:rFonts w:ascii="Arial" w:eastAsia="Times New Roman" w:hAnsi="Arial" w:cs="Arial"/>
                <w:sz w:val="20"/>
                <w:szCs w:val="20"/>
              </w:rPr>
            </w:pPr>
            <w:r>
              <w:rPr>
                <w:rFonts w:ascii="Arial" w:eastAsia="Times New Roman" w:hAnsi="Arial" w:cs="Arial"/>
                <w:sz w:val="20"/>
                <w:szCs w:val="20"/>
              </w:rPr>
              <w:t>Accepted</w:t>
            </w:r>
            <w:r w:rsidR="004D411A">
              <w:rPr>
                <w:rFonts w:ascii="Arial" w:eastAsia="Times New Roman" w:hAnsi="Arial" w:cs="Arial"/>
                <w:sz w:val="20"/>
                <w:szCs w:val="20"/>
              </w:rPr>
              <w:t xml:space="preserve"> </w:t>
            </w:r>
          </w:p>
          <w:p w14:paraId="74F02FD3" w14:textId="77777777" w:rsidR="004D411A" w:rsidRDefault="004D411A" w:rsidP="00E3041E">
            <w:pPr>
              <w:rPr>
                <w:rFonts w:ascii="Arial" w:eastAsia="Times New Roman" w:hAnsi="Arial" w:cs="Arial"/>
                <w:sz w:val="20"/>
                <w:szCs w:val="20"/>
              </w:rPr>
            </w:pPr>
          </w:p>
          <w:p w14:paraId="5F6A2C94" w14:textId="6E15AE76"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(Shown below under #992</w:t>
            </w:r>
            <w:r w:rsidR="00111165">
              <w:rPr>
                <w:rFonts w:ascii="Arial" w:eastAsia="Times New Roman" w:hAnsi="Arial" w:cs="Arial"/>
                <w:sz w:val="20"/>
                <w:szCs w:val="20"/>
              </w:rPr>
              <w:t>.3 for value 3</w:t>
            </w:r>
            <w:r w:rsidR="00EB5554">
              <w:rPr>
                <w:rFonts w:ascii="Arial" w:eastAsia="Times New Roman" w:hAnsi="Arial" w:cs="Arial"/>
                <w:sz w:val="20"/>
                <w:szCs w:val="20"/>
              </w:rPr>
              <w:t xml:space="preserve"> and the text after note 2, </w:t>
            </w:r>
            <w:r w:rsidR="00111165">
              <w:rPr>
                <w:rFonts w:ascii="Arial" w:eastAsia="Times New Roman" w:hAnsi="Arial" w:cs="Arial"/>
                <w:sz w:val="20"/>
                <w:szCs w:val="20"/>
              </w:rPr>
              <w:t xml:space="preserve">and #992.4 </w:t>
            </w:r>
            <w:r w:rsidR="003631C6">
              <w:rPr>
                <w:rFonts w:ascii="Arial" w:eastAsia="Times New Roman" w:hAnsi="Arial" w:cs="Arial"/>
                <w:sz w:val="20"/>
                <w:szCs w:val="20"/>
              </w:rPr>
              <w:t xml:space="preserve">for value 4 </w:t>
            </w:r>
            <w:r w:rsidR="00111165">
              <w:rPr>
                <w:rFonts w:ascii="Arial" w:eastAsia="Times New Roman" w:hAnsi="Arial" w:cs="Arial"/>
                <w:sz w:val="20"/>
                <w:szCs w:val="20"/>
              </w:rPr>
              <w:t>and note 2</w:t>
            </w:r>
            <w:r>
              <w:rPr>
                <w:rFonts w:ascii="Arial" w:eastAsia="Times New Roman" w:hAnsi="Arial" w:cs="Arial"/>
                <w:sz w:val="20"/>
                <w:szCs w:val="20"/>
              </w:rPr>
              <w:t>)</w:t>
            </w:r>
          </w:p>
        </w:tc>
      </w:tr>
      <w:tr w:rsidR="00A502F3" w:rsidRPr="00E3041E" w14:paraId="607F658A" w14:textId="419B75BE" w:rsidTr="00F869CB">
        <w:trPr>
          <w:trHeight w:val="3060"/>
        </w:trPr>
        <w:tc>
          <w:tcPr>
            <w:tcW w:w="0" w:type="auto"/>
          </w:tcPr>
          <w:p w14:paraId="14C9B376" w14:textId="538DCF79" w:rsidR="00F869CB" w:rsidRPr="00E3041E" w:rsidRDefault="00F869CB" w:rsidP="00E3041E">
            <w:pPr>
              <w:rPr>
                <w:rFonts w:ascii="Arial" w:eastAsia="Times New Roman" w:hAnsi="Arial" w:cs="Arial"/>
                <w:sz w:val="20"/>
                <w:szCs w:val="20"/>
              </w:rPr>
            </w:pPr>
            <w:r>
              <w:rPr>
                <w:rFonts w:ascii="Arial" w:eastAsia="Times New Roman" w:hAnsi="Arial" w:cs="Arial"/>
                <w:sz w:val="20"/>
                <w:szCs w:val="20"/>
              </w:rPr>
              <w:lastRenderedPageBreak/>
              <w:t>996</w:t>
            </w:r>
          </w:p>
        </w:tc>
        <w:tc>
          <w:tcPr>
            <w:tcW w:w="0" w:type="auto"/>
            <w:hideMark/>
          </w:tcPr>
          <w:p w14:paraId="379E8634" w14:textId="2FF63E88"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Part 15 refers to "under the control of an indoor/SP AP" which maps well to association (with VHT/HE/EHT </w:t>
            </w:r>
            <w:proofErr w:type="spellStart"/>
            <w:r w:rsidRPr="00E3041E">
              <w:rPr>
                <w:rFonts w:ascii="Arial" w:eastAsia="Times New Roman" w:hAnsi="Arial" w:cs="Arial"/>
                <w:sz w:val="20"/>
                <w:szCs w:val="20"/>
              </w:rPr>
              <w:t>Operaiotn</w:t>
            </w:r>
            <w:proofErr w:type="spellEnd"/>
            <w:r w:rsidRPr="00E3041E">
              <w:rPr>
                <w:rFonts w:ascii="Arial" w:eastAsia="Times New Roman" w:hAnsi="Arial" w:cs="Arial"/>
                <w:sz w:val="20"/>
                <w:szCs w:val="20"/>
              </w:rPr>
              <w:t xml:space="preserve"> element, TPE, EDCA parameters, </w:t>
            </w:r>
            <w:proofErr w:type="spellStart"/>
            <w:r w:rsidRPr="00E3041E">
              <w:rPr>
                <w:rFonts w:ascii="Arial" w:eastAsia="Times New Roman" w:hAnsi="Arial" w:cs="Arial"/>
                <w:sz w:val="20"/>
                <w:szCs w:val="20"/>
              </w:rPr>
              <w:t>etc</w:t>
            </w:r>
            <w:proofErr w:type="spellEnd"/>
            <w:r w:rsidRPr="00E3041E">
              <w:rPr>
                <w:rFonts w:ascii="Arial" w:eastAsia="Times New Roman" w:hAnsi="Arial" w:cs="Arial"/>
                <w:sz w:val="20"/>
                <w:szCs w:val="20"/>
              </w:rPr>
              <w:t>). As well, for certain use cases (</w:t>
            </w:r>
            <w:proofErr w:type="gramStart"/>
            <w:r w:rsidRPr="00E3041E">
              <w:rPr>
                <w:rFonts w:ascii="Arial" w:eastAsia="Times New Roman" w:hAnsi="Arial" w:cs="Arial"/>
                <w:sz w:val="20"/>
                <w:szCs w:val="20"/>
              </w:rPr>
              <w:t>e.g.</w:t>
            </w:r>
            <w:proofErr w:type="gramEnd"/>
            <w:r w:rsidRPr="00E3041E">
              <w:rPr>
                <w:rFonts w:ascii="Arial" w:eastAsia="Times New Roman" w:hAnsi="Arial" w:cs="Arial"/>
                <w:sz w:val="20"/>
                <w:szCs w:val="20"/>
              </w:rPr>
              <w:t xml:space="preserve">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30C75D36"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6B4FA0FA"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68DF982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64DCB10F"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Define one or more of the following as the mechanisms by which an AP controls unassociated/P2P traffic in 6 GHz: a) DLS, b) Channel Usage </w:t>
            </w:r>
            <w:proofErr w:type="spellStart"/>
            <w:r w:rsidRPr="00E3041E">
              <w:rPr>
                <w:rFonts w:ascii="Arial" w:eastAsia="Times New Roman" w:hAnsi="Arial" w:cs="Arial"/>
                <w:sz w:val="20"/>
                <w:szCs w:val="20"/>
              </w:rPr>
              <w:t>Requst</w:t>
            </w:r>
            <w:proofErr w:type="spellEnd"/>
            <w:r w:rsidRPr="00E3041E">
              <w:rPr>
                <w:rFonts w:ascii="Arial" w:eastAsia="Times New Roman" w:hAnsi="Arial" w:cs="Arial"/>
                <w:sz w:val="20"/>
                <w:szCs w:val="20"/>
              </w:rPr>
              <w:t>/Response frame, c) some new protocol.</w:t>
            </w:r>
          </w:p>
        </w:tc>
        <w:tc>
          <w:tcPr>
            <w:tcW w:w="0" w:type="auto"/>
          </w:tcPr>
          <w:p w14:paraId="39D47066" w14:textId="2C5EC7C2" w:rsidR="00EF5A59" w:rsidRDefault="00EF5A59" w:rsidP="00A502F3">
            <w:pPr>
              <w:rPr>
                <w:rFonts w:ascii="Arial" w:eastAsia="Times New Roman" w:hAnsi="Arial" w:cs="Arial"/>
                <w:sz w:val="20"/>
                <w:szCs w:val="20"/>
              </w:rPr>
            </w:pPr>
            <w:r>
              <w:rPr>
                <w:rFonts w:ascii="Arial" w:eastAsia="Times New Roman" w:hAnsi="Arial" w:cs="Arial"/>
                <w:sz w:val="20"/>
                <w:szCs w:val="20"/>
              </w:rPr>
              <w:t xml:space="preserve">DISCUSSION: 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992</w:t>
            </w:r>
            <w:r w:rsidR="00111165">
              <w:rPr>
                <w:rFonts w:ascii="Arial" w:eastAsia="Times New Roman" w:hAnsi="Arial" w:cs="Arial"/>
                <w:sz w:val="20"/>
                <w:szCs w:val="20"/>
              </w:rPr>
              <w:t>.3</w:t>
            </w:r>
            <w:r>
              <w:rPr>
                <w:rFonts w:ascii="Arial" w:eastAsia="Times New Roman" w:hAnsi="Arial" w:cs="Arial"/>
                <w:sz w:val="20"/>
                <w:szCs w:val="20"/>
              </w:rPr>
              <w:t xml:space="preserve"> path.</w:t>
            </w:r>
          </w:p>
          <w:p w14:paraId="646BF90F" w14:textId="0A427A55" w:rsidR="00EF5A59" w:rsidRDefault="00B96446" w:rsidP="00A502F3">
            <w:pPr>
              <w:rPr>
                <w:rFonts w:ascii="Arial" w:eastAsia="Times New Roman" w:hAnsi="Arial" w:cs="Arial"/>
                <w:sz w:val="20"/>
                <w:szCs w:val="20"/>
              </w:rPr>
            </w:pPr>
            <w:r>
              <w:rPr>
                <w:rFonts w:ascii="Arial" w:eastAsia="Times New Roman" w:hAnsi="Arial" w:cs="Arial"/>
                <w:sz w:val="20"/>
                <w:szCs w:val="20"/>
              </w:rPr>
              <w:t>---</w:t>
            </w:r>
          </w:p>
          <w:p w14:paraId="4581E675" w14:textId="2891D983" w:rsidR="008B4D54" w:rsidRDefault="008856FC" w:rsidP="00A502F3">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#996 which substantially align with the commenter’s proposed resolution</w:t>
            </w:r>
            <w:r w:rsidR="00A502F3">
              <w:rPr>
                <w:rFonts w:ascii="Arial" w:eastAsia="Times New Roman" w:hAnsi="Arial" w:cs="Arial"/>
                <w:sz w:val="20"/>
                <w:szCs w:val="20"/>
              </w:rPr>
              <w:t xml:space="preserve">, excepting </w:t>
            </w:r>
            <w:r w:rsidR="008B4D54">
              <w:rPr>
                <w:rFonts w:ascii="Arial" w:eastAsia="Times New Roman" w:hAnsi="Arial" w:cs="Arial"/>
                <w:sz w:val="20"/>
                <w:szCs w:val="20"/>
              </w:rPr>
              <w:t xml:space="preserve">DLS </w:t>
            </w:r>
            <w:r w:rsidR="00A502F3">
              <w:rPr>
                <w:rFonts w:ascii="Arial" w:eastAsia="Times New Roman" w:hAnsi="Arial" w:cs="Arial"/>
                <w:sz w:val="20"/>
                <w:szCs w:val="20"/>
              </w:rPr>
              <w:t xml:space="preserve">which </w:t>
            </w:r>
            <w:r w:rsidR="008B4D54">
              <w:rPr>
                <w:rFonts w:ascii="Arial" w:eastAsia="Times New Roman" w:hAnsi="Arial" w:cs="Arial"/>
                <w:sz w:val="20"/>
                <w:szCs w:val="20"/>
              </w:rPr>
              <w:t>has been deprecated.</w:t>
            </w:r>
          </w:p>
          <w:p w14:paraId="0C920519" w14:textId="77777777" w:rsidR="00EF5A59" w:rsidRDefault="00EF5A59" w:rsidP="00A502F3">
            <w:pPr>
              <w:rPr>
                <w:rFonts w:ascii="Arial" w:eastAsia="Times New Roman" w:hAnsi="Arial" w:cs="Arial"/>
                <w:sz w:val="20"/>
                <w:szCs w:val="20"/>
              </w:rPr>
            </w:pPr>
          </w:p>
          <w:p w14:paraId="0400BED0" w14:textId="4BA310FD" w:rsidR="00EF5A59" w:rsidRPr="00E3041E" w:rsidRDefault="00EF5A59" w:rsidP="00A502F3">
            <w:pPr>
              <w:rPr>
                <w:rFonts w:ascii="Arial" w:eastAsia="Times New Roman" w:hAnsi="Arial" w:cs="Arial"/>
                <w:sz w:val="20"/>
                <w:szCs w:val="20"/>
              </w:rPr>
            </w:pPr>
          </w:p>
        </w:tc>
      </w:tr>
    </w:tbl>
    <w:p w14:paraId="0B4460FD" w14:textId="77777777" w:rsidR="0085472E" w:rsidRPr="0085472E" w:rsidRDefault="0085472E" w:rsidP="0085472E"/>
    <w:p w14:paraId="633BA71F" w14:textId="77777777" w:rsidR="003A74F5" w:rsidRPr="003A74F5" w:rsidRDefault="003A74F5"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1073"/>
        <w:gridCol w:w="8931"/>
      </w:tblGrid>
      <w:tr w:rsidR="003A74F5" w:rsidRPr="006F1786" w14:paraId="615B0E5D" w14:textId="77777777" w:rsidTr="002518F6">
        <w:tc>
          <w:tcPr>
            <w:tcW w:w="694"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722269C2" w14:textId="77777777" w:rsidTr="002518F6">
        <w:tc>
          <w:tcPr>
            <w:tcW w:w="694" w:type="dxa"/>
          </w:tcPr>
          <w:p w14:paraId="7D42FD4B" w14:textId="77777777" w:rsidR="003A74F5" w:rsidRPr="006F1786" w:rsidRDefault="003A74F5" w:rsidP="002518F6">
            <w:r w:rsidRPr="006F1786">
              <w:t>0</w:t>
            </w:r>
          </w:p>
        </w:tc>
        <w:tc>
          <w:tcPr>
            <w:tcW w:w="8931" w:type="dxa"/>
          </w:tcPr>
          <w:p w14:paraId="0DFC1B96" w14:textId="77777777" w:rsidR="003A74F5" w:rsidRDefault="003A74F5" w:rsidP="002518F6">
            <w:r w:rsidRPr="006F1786">
              <w:t xml:space="preserve">Indoor AP </w:t>
            </w:r>
          </w:p>
          <w:p w14:paraId="1BBB0E5B" w14:textId="77777777" w:rsidR="003A74F5" w:rsidRPr="006F1786" w:rsidRDefault="003A74F5" w:rsidP="002518F6">
            <w:r w:rsidRPr="006F1786">
              <w:t>An AP whose operation does not require control from an external system such as an Automated Frequency Coordination (AFC) system but that is subject to additional regulatory requirements intended to prohibit outdoor operation.</w:t>
            </w:r>
          </w:p>
        </w:tc>
      </w:tr>
      <w:tr w:rsidR="003A74F5" w:rsidRPr="006F1786" w14:paraId="4EC152C8" w14:textId="77777777" w:rsidTr="002518F6">
        <w:tc>
          <w:tcPr>
            <w:tcW w:w="694" w:type="dxa"/>
          </w:tcPr>
          <w:p w14:paraId="2D403A3A" w14:textId="77777777" w:rsidR="003A74F5" w:rsidRPr="006F1786" w:rsidRDefault="003A74F5" w:rsidP="002518F6">
            <w:r w:rsidRPr="006F1786">
              <w:t>1</w:t>
            </w:r>
          </w:p>
        </w:tc>
        <w:tc>
          <w:tcPr>
            <w:tcW w:w="8931" w:type="dxa"/>
          </w:tcPr>
          <w:p w14:paraId="14069B90" w14:textId="77777777" w:rsidR="003A74F5" w:rsidRDefault="003A74F5" w:rsidP="002518F6">
            <w:r w:rsidRPr="006F1786">
              <w:t xml:space="preserve">Standard power AP </w:t>
            </w:r>
          </w:p>
          <w:p w14:paraId="5C8AAAA5" w14:textId="77777777" w:rsidR="003A74F5" w:rsidRPr="006F1786" w:rsidRDefault="003A74F5" w:rsidP="002518F6">
            <w:r w:rsidRPr="006F1786">
              <w:t>An AP whose operation requires control from an external system such as an AFC system.</w:t>
            </w:r>
          </w:p>
        </w:tc>
      </w:tr>
      <w:tr w:rsidR="003A74F5" w:rsidRPr="006F1786" w14:paraId="098D2839" w14:textId="77777777" w:rsidTr="002518F6">
        <w:tc>
          <w:tcPr>
            <w:tcW w:w="694" w:type="dxa"/>
          </w:tcPr>
          <w:p w14:paraId="6991B080" w14:textId="77777777" w:rsidR="003A74F5" w:rsidRPr="006F1786" w:rsidRDefault="003A74F5" w:rsidP="002518F6">
            <w:r w:rsidRPr="006F1786">
              <w:t>2</w:t>
            </w:r>
          </w:p>
        </w:tc>
        <w:tc>
          <w:tcPr>
            <w:tcW w:w="8931" w:type="dxa"/>
          </w:tcPr>
          <w:p w14:paraId="152D0348" w14:textId="77777777" w:rsidR="003A74F5" w:rsidRDefault="003A74F5" w:rsidP="002518F6">
            <w:r w:rsidRPr="006F1786">
              <w:t xml:space="preserve">Very low power AP </w:t>
            </w:r>
          </w:p>
          <w:p w14:paraId="7AE3A064" w14:textId="77777777" w:rsidR="003A74F5" w:rsidRPr="006F1786" w:rsidRDefault="003A74F5" w:rsidP="002518F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3A74F5" w:rsidRPr="006F1786" w14:paraId="5552DF7F" w14:textId="77777777" w:rsidTr="002518F6">
        <w:tc>
          <w:tcPr>
            <w:tcW w:w="694" w:type="dxa"/>
          </w:tcPr>
          <w:p w14:paraId="074CCAFB" w14:textId="0C55E064" w:rsidR="003A74F5" w:rsidRPr="006F1786" w:rsidRDefault="00E269DE" w:rsidP="002518F6">
            <w:ins w:id="73" w:author="Brian Hart (brianh)" w:date="2023-04-28T15:27:00Z">
              <w:r>
                <w:t>(#992</w:t>
              </w:r>
            </w:ins>
            <w:ins w:id="74" w:author="Brian Hart (brianh)" w:date="2023-05-01T11:51:00Z">
              <w:r w:rsidR="00111165">
                <w:t>.3</w:t>
              </w:r>
            </w:ins>
            <w:ins w:id="75" w:author="Brian Hart (brianh)" w:date="2023-04-28T15:27:00Z">
              <w:r>
                <w:t>)</w:t>
              </w:r>
            </w:ins>
            <w:del w:id="76" w:author="Brian Hart (brianh)" w:date="2023-04-28T15:27:00Z">
              <w:r w:rsidR="003A74F5" w:rsidRPr="006F1786" w:rsidDel="00E269DE">
                <w:delText>3</w:delText>
              </w:r>
            </w:del>
          </w:p>
        </w:tc>
        <w:tc>
          <w:tcPr>
            <w:tcW w:w="8931" w:type="dxa"/>
          </w:tcPr>
          <w:p w14:paraId="2813C279" w14:textId="3D5CCA5D" w:rsidR="003A74F5" w:rsidDel="00E269DE" w:rsidRDefault="003A74F5" w:rsidP="002518F6">
            <w:pPr>
              <w:rPr>
                <w:del w:id="77" w:author="Brian Hart (brianh)" w:date="2023-04-28T15:27:00Z"/>
              </w:rPr>
            </w:pPr>
            <w:del w:id="78" w:author="Brian Hart (brianh)" w:date="2023-04-28T15:27:00Z">
              <w:r w:rsidRPr="006F1786" w:rsidDel="00E269DE">
                <w:delText xml:space="preserve">Indoor enabled AP </w:delText>
              </w:r>
            </w:del>
          </w:p>
          <w:p w14:paraId="191853C8" w14:textId="4F5131B9" w:rsidR="003A74F5" w:rsidRPr="006F1786" w:rsidRDefault="003A74F5" w:rsidP="002518F6">
            <w:del w:id="79" w:author="Brian Hart (brianh)" w:date="2023-04-28T15:27:00Z">
              <w:r w:rsidRPr="006F1786" w:rsidDel="00E269DE">
                <w:delText>An AP whose operation relies on being able to successfully receive an enabling signal (as defined by the regulatory rules) from an indoor AP or an indoor standard power AP.</w:delText>
              </w:r>
            </w:del>
          </w:p>
        </w:tc>
      </w:tr>
      <w:tr w:rsidR="003A74F5" w:rsidRPr="006F1786" w14:paraId="06D02B58" w14:textId="77777777" w:rsidTr="002518F6">
        <w:tc>
          <w:tcPr>
            <w:tcW w:w="694" w:type="dxa"/>
          </w:tcPr>
          <w:p w14:paraId="6754DBAF" w14:textId="47C7C736" w:rsidR="003A74F5" w:rsidRPr="006F1786" w:rsidRDefault="008746B5" w:rsidP="002518F6">
            <w:ins w:id="80" w:author="Brian Hart (brianh)" w:date="2023-04-28T15:27:00Z">
              <w:r>
                <w:t>(#992</w:t>
              </w:r>
            </w:ins>
            <w:ins w:id="81" w:author="Brian Hart (brianh)" w:date="2023-05-01T11:51:00Z">
              <w:r w:rsidR="00111165">
                <w:t>.4</w:t>
              </w:r>
            </w:ins>
            <w:ins w:id="82" w:author="Brian Hart (brianh)" w:date="2023-04-28T15:27:00Z">
              <w:r>
                <w:t>)</w:t>
              </w:r>
            </w:ins>
            <w:del w:id="83" w:author="Brian Hart (brianh)" w:date="2023-04-28T15:27:00Z">
              <w:r w:rsidR="003A74F5" w:rsidRPr="006F1786" w:rsidDel="00E269DE">
                <w:delText>4</w:delText>
              </w:r>
            </w:del>
          </w:p>
        </w:tc>
        <w:tc>
          <w:tcPr>
            <w:tcW w:w="8931" w:type="dxa"/>
          </w:tcPr>
          <w:p w14:paraId="3D7CAC87" w14:textId="00741256" w:rsidR="003A74F5" w:rsidDel="00E269DE" w:rsidRDefault="003A74F5" w:rsidP="002518F6">
            <w:pPr>
              <w:rPr>
                <w:del w:id="84" w:author="Brian Hart (brianh)" w:date="2023-04-28T15:27:00Z"/>
              </w:rPr>
            </w:pPr>
            <w:del w:id="85" w:author="Brian Hart (brianh)" w:date="2023-04-28T15:27:00Z">
              <w:r w:rsidRPr="006F1786" w:rsidDel="00E269DE">
                <w:delText xml:space="preserve">Indoor standard power AP </w:delText>
              </w:r>
            </w:del>
          </w:p>
          <w:p w14:paraId="72F39CB8" w14:textId="3735C646" w:rsidR="003A74F5" w:rsidRPr="006F1786" w:rsidRDefault="003A74F5" w:rsidP="002518F6">
            <w:del w:id="86"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tc>
      </w:tr>
      <w:tr w:rsidR="003A74F5" w:rsidRPr="00CA59FA" w14:paraId="4CFD71A8" w14:textId="77777777" w:rsidTr="002518F6">
        <w:tc>
          <w:tcPr>
            <w:tcW w:w="694" w:type="dxa"/>
          </w:tcPr>
          <w:p w14:paraId="7B1B830A" w14:textId="17F6E543" w:rsidR="003A74F5" w:rsidRPr="006F1786" w:rsidRDefault="00E269DE" w:rsidP="002518F6">
            <w:ins w:id="87" w:author="Brian Hart (brianh)" w:date="2023-04-28T15:27:00Z">
              <w:r>
                <w:t>3</w:t>
              </w:r>
            </w:ins>
            <w:del w:id="88" w:author="Brian Hart (brianh)" w:date="2023-04-28T15:27:00Z">
              <w:r w:rsidR="003A74F5" w:rsidRPr="006F1786" w:rsidDel="00E269DE">
                <w:delText>5</w:delText>
              </w:r>
            </w:del>
            <w:r w:rsidR="003A74F5" w:rsidRPr="006F1786">
              <w:t>–7</w:t>
            </w:r>
          </w:p>
        </w:tc>
        <w:tc>
          <w:tcPr>
            <w:tcW w:w="8931" w:type="dxa"/>
          </w:tcPr>
          <w:p w14:paraId="697F200D" w14:textId="77777777" w:rsidR="003A74F5" w:rsidRPr="00CA59FA" w:rsidRDefault="003A74F5" w:rsidP="002518F6">
            <w:pPr>
              <w:rPr>
                <w:highlight w:val="yellow"/>
              </w:rPr>
            </w:pPr>
            <w:r w:rsidRPr="006F1786">
              <w:t>Reserved</w:t>
            </w:r>
          </w:p>
        </w:tc>
      </w:tr>
      <w:tr w:rsidR="003A74F5" w:rsidRPr="00CA59FA" w14:paraId="6EE62833" w14:textId="77777777" w:rsidTr="002518F6">
        <w:tc>
          <w:tcPr>
            <w:tcW w:w="694" w:type="dxa"/>
          </w:tcPr>
          <w:p w14:paraId="31FE1931" w14:textId="67F1C8AA" w:rsidR="003A74F5" w:rsidRPr="006F1786" w:rsidRDefault="003A74F5" w:rsidP="002518F6"/>
        </w:tc>
        <w:tc>
          <w:tcPr>
            <w:tcW w:w="8931" w:type="dxa"/>
          </w:tcPr>
          <w:p w14:paraId="7C193A80" w14:textId="71E2063F" w:rsidR="003A74F5" w:rsidRPr="006F1786" w:rsidRDefault="003A74F5" w:rsidP="002518F6"/>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w:t>
      </w:r>
      <w:proofErr w:type="gramStart"/>
      <w:r>
        <w:t>600)In</w:t>
      </w:r>
      <w:proofErr w:type="gramEnd"/>
      <w:r>
        <w:t xml:space="preserve"> Table E-12 (Regulatory Info subfield encoding(#600)), a WLAN STA is not an external system.</w:t>
      </w:r>
    </w:p>
    <w:p w14:paraId="3C314CCA" w14:textId="224C51C8" w:rsidR="00B560F1" w:rsidRDefault="00560B9E" w:rsidP="00B43ABF">
      <w:ins w:id="89" w:author="Brian Hart (brianh)" w:date="2023-04-28T15:29:00Z">
        <w:r>
          <w:lastRenderedPageBreak/>
          <w:t>(#992</w:t>
        </w:r>
      </w:ins>
      <w:ins w:id="90" w:author="Brian Hart (brianh)" w:date="2023-05-01T11:52:00Z">
        <w:r w:rsidR="00DE55F0">
          <w:t>.3</w:t>
        </w:r>
      </w:ins>
      <w:ins w:id="91" w:author="Brian Hart (brianh)" w:date="2023-04-28T15:29:00Z">
        <w:r>
          <w:t>)</w:t>
        </w:r>
      </w:ins>
      <w:del w:id="92" w:author="Brian Hart (brianh)" w:date="2023-04-28T15:29:00Z">
        <w:r w:rsidR="00B43ABF" w:rsidDel="00560B9E">
          <w:delText>NOTE 2—For example, an indoor enabled AP is not a standard power AP because the indoor AP or the indoor standard</w:delText>
        </w:r>
        <w:r w:rsidR="00735F19" w:rsidDel="00560B9E">
          <w:delText xml:space="preserve"> </w:delText>
        </w:r>
        <w:r w:rsidR="00B43ABF" w:rsidDel="00560B9E">
          <w:delText>power AP (from which the indoor enabled AP receives the enabling signal) are not external systems.(#600)</w:delText>
        </w:r>
      </w:del>
      <w:r w:rsidR="00735F19">
        <w:t xml:space="preserve"> </w:t>
      </w:r>
    </w:p>
    <w:p w14:paraId="7AE32F10" w14:textId="2C501CF4" w:rsidR="00B43ABF" w:rsidRDefault="00DE55F0" w:rsidP="00B43ABF">
      <w:ins w:id="93" w:author="Brian Hart (brianh)" w:date="2023-05-01T11:52:00Z">
        <w:r>
          <w:t>(#992.4)</w:t>
        </w:r>
      </w:ins>
      <w:del w:id="94"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59F3F7B4" w14:textId="4583287B" w:rsidR="00B43ABF" w:rsidRDefault="00B43ABF" w:rsidP="00B43ABF">
      <w:r>
        <w:t>The Maximum Transmit Power Category subfield in the Transmit Power Information field of the Transmit</w:t>
      </w:r>
      <w:r w:rsidR="00735F19">
        <w:t xml:space="preserve"> </w:t>
      </w:r>
      <w:r>
        <w:t>Power Envelope element is interpreted as shown in Table E-13 (Maximum Transmit Power Category</w:t>
      </w:r>
      <w:r w:rsidR="00735F19">
        <w:t xml:space="preserve"> </w:t>
      </w:r>
      <w:r>
        <w:t xml:space="preserve">subfield </w:t>
      </w:r>
      <w:proofErr w:type="gramStart"/>
      <w:r>
        <w:t>encoding(</w:t>
      </w:r>
      <w:proofErr w:type="gramEnd"/>
      <w:r>
        <w:t>#600)) when operating in the 6 GHz band. Each regulatory domain might have additional</w:t>
      </w:r>
      <w:r w:rsidR="00735F19">
        <w:t xml:space="preserve"> </w:t>
      </w:r>
      <w:r>
        <w:t>regulations for each Maximum Transmit Power Category subfield value. Operation in such regulatory</w:t>
      </w:r>
      <w:r w:rsidR="00735F19">
        <w:t xml:space="preserve"> </w:t>
      </w:r>
      <w:r>
        <w:t>domains is subject to the additional regulations. Some values defined in Table E-13 (Maximum Transmit</w:t>
      </w:r>
      <w:r w:rsidR="00735F19">
        <w:t xml:space="preserve"> </w:t>
      </w:r>
      <w:r>
        <w:t xml:space="preserve">Power Category subfield </w:t>
      </w:r>
      <w:proofErr w:type="gramStart"/>
      <w:r>
        <w:t>encoding(</w:t>
      </w:r>
      <w:proofErr w:type="gramEnd"/>
      <w:r>
        <w:t>#600)) might not be valid in all regulatory domains. If a certain</w:t>
      </w:r>
      <w:r w:rsidR="00735F19">
        <w:t xml:space="preserve"> </w:t>
      </w:r>
      <w:r>
        <w:t>Maximum Transmit Power Category subfield encoding value is not valid in a regulatory domain, then the</w:t>
      </w:r>
      <w:r w:rsidR="00735F19">
        <w:t xml:space="preserve"> </w:t>
      </w:r>
      <w:r>
        <w:t xml:space="preserve">value is not used when operating in that regulatory </w:t>
      </w:r>
      <w:proofErr w:type="gramStart"/>
      <w:r>
        <w:t>domain.(</w:t>
      </w:r>
      <w:proofErr w:type="gramEnd"/>
      <w:r>
        <w:t>#600)</w:t>
      </w:r>
    </w:p>
    <w:p w14:paraId="2938FBCC" w14:textId="0A209389" w:rsidR="000A0E78" w:rsidRDefault="000A0E78" w:rsidP="00B43ABF"/>
    <w:p w14:paraId="1EC89AC1" w14:textId="5238A214" w:rsidR="000A0E78" w:rsidRDefault="000A0E78" w:rsidP="000A0E78">
      <w:r>
        <w:t>(#</w:t>
      </w:r>
      <w:proofErr w:type="gramStart"/>
      <w:r>
        <w:t>600)An</w:t>
      </w:r>
      <w:proofErr w:type="gramEnd"/>
      <w:r>
        <w:t xml:space="preserve"> AP operating in the 6 GHz band shall send at least one Transmit Power Envelope element in</w:t>
      </w:r>
      <w:r w:rsidR="00735F19">
        <w:t xml:space="preserve"> </w:t>
      </w:r>
      <w:r>
        <w:t>Beacon and Probe Response frames as follows:</w:t>
      </w:r>
    </w:p>
    <w:p w14:paraId="508DE119" w14:textId="2648357D" w:rsidR="000A0E78" w:rsidRDefault="000A0E78" w:rsidP="00735F19">
      <w:pPr>
        <w:pStyle w:val="ListParagraph"/>
        <w:numPr>
          <w:ilvl w:val="0"/>
          <w:numId w:val="11"/>
        </w:numPr>
      </w:pPr>
      <w:r>
        <w:t>Maximum Transmit Power Category subfield = Default; Unit interpretation = (#</w:t>
      </w:r>
      <w:proofErr w:type="gramStart"/>
      <w:r>
        <w:t>3452)Regulatory</w:t>
      </w:r>
      <w:proofErr w:type="gramEnd"/>
      <w:r w:rsidR="00735F19">
        <w:t xml:space="preserve"> </w:t>
      </w:r>
      <w:r>
        <w:t>client EIRP PSD</w:t>
      </w:r>
    </w:p>
    <w:p w14:paraId="3FADA5A2" w14:textId="1082A582" w:rsidR="000A0E78" w:rsidRDefault="000A0E78" w:rsidP="000A0E78">
      <w:r>
        <w:t>(#</w:t>
      </w:r>
      <w:proofErr w:type="gramStart"/>
      <w:r>
        <w:t>600)When</w:t>
      </w:r>
      <w:proofErr w:type="gramEnd"/>
      <w:r>
        <w:t xml:space="preserve"> operating in the 6 GHz band in a regulatory domain in which a subordinate device (see</w:t>
      </w:r>
      <w:r w:rsidR="00735F19">
        <w:t xml:space="preserve"> </w:t>
      </w:r>
      <w:r>
        <w:t>Table E-13 (Maximum Transmit Power Category subfield encoding(#600))) is supported, an AP that is an</w:t>
      </w:r>
      <w:r w:rsidR="00735F19">
        <w:t xml:space="preserve"> </w:t>
      </w:r>
      <w:r>
        <w:t>indoor AP or indoor standard power AP per regulatory rules shall also send the following Transmit Power</w:t>
      </w:r>
      <w:r w:rsidR="00735F19">
        <w:t xml:space="preserve"> </w:t>
      </w:r>
      <w:r>
        <w:t>Envelope element in Beacon and Probe Response frames:</w:t>
      </w:r>
    </w:p>
    <w:p w14:paraId="4923B29C" w14:textId="483CA98B" w:rsidR="000A0E78" w:rsidRDefault="000A0E78" w:rsidP="000A0E78">
      <w:pPr>
        <w:pStyle w:val="ListParagraph"/>
        <w:numPr>
          <w:ilvl w:val="0"/>
          <w:numId w:val="10"/>
        </w:numPr>
      </w:pPr>
      <w:r>
        <w:t>Maximum Transmit Power Category subfield = Subordinate device; Unit interpretation =</w:t>
      </w:r>
    </w:p>
    <w:p w14:paraId="1535758D" w14:textId="77777777" w:rsidR="000A0E78" w:rsidRDefault="000A0E78" w:rsidP="000A0E78">
      <w:r>
        <w:t xml:space="preserve">Regulatory client EIRP PSD </w:t>
      </w:r>
    </w:p>
    <w:p w14:paraId="7633DC1D" w14:textId="03A11471" w:rsidR="000A0E78" w:rsidRDefault="000A0E78" w:rsidP="000A0E78">
      <w:r>
        <w:t xml:space="preserve">A regulatory client EIRP PSD value advertised by an AP that is a standard power AP or indoor standard power AP shall be set to </w:t>
      </w:r>
      <w:ins w:id="95" w:author="Brian Hart (brianh)" w:date="2023-04-28T15:24:00Z">
        <w:r w:rsidR="00FC4FA2">
          <w:t>(#991)</w:t>
        </w:r>
      </w:ins>
      <w:ins w:id="96" w:author="Brian Hart (brianh)" w:date="2023-04-28T15:23:00Z">
        <w:r w:rsidR="00211D97">
          <w:t xml:space="preserve">no higher than </w:t>
        </w:r>
      </w:ins>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0F571B6A" w14:textId="60FF3835" w:rsidR="000A0E78" w:rsidRDefault="000A0E78" w:rsidP="000A0E78">
      <w:r>
        <w:t>If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3533649F" w14:textId="5FE4F612" w:rsidR="000A0E78" w:rsidRDefault="000A0E78" w:rsidP="000A0E78">
      <w:pPr>
        <w:pStyle w:val="ListParagraph"/>
        <w:numPr>
          <w:ilvl w:val="0"/>
          <w:numId w:val="9"/>
        </w:numPr>
      </w:pPr>
      <w:r>
        <w:t>Maximum Transmit Power Category subfield = Default; Unit interpretation = Regulatory client</w:t>
      </w:r>
    </w:p>
    <w:p w14:paraId="0FA7F1CB" w14:textId="77777777" w:rsidR="000A0E78" w:rsidRDefault="000A0E78" w:rsidP="000A0E78">
      <w:r>
        <w:t>EIRP</w:t>
      </w:r>
    </w:p>
    <w:p w14:paraId="7AD110A3" w14:textId="10683B8F" w:rsidR="000A0E78" w:rsidRDefault="000A0E78" w:rsidP="000A0E78">
      <w:r>
        <w:lastRenderedPageBreak/>
        <w:t xml:space="preserve">NOTE 3—In the case of regulatory rules where the maximum transmit power for client devices is lower than the maximum transmit power for </w:t>
      </w:r>
      <w:proofErr w:type="gramStart"/>
      <w:r>
        <w:t>APs(</w:t>
      </w:r>
      <w:proofErr w:type="gramEnd"/>
      <w:r>
        <w:t>#600), the regulatory client maximum transmit power advertised by the AP for client devices might be lower than the regulatory client maximum transmit power the AP is authorized to use for its own transmissions.</w:t>
      </w:r>
    </w:p>
    <w:p w14:paraId="2CC09332" w14:textId="7FA8B880" w:rsidR="00F476EF" w:rsidRDefault="00CF2D8D" w:rsidP="008F30E2">
      <w:pPr>
        <w:rPr>
          <w:ins w:id="97" w:author="Brian Hart (brianh)" w:date="2023-04-28T15:38:00Z"/>
        </w:rPr>
      </w:pPr>
      <w:ins w:id="98" w:author="Brian Hart (brianh)" w:date="2023-05-01T11:57:00Z">
        <w:r>
          <w:t>(#</w:t>
        </w:r>
        <w:proofErr w:type="gramStart"/>
        <w:r>
          <w:t>996)</w:t>
        </w:r>
      </w:ins>
      <w:ins w:id="99" w:author="Brian Hart (brianh)" w:date="2023-04-28T15:37:00Z">
        <w:r w:rsidR="008F30E2">
          <w:t>A</w:t>
        </w:r>
        <w:proofErr w:type="gramEnd"/>
        <w:r w:rsidR="008F30E2">
          <w:t xml:space="preserve"> STA is operating under the control of an indoor or SP AP when</w:t>
        </w:r>
        <w:r w:rsidR="00F476EF">
          <w:t xml:space="preserve">ever </w:t>
        </w:r>
      </w:ins>
      <w:ins w:id="100" w:author="Brian Hart (brianh)" w:date="2023-04-28T15:46:00Z">
        <w:r w:rsidR="00EC1CA6">
          <w:t>at least o</w:t>
        </w:r>
      </w:ins>
      <w:ins w:id="101" w:author="Brian Hart (brianh)" w:date="2023-04-28T15:47:00Z">
        <w:r w:rsidR="00EC1CA6">
          <w:t>ne of the following is true:</w:t>
        </w:r>
      </w:ins>
      <w:ins w:id="102" w:author="Brian Hart (brianh)" w:date="2023-04-28T15:37:00Z">
        <w:r w:rsidR="00F476EF">
          <w:t xml:space="preserve"> </w:t>
        </w:r>
      </w:ins>
    </w:p>
    <w:p w14:paraId="16D5A0E9" w14:textId="140FE88C" w:rsidR="008F30E2" w:rsidRDefault="00EC1CA6" w:rsidP="00F476EF">
      <w:pPr>
        <w:pStyle w:val="ListParagraph"/>
        <w:numPr>
          <w:ilvl w:val="0"/>
          <w:numId w:val="12"/>
        </w:numPr>
        <w:rPr>
          <w:ins w:id="103" w:author="Brian Hart (brianh)" w:date="2023-04-28T15:39:00Z"/>
        </w:rPr>
      </w:pPr>
      <w:ins w:id="104" w:author="Brian Hart (brianh)" w:date="2023-04-28T15:47:00Z">
        <w:r>
          <w:t>the STA is a</w:t>
        </w:r>
      </w:ins>
      <w:ins w:id="105" w:author="Brian Hart (brianh)" w:date="2023-04-28T15:37:00Z">
        <w:r w:rsidR="00F476EF">
          <w:t xml:space="preserve">ssociated </w:t>
        </w:r>
      </w:ins>
      <w:ins w:id="106" w:author="Brian Hart (brianh)" w:date="2023-04-28T15:38:00Z">
        <w:r w:rsidR="00F476EF">
          <w:t>with the AP</w:t>
        </w:r>
        <w:r w:rsidR="003D3940">
          <w:t xml:space="preserve">, for </w:t>
        </w:r>
      </w:ins>
      <w:ins w:id="107" w:author="Brian Hart (brianh)" w:date="2023-05-01T10:21:00Z">
        <w:r w:rsidR="00E60857">
          <w:t xml:space="preserve">transferring </w:t>
        </w:r>
      </w:ins>
      <w:ins w:id="108" w:author="Brian Hart (brianh)" w:date="2023-04-28T15:38:00Z">
        <w:r w:rsidR="00131724">
          <w:t xml:space="preserve">PSDUs </w:t>
        </w:r>
        <w:r w:rsidR="003D3940">
          <w:t>between the AP and the STA</w:t>
        </w:r>
      </w:ins>
    </w:p>
    <w:p w14:paraId="07192788" w14:textId="6EEDA64F" w:rsidR="00F476EF" w:rsidRDefault="00EC1CA6" w:rsidP="00EC1CA6">
      <w:pPr>
        <w:pStyle w:val="ListParagraph"/>
        <w:numPr>
          <w:ilvl w:val="0"/>
          <w:numId w:val="12"/>
        </w:numPr>
        <w:rPr>
          <w:ins w:id="109" w:author="Brian Hart (brianh)" w:date="2023-04-28T15:37:00Z"/>
        </w:rPr>
      </w:pPr>
      <w:ins w:id="110" w:author="Brian Hart (brianh)" w:date="2023-04-28T15:47:00Z">
        <w:r>
          <w:t>the STA is o</w:t>
        </w:r>
      </w:ins>
      <w:ins w:id="111" w:author="Brian Hart (brianh)" w:date="2023-04-28T15:41:00Z">
        <w:r w:rsidR="00B064F9">
          <w:t>perating in accordance with</w:t>
        </w:r>
      </w:ins>
      <w:ins w:id="112" w:author="Brian Hart (brianh)" w:date="2023-04-28T15:45:00Z">
        <w:r w:rsidR="00E1552B">
          <w:t xml:space="preserve"> a recently received </w:t>
        </w:r>
        <w:r w:rsidR="00E1552B" w:rsidRPr="00E1552B">
          <w:t>Channel Usage Response frame</w:t>
        </w:r>
      </w:ins>
      <w:ins w:id="113" w:author="Brian Hart (brianh)" w:date="2023-04-28T15:46:00Z">
        <w:r>
          <w:t xml:space="preserve"> (see </w:t>
        </w:r>
        <w:r w:rsidRPr="00EC1CA6">
          <w:t xml:space="preserve">9.6.13.25 </w:t>
        </w:r>
        <w:r>
          <w:t>(</w:t>
        </w:r>
        <w:r w:rsidRPr="00EC1CA6">
          <w:t>Channel Usage Response frame format</w:t>
        </w:r>
        <w:r>
          <w:t>)</w:t>
        </w:r>
      </w:ins>
      <w:ins w:id="114" w:author="Brian Hart (brianh)" w:date="2023-04-28T15:47:00Z">
        <w:r w:rsidR="00F90718">
          <w:t xml:space="preserve"> and </w:t>
        </w:r>
        <w:r w:rsidR="00F90718" w:rsidRPr="00F90718">
          <w:t xml:space="preserve">11.21.15 </w:t>
        </w:r>
        <w:r w:rsidR="00F90718">
          <w:t>(</w:t>
        </w:r>
        <w:r w:rsidR="00F90718" w:rsidRPr="00F90718">
          <w:t>Channel usage procedures</w:t>
        </w:r>
        <w:r w:rsidR="00F90718">
          <w:t>)</w:t>
        </w:r>
      </w:ins>
      <w:ins w:id="115" w:author="Brian Hart (brianh)" w:date="2023-04-28T15:46:00Z">
        <w:r>
          <w:t>)</w:t>
        </w:r>
      </w:ins>
      <w:ins w:id="116" w:author="Brian Hart (brianh)" w:date="2023-04-28T15:45:00Z">
        <w:r w:rsidR="002F3ECC">
          <w:t>.</w:t>
        </w:r>
      </w:ins>
      <w:ins w:id="117" w:author="Brian Hart (brianh)" w:date="2023-04-28T15:41:00Z">
        <w:r w:rsidR="00B064F9">
          <w:t xml:space="preserve"> </w:t>
        </w:r>
      </w:ins>
    </w:p>
    <w:p w14:paraId="2ED76144" w14:textId="708DEF1C" w:rsidR="000A0E78" w:rsidRDefault="000A0E78" w:rsidP="000A0E78">
      <w:pPr>
        <w:rPr>
          <w:ins w:id="118" w:author="Brian Hart (brianh)" w:date="2023-05-01T11:58: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18B0B955" w14:textId="46AE93A9" w:rsidR="00CF2D8D" w:rsidRPr="000A0E78" w:rsidRDefault="00CF2D8D" w:rsidP="008450DD"/>
    <w:sectPr w:rsidR="00CF2D8D" w:rsidRPr="000A0E78"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FC18" w14:textId="77777777" w:rsidR="00016CC9" w:rsidRDefault="00016CC9" w:rsidP="00766E54">
      <w:pPr>
        <w:spacing w:after="0" w:line="240" w:lineRule="auto"/>
      </w:pPr>
      <w:r>
        <w:separator/>
      </w:r>
    </w:p>
  </w:endnote>
  <w:endnote w:type="continuationSeparator" w:id="0">
    <w:p w14:paraId="3BF8B239" w14:textId="77777777" w:rsidR="00016CC9" w:rsidRDefault="00016CC9" w:rsidP="00766E54">
      <w:pPr>
        <w:spacing w:after="0" w:line="240" w:lineRule="auto"/>
      </w:pPr>
      <w:r>
        <w:continuationSeparator/>
      </w:r>
    </w:p>
  </w:endnote>
  <w:endnote w:type="continuationNotice" w:id="1">
    <w:p w14:paraId="1DB4EACF" w14:textId="77777777" w:rsidR="00016CC9" w:rsidRDefault="00016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A041" w14:textId="77777777" w:rsidR="00016CC9" w:rsidRDefault="00016CC9" w:rsidP="00766E54">
      <w:pPr>
        <w:spacing w:after="0" w:line="240" w:lineRule="auto"/>
      </w:pPr>
      <w:r>
        <w:separator/>
      </w:r>
    </w:p>
  </w:footnote>
  <w:footnote w:type="continuationSeparator" w:id="0">
    <w:p w14:paraId="5832D0F4" w14:textId="77777777" w:rsidR="00016CC9" w:rsidRDefault="00016CC9" w:rsidP="00766E54">
      <w:pPr>
        <w:spacing w:after="0" w:line="240" w:lineRule="auto"/>
      </w:pPr>
      <w:r>
        <w:continuationSeparator/>
      </w:r>
    </w:p>
  </w:footnote>
  <w:footnote w:type="continuationNotice" w:id="1">
    <w:p w14:paraId="4743BB56" w14:textId="77777777" w:rsidR="00016CC9" w:rsidRDefault="00016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513D5B0F" w:rsidR="007D6180" w:rsidRPr="00B21A42" w:rsidRDefault="009A11E1" w:rsidP="00B21A42">
    <w:pPr>
      <w:pStyle w:val="Header"/>
      <w:pBdr>
        <w:bottom w:val="single" w:sz="8" w:space="1" w:color="auto"/>
      </w:pBdr>
      <w:tabs>
        <w:tab w:val="clear" w:pos="4680"/>
        <w:tab w:val="center" w:pos="8280"/>
      </w:tabs>
      <w:rPr>
        <w:sz w:val="28"/>
      </w:rPr>
    </w:pPr>
    <w:r>
      <w:rPr>
        <w:sz w:val="28"/>
      </w:rPr>
      <w:t xml:space="preserve">May 1, </w:t>
    </w:r>
    <w:proofErr w:type="gramStart"/>
    <w:r>
      <w:rPr>
        <w:sz w:val="28"/>
      </w:rPr>
      <w:t>2023</w:t>
    </w:r>
    <w:proofErr w:type="gramEnd"/>
    <w:r w:rsidR="002F28E1">
      <w:rPr>
        <w:sz w:val="28"/>
      </w:rPr>
      <w:tab/>
      <w:t>IEEE P802.11-2</w:t>
    </w:r>
    <w:r w:rsidR="00C96C91">
      <w:rPr>
        <w:sz w:val="28"/>
      </w:rPr>
      <w:t>3</w:t>
    </w:r>
    <w:r w:rsidR="002F28E1">
      <w:rPr>
        <w:sz w:val="28"/>
      </w:rPr>
      <w:t>/</w:t>
    </w:r>
    <w:r w:rsidR="00E74F49">
      <w:rPr>
        <w:sz w:val="28"/>
      </w:rPr>
      <w:t>0734</w:t>
    </w:r>
    <w:r w:rsidR="00864FA1">
      <w:rPr>
        <w:sz w:val="28"/>
      </w:rPr>
      <w:t>r</w:t>
    </w:r>
    <w:r>
      <w:rPr>
        <w:sz w:val="28"/>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8"/>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754205465">
    <w:abstractNumId w:val="11"/>
  </w:num>
  <w:num w:numId="10" w16cid:durableId="526338491">
    <w:abstractNumId w:val="5"/>
  </w:num>
  <w:num w:numId="11" w16cid:durableId="317807937">
    <w:abstractNumId w:val="10"/>
  </w:num>
  <w:num w:numId="12" w16cid:durableId="146635077">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C0A"/>
    <w:rsid w:val="003A7F6D"/>
    <w:rsid w:val="003B068E"/>
    <w:rsid w:val="003B0796"/>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5C31"/>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8A1"/>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B9E"/>
    <w:rsid w:val="005610C7"/>
    <w:rsid w:val="005611B0"/>
    <w:rsid w:val="005619BD"/>
    <w:rsid w:val="00561B9F"/>
    <w:rsid w:val="0056221F"/>
    <w:rsid w:val="005622B5"/>
    <w:rsid w:val="00563236"/>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786"/>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F84"/>
    <w:rsid w:val="00740590"/>
    <w:rsid w:val="00740A78"/>
    <w:rsid w:val="00740BC3"/>
    <w:rsid w:val="00740BC5"/>
    <w:rsid w:val="0074110F"/>
    <w:rsid w:val="00741886"/>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F0"/>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65"/>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B73"/>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D68"/>
    <w:rsid w:val="00B97451"/>
    <w:rsid w:val="00B9766E"/>
    <w:rsid w:val="00B97AC2"/>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22A3"/>
    <w:rsid w:val="00DE2F13"/>
    <w:rsid w:val="00DE373D"/>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52B"/>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12</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11</cp:revision>
  <dcterms:created xsi:type="dcterms:W3CDTF">2023-05-01T18:54:00Z</dcterms:created>
  <dcterms:modified xsi:type="dcterms:W3CDTF">2023-05-01T19:01:00Z</dcterms:modified>
</cp:coreProperties>
</file>