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A2B2AE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971ED7">
              <w:rPr>
                <w:b w:val="0"/>
                <w:sz w:val="20"/>
              </w:rPr>
              <w:t>4</w:t>
            </w:r>
            <w:r w:rsidR="004B2FBE">
              <w:rPr>
                <w:b w:val="0"/>
                <w:sz w:val="20"/>
              </w:rPr>
              <w:t>-</w:t>
            </w:r>
            <w:r w:rsidR="00433515">
              <w:rPr>
                <w:b w:val="0"/>
                <w:sz w:val="20"/>
              </w:rPr>
              <w:t>2</w:t>
            </w:r>
            <w:r w:rsidR="00971ED7">
              <w:rPr>
                <w:b w:val="0"/>
                <w:sz w:val="20"/>
              </w:rPr>
              <w:t>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7CF03F01" w:rsidR="00971ED7" w:rsidRDefault="00971ED7" w:rsidP="00971ED7">
            <w:pPr>
              <w:pStyle w:val="T2"/>
              <w:spacing w:after="0"/>
              <w:ind w:left="0" w:right="0"/>
              <w:rPr>
                <w:b w:val="0"/>
                <w:sz w:val="20"/>
              </w:rPr>
            </w:pPr>
          </w:p>
        </w:tc>
        <w:tc>
          <w:tcPr>
            <w:tcW w:w="2064" w:type="dxa"/>
            <w:vAlign w:val="center"/>
          </w:tcPr>
          <w:p w14:paraId="35FF7BFD" w14:textId="491D1D0C" w:rsidR="00971ED7" w:rsidRDefault="00971ED7" w:rsidP="00971ED7">
            <w:pPr>
              <w:pStyle w:val="T2"/>
              <w:spacing w:after="0"/>
              <w:ind w:left="0" w:right="0"/>
              <w:rPr>
                <w:b w:val="0"/>
                <w:sz w:val="20"/>
              </w:rPr>
            </w:pP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712F2517" w:rsidR="00A65863" w:rsidRDefault="00EF423E" w:rsidP="007F589E">
                            <w:r>
                              <w:t>R3: Unicast/multicast (Roy Want)</w:t>
                            </w:r>
                            <w:r w:rsidR="00A65863">
                              <w:t>. First batch of Edward’s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712F2517" w:rsidR="00A65863" w:rsidRDefault="00EF423E" w:rsidP="007F589E">
                      <w:r>
                        <w:t>R3: Unicast/multicast (Roy Want)</w:t>
                      </w:r>
                      <w:r w:rsidR="00A65863">
                        <w:t>. First batch of Edward’s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66DEFDDE" w:rsidR="00EC4997" w:rsidRDefault="00FF7F19" w:rsidP="00825E13">
      <w:pPr>
        <w:numPr>
          <w:ilvl w:val="0"/>
          <w:numId w:val="3"/>
        </w:numPr>
      </w:pPr>
      <w:r>
        <w:t>Claudio de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25B03829" w14:textId="19A5ED98" w:rsidR="00A95AAB" w:rsidRDefault="00A95AAB" w:rsidP="00971ED7">
      <w:r>
        <w:t xml:space="preserve">Claudio </w:t>
      </w:r>
    </w:p>
    <w:p w14:paraId="532BC437" w14:textId="7D9B5AA1" w:rsidR="00155172" w:rsidRDefault="00155172" w:rsidP="00155172"/>
    <w:p w14:paraId="124649EE" w14:textId="4D774CDC" w:rsidR="0040451E" w:rsidRDefault="0040451E" w:rsidP="00C12417">
      <w:pPr>
        <w:pStyle w:val="Heading3"/>
      </w:pPr>
      <w:r>
        <w:t xml:space="preserve">Style Guide 2.1.1 </w:t>
      </w:r>
      <w:r w:rsidR="00C12417">
        <w:t>– Frame Format Figures</w:t>
      </w:r>
    </w:p>
    <w:p w14:paraId="62A9D75A" w14:textId="77777777" w:rsidR="00A95AAB" w:rsidRDefault="00A95AAB" w:rsidP="00A95AAB">
      <w:r>
        <w:t xml:space="preserve">Claudio </w:t>
      </w:r>
    </w:p>
    <w:p w14:paraId="74CC74CD" w14:textId="77777777" w:rsidR="00A95AAB" w:rsidRPr="00A95AAB" w:rsidRDefault="00A95AAB" w:rsidP="00A95AAB"/>
    <w:p w14:paraId="2354887B" w14:textId="77777777" w:rsidR="00C12417" w:rsidRPr="00C12417" w:rsidRDefault="00C12417" w:rsidP="00C12417"/>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77777777" w:rsidR="00A95AAB" w:rsidRPr="00A95AAB" w:rsidRDefault="00A95AAB" w:rsidP="00A95AAB"/>
    <w:p w14:paraId="0F8D5340" w14:textId="6ACE8D19" w:rsidR="00A90C05" w:rsidRPr="009B7903" w:rsidRDefault="00A90C05" w:rsidP="00511570">
      <w:r>
        <w:t xml:space="preserve"> </w:t>
      </w:r>
    </w:p>
    <w:p w14:paraId="2660F056" w14:textId="15E853ED" w:rsidR="00490A6D" w:rsidRDefault="00490A6D" w:rsidP="00490A6D">
      <w:pPr>
        <w:pStyle w:val="Heading3"/>
      </w:pPr>
      <w:r>
        <w:t>Style Guide 2.2 – true/false</w:t>
      </w:r>
    </w:p>
    <w:p w14:paraId="5648A3A7" w14:textId="78491B60" w:rsidR="00971ED7" w:rsidRDefault="00A95AAB" w:rsidP="00971ED7">
      <w:r>
        <w:t>Carol</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68E81DB3" w:rsidR="00095AC4" w:rsidRDefault="00FB3C4E" w:rsidP="00B400D4">
      <w:r>
        <w:t>Emily (Edward’s suggestion)</w:t>
      </w:r>
    </w:p>
    <w:p w14:paraId="76903CB7" w14:textId="77777777" w:rsidR="00FB3C4E" w:rsidRDefault="00FB3C4E"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4FF1A9CB" w14:textId="77777777" w:rsidR="00971ED7" w:rsidRDefault="00971ED7" w:rsidP="00971ED7"/>
    <w:p w14:paraId="1A99393B" w14:textId="5E37C8EE" w:rsidR="00894C66" w:rsidRDefault="00894C66" w:rsidP="00951676">
      <w:pPr>
        <w:pStyle w:val="Heading4"/>
      </w:pPr>
      <w:r>
        <w:t>Style Guide 2.4.3 – Element Inclusion Conventions</w:t>
      </w:r>
    </w:p>
    <w:p w14:paraId="08562228" w14:textId="579D7BF0" w:rsidR="00D26FCC" w:rsidRPr="00816BD4" w:rsidRDefault="00D26FCC" w:rsidP="00971ED7"/>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7777777" w:rsidR="00A65863" w:rsidRDefault="00A65863"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lastRenderedPageBreak/>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77777777" w:rsidR="00A65863" w:rsidRP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77777777" w:rsidR="00A65863" w:rsidRP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4EE1845D" w14:textId="77777777" w:rsidR="00A65863" w:rsidRP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77777777" w:rsidR="00A65863" w:rsidRPr="00A65863" w:rsidRDefault="00A65863" w:rsidP="00A65863">
      <w:pPr>
        <w:jc w:val="both"/>
      </w:pPr>
      <w:r w:rsidRPr="00A65863">
        <w:t>[23] 4904.22:  Replace “This attribute holds the most recently transmitted Status Code” with “This attribute holds the most recently transmitted Status Code field”.</w:t>
      </w: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lastRenderedPageBreak/>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756F8FD6" w14:textId="3214982F"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42274037" w:rsidR="00FE58FA" w:rsidRDefault="00FE58FA" w:rsidP="00FA7A6E"/>
    <w:p w14:paraId="2BEB5A6A" w14:textId="77777777" w:rsidR="00FA7A6E" w:rsidRPr="00085E78" w:rsidRDefault="00FA7A6E" w:rsidP="00FA7A6E">
      <w:pPr>
        <w:rPr>
          <w:b/>
          <w:bCs/>
        </w:rPr>
      </w:pPr>
      <w:r>
        <w:rPr>
          <w:b/>
          <w:bCs/>
        </w:rPr>
        <w:t>"</w:t>
      </w:r>
      <w:r w:rsidRPr="00085E78">
        <w:rPr>
          <w:b/>
          <w:bCs/>
        </w:rPr>
        <w:t>Will</w:t>
      </w:r>
      <w:r>
        <w:rPr>
          <w:b/>
          <w:bCs/>
        </w:rPr>
        <w:t>” should not be used</w:t>
      </w:r>
    </w:p>
    <w:p w14:paraId="3C513BFB" w14:textId="77777777" w:rsidR="00971ED7" w:rsidRDefault="00971ED7"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07AEC12B" w14:textId="77777777" w:rsidR="00FA7A6E" w:rsidRDefault="00FA7A6E" w:rsidP="00FA7A6E"/>
    <w:p w14:paraId="56353C2D" w14:textId="77777777" w:rsidR="00FA7A6E" w:rsidRPr="00085E78" w:rsidRDefault="00FA7A6E" w:rsidP="00FA7A6E">
      <w:pPr>
        <w:rPr>
          <w:b/>
          <w:bCs/>
        </w:rPr>
      </w:pPr>
      <w:r>
        <w:rPr>
          <w:b/>
          <w:bCs/>
        </w:rPr>
        <w:t>“</w:t>
      </w:r>
      <w:r w:rsidRPr="00085E78">
        <w:rPr>
          <w:b/>
          <w:bCs/>
        </w:rPr>
        <w:t>May not</w:t>
      </w:r>
      <w:r>
        <w:rPr>
          <w:b/>
          <w:bCs/>
        </w:rPr>
        <w:t>”</w:t>
      </w:r>
      <w:r w:rsidRPr="00085E78">
        <w:rPr>
          <w:b/>
          <w:bCs/>
        </w:rPr>
        <w:t xml:space="preserve"> should not be used.</w:t>
      </w:r>
    </w:p>
    <w:p w14:paraId="1D5E3A25" w14:textId="77777777" w:rsidR="00FA7A6E" w:rsidRDefault="00FA7A6E" w:rsidP="00FA7A6E"/>
    <w:p w14:paraId="42E94E12" w14:textId="03EC7570" w:rsidR="00FA7A6E" w:rsidRDefault="00FA7A6E" w:rsidP="00FA7A6E">
      <w:r>
        <w:rPr>
          <w:b/>
          <w:bCs/>
        </w:rPr>
        <w:t>“</w:t>
      </w:r>
      <w:r w:rsidRPr="00085E78">
        <w:rPr>
          <w:b/>
          <w:bCs/>
        </w:rPr>
        <w:t>Only</w:t>
      </w:r>
      <w:r>
        <w:rPr>
          <w:b/>
          <w:bCs/>
        </w:rPr>
        <w:t xml:space="preserve">” </w:t>
      </w:r>
      <w:r>
        <w:t>used as a constraint</w:t>
      </w:r>
    </w:p>
    <w:p w14:paraId="6772D477" w14:textId="1376EA39" w:rsidR="009E2BC9" w:rsidRDefault="009E2BC9" w:rsidP="00620F76">
      <w:pPr>
        <w:autoSpaceDE w:val="0"/>
        <w:autoSpaceDN w:val="0"/>
        <w:adjustRightInd w:val="0"/>
      </w:pP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4CF8F01A" w:rsidR="002D2BC4" w:rsidRDefault="00FB3C4E" w:rsidP="001E6010">
      <w:r>
        <w:t>Check with Mark Rison</w:t>
      </w:r>
    </w:p>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lastRenderedPageBreak/>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Pr="0029745E" w:rsidRDefault="0029745E" w:rsidP="0029745E">
      <w:r w:rsidRPr="0029745E">
        <w:t>Unicast (11 occurrences: 7 changes proposed, 4 ok)</w:t>
      </w:r>
    </w:p>
    <w:p w14:paraId="745F1C08" w14:textId="77777777" w:rsidR="0029745E" w:rsidRPr="0029745E" w:rsidRDefault="0029745E" w:rsidP="0029745E"/>
    <w:p w14:paraId="7FC3470E" w14:textId="77777777" w:rsidR="0029745E" w:rsidRPr="0029745E" w:rsidRDefault="0029745E" w:rsidP="0029745E">
      <w:r w:rsidRPr="0029745E">
        <w:t>#1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unicast individually addressed transmissions to the target STA(s) only.</w:t>
      </w:r>
    </w:p>
    <w:p w14:paraId="0189D083" w14:textId="77777777" w:rsidR="0029745E" w:rsidRPr="0029745E" w:rsidRDefault="0029745E" w:rsidP="0029745E"/>
    <w:p w14:paraId="1F10DEC6" w14:textId="77777777" w:rsidR="0029745E" w:rsidRPr="0029745E" w:rsidRDefault="0029745E" w:rsidP="0029745E">
      <w:r w:rsidRPr="0029745E">
        <w:t>#2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a unicast an individually addressed frame to the intended STA.</w:t>
      </w:r>
    </w:p>
    <w:p w14:paraId="653F19B6" w14:textId="77777777" w:rsidR="0029745E" w:rsidRPr="0029745E" w:rsidRDefault="0029745E" w:rsidP="0029745E"/>
    <w:p w14:paraId="40CA40E8" w14:textId="77777777" w:rsidR="0029745E" w:rsidRPr="0029745E" w:rsidRDefault="0029745E" w:rsidP="0029745E">
      <w:r w:rsidRPr="0029745E">
        <w:t>#3 P2602 L17: Otherwise, forwarding as unicast is recommended, to avoid responding with misleading information. -&gt; Otherwise, forwarding as unicast an individually addressed frame is recommended, to avoid responding with misleading information.</w:t>
      </w:r>
    </w:p>
    <w:p w14:paraId="2A28E816" w14:textId="77777777" w:rsidR="0029745E" w:rsidRPr="0029745E" w:rsidRDefault="0029745E"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an individually addressed frame sent to that STA.</w:t>
      </w:r>
    </w:p>
    <w:p w14:paraId="2A05C2D3" w14:textId="77777777" w:rsidR="0029745E" w:rsidRPr="0029745E" w:rsidRDefault="0029745E"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unicast individually addressed frames for </w:t>
      </w:r>
      <w:proofErr w:type="spellStart"/>
      <w:r w:rsidRPr="0029745E">
        <w:t>neighbor</w:t>
      </w:r>
      <w:proofErr w:type="spellEnd"/>
      <w:r w:rsidRPr="0029745E">
        <w:t xml:space="preserve"> unreachability detection (NUD) (section 7 of IETF RFC 4861).</w:t>
      </w:r>
    </w:p>
    <w:p w14:paraId="1FFF86D9" w14:textId="77777777" w:rsidR="0029745E" w:rsidRPr="0029745E" w:rsidRDefault="0029745E"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The proxy ARP function shall not operate on IP layer unicast individually addressed NS messages.</w:t>
      </w:r>
    </w:p>
    <w:p w14:paraId="3A4E86AF" w14:textId="77777777" w:rsidR="0029745E" w:rsidRPr="0029745E" w:rsidRDefault="0029745E"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Preferably, though, the Proxy ARP service should transmit the IP layer multicast group addressed NS message as a unicast an individually addressed frame to the STA and let the STA respond, as recommended in IETF RFC 8929.</w:t>
      </w:r>
    </w:p>
    <w:p w14:paraId="52CE02D1" w14:textId="77777777" w:rsidR="0029745E" w:rsidRPr="0029745E" w:rsidRDefault="0029745E" w:rsidP="0029745E"/>
    <w:p w14:paraId="444EFD71" w14:textId="77777777" w:rsidR="0029745E" w:rsidRPr="0029745E" w:rsidRDefault="0029745E" w:rsidP="0029745E">
      <w:r w:rsidRPr="0029745E">
        <w:t>#8 &amp; #9 P5381 L23: (MIB Detail: OK – but duplicated?)</w:t>
      </w:r>
    </w:p>
    <w:p w14:paraId="255DB903" w14:textId="77777777" w:rsidR="0029745E" w:rsidRP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178F5D38" w14:textId="77777777" w:rsidR="0029745E" w:rsidRPr="0029745E" w:rsidRDefault="0029745E" w:rsidP="0029745E"/>
    <w:p w14:paraId="71F7D880" w14:textId="77777777" w:rsidR="0029745E" w:rsidRPr="0029745E" w:rsidRDefault="0029745E" w:rsidP="0029745E">
      <w:r w:rsidRPr="0029745E">
        <w:lastRenderedPageBreak/>
        <w:t>#10 P5383 L14: (Appendix C: MIB Detail: OK)</w:t>
      </w:r>
    </w:p>
    <w:p w14:paraId="4C399851" w14:textId="77777777" w:rsidR="0029745E" w:rsidRPr="0029745E" w:rsidRDefault="0029745E" w:rsidP="0029745E">
      <w:r w:rsidRPr="0029745E">
        <w:t>dot11NonAPStationUnicastCipherSuite OBJECT-TYPE</w:t>
      </w:r>
    </w:p>
    <w:p w14:paraId="589531F7" w14:textId="77777777" w:rsidR="0029745E" w:rsidRPr="0029745E" w:rsidRDefault="0029745E"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77777777" w:rsidR="0029745E" w:rsidRPr="0029745E" w:rsidRDefault="0029745E"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(#1208) The Proxy ARP service enables an AP to avoid forwarding to the BSS broadcast ARP frames for IPv4 (IETF RFC 826) and IP layer multicast group addressed packets IPv6 ND messages for IPv6 (IETF RFC 4861 and IETF RFC 4862) which target not match the address of an associated STA.</w:t>
      </w:r>
    </w:p>
    <w:p w14:paraId="20E89B64" w14:textId="77777777" w:rsidR="0029745E" w:rsidRPr="0029745E" w:rsidRDefault="0029745E"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multicast group addressed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77777777" w:rsidR="0029745E" w:rsidRPr="0029745E" w:rsidRDefault="0029745E"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21F72B8C" w:rsidR="0029745E" w:rsidRPr="00222061" w:rsidRDefault="0029745E" w:rsidP="0029745E">
      <w:pPr>
        <w:rPr>
          <w:b/>
          <w:bCs/>
        </w:rPr>
      </w:pPr>
      <w:r w:rsidRPr="0029745E">
        <w:t>(#</w:t>
      </w:r>
      <w:proofErr w:type="gramStart"/>
      <w:r w:rsidRPr="0029745E">
        <w:t>1208)When</w:t>
      </w:r>
      <w:proofErr w:type="gramEnd"/>
      <w:r w:rsidRPr="0029745E">
        <w:t xml:space="preserve"> the target IPv6 address of a IP layer multicast group addressed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43AB3A31" w14:textId="0074D647" w:rsidR="00B50461" w:rsidRPr="00EC4997" w:rsidRDefault="00222061" w:rsidP="008A3FF8">
      <w:r>
        <w:t>Edward will do the rest</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77777" w:rsidR="00A65863" w:rsidRP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6BA1FD4" w14:textId="0644E0A3" w:rsidR="00A65863" w:rsidRDefault="00A65863" w:rsidP="00A65863">
      <w:pPr>
        <w:jc w:val="both"/>
      </w:pPr>
      <w:r w:rsidRPr="00A65863">
        <w:t>[02] 967.34:  Please replace “up to and including” with an appropriate phrase.</w:t>
      </w: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lastRenderedPageBreak/>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13F55495" w:rsidR="00A65863" w:rsidRPr="00C031D9" w:rsidRDefault="00A65863" w:rsidP="00A65863">
      <w:r w:rsidRPr="00A65863">
        <w:t>[43] 360.5:  Replace “MIB-related” with “MIB related”.</w:t>
      </w:r>
    </w:p>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23DEF7AA" w14:textId="39520C15" w:rsidR="00D26FCC" w:rsidRDefault="00222061" w:rsidP="00091616">
      <w:r>
        <w:t>Discuss with Emily and see what to do about this.</w:t>
      </w:r>
    </w:p>
    <w:p w14:paraId="44C463E1" w14:textId="77777777" w:rsidR="00B50461" w:rsidRPr="00C031D9" w:rsidRDefault="00B50461"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lastRenderedPageBreak/>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B691CFE" w:rsidR="00133B26" w:rsidRPr="00091616" w:rsidRDefault="00222061" w:rsidP="00D26FCC">
      <w:r>
        <w:t>Emily (Edward’s suggestion)</w:t>
      </w:r>
    </w:p>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1535BA44" w14:textId="77777777" w:rsidR="00460B5E" w:rsidRDefault="00460B5E" w:rsidP="002D2BC4"/>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CB1060E" w:rsidR="007230B3" w:rsidRDefault="000668E8" w:rsidP="00091616">
      <w:r>
        <w:t>Emily</w:t>
      </w:r>
      <w:r w:rsidR="00C924B7">
        <w:rPr>
          <w:rFonts w:eastAsia="Batang"/>
          <w:lang w:eastAsia="ko-KR"/>
        </w:rP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3BCC64BF" w:rsidR="00256501" w:rsidRPr="008D4065" w:rsidRDefault="000668E8" w:rsidP="00256501">
      <w:pPr>
        <w:rPr>
          <w:lang w:val="en-US"/>
        </w:rPr>
      </w:pPr>
      <w:r>
        <w:t>Edward</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lastRenderedPageBreak/>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lastRenderedPageBreak/>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588B" w14:textId="77777777" w:rsidR="0020313E" w:rsidRDefault="0020313E">
      <w:r>
        <w:separator/>
      </w:r>
    </w:p>
  </w:endnote>
  <w:endnote w:type="continuationSeparator" w:id="0">
    <w:p w14:paraId="3A73B120" w14:textId="77777777" w:rsidR="0020313E" w:rsidRDefault="0020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EBBB" w14:textId="77777777" w:rsidR="0020313E" w:rsidRDefault="0020313E">
      <w:r>
        <w:separator/>
      </w:r>
    </w:p>
  </w:footnote>
  <w:footnote w:type="continuationSeparator" w:id="0">
    <w:p w14:paraId="506B4D3A" w14:textId="77777777" w:rsidR="0020313E" w:rsidRDefault="0020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4F131D7" w:rsidR="000C2AD7" w:rsidRDefault="00FF7F19">
    <w:pPr>
      <w:pStyle w:val="Header"/>
      <w:tabs>
        <w:tab w:val="clear" w:pos="6480"/>
        <w:tab w:val="center" w:pos="4680"/>
        <w:tab w:val="right" w:pos="9360"/>
      </w:tabs>
    </w:pPr>
    <w:r>
      <w:t>May</w:t>
    </w:r>
    <w:r w:rsidR="00DA2157">
      <w:t xml:space="preserve"> </w:t>
    </w:r>
    <w:r w:rsidR="000C2AD7">
      <w:t>202</w:t>
    </w:r>
    <w:r w:rsidR="00971ED7">
      <w:t>3</w:t>
    </w:r>
    <w:r w:rsidR="000C2AD7">
      <w:tab/>
    </w:r>
    <w:r w:rsidR="000C2AD7">
      <w:tab/>
    </w:r>
    <w:fldSimple w:instr=" TITLE  \* MERGEFORMAT ">
      <w:r w:rsidR="00EE1468">
        <w:t>doc.: IEEE 802.11-2</w:t>
      </w:r>
      <w:r w:rsidR="00B70A72">
        <w:t>3</w:t>
      </w:r>
      <w:r w:rsidR="00EE1468">
        <w:t>/0</w:t>
      </w:r>
      <w:r w:rsidR="00571047">
        <w:t>717</w:t>
      </w:r>
      <w:r w:rsidR="00EE1468">
        <w:t>r</w:t>
      </w:r>
    </w:fldSimple>
    <w:r w:rsidR="0046681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2"/>
  </w:num>
  <w:num w:numId="3" w16cid:durableId="551236597">
    <w:abstractNumId w:val="19"/>
  </w:num>
  <w:num w:numId="4" w16cid:durableId="906039490">
    <w:abstractNumId w:val="8"/>
  </w:num>
  <w:num w:numId="5" w16cid:durableId="965695855">
    <w:abstractNumId w:val="18"/>
  </w:num>
  <w:num w:numId="6" w16cid:durableId="835460178">
    <w:abstractNumId w:val="20"/>
  </w:num>
  <w:num w:numId="7" w16cid:durableId="419832332">
    <w:abstractNumId w:val="27"/>
  </w:num>
  <w:num w:numId="8" w16cid:durableId="537470482">
    <w:abstractNumId w:val="13"/>
  </w:num>
  <w:num w:numId="9" w16cid:durableId="567112636">
    <w:abstractNumId w:val="23"/>
  </w:num>
  <w:num w:numId="10" w16cid:durableId="1455054600">
    <w:abstractNumId w:val="24"/>
  </w:num>
  <w:num w:numId="11" w16cid:durableId="2066441941">
    <w:abstractNumId w:val="4"/>
  </w:num>
  <w:num w:numId="12" w16cid:durableId="750471398">
    <w:abstractNumId w:val="29"/>
  </w:num>
  <w:num w:numId="13" w16cid:durableId="509682117">
    <w:abstractNumId w:val="26"/>
  </w:num>
  <w:num w:numId="14" w16cid:durableId="1195802209">
    <w:abstractNumId w:val="3"/>
  </w:num>
  <w:num w:numId="15" w16cid:durableId="232813718">
    <w:abstractNumId w:val="31"/>
  </w:num>
  <w:num w:numId="16" w16cid:durableId="354968205">
    <w:abstractNumId w:val="30"/>
  </w:num>
  <w:num w:numId="17" w16cid:durableId="329136981">
    <w:abstractNumId w:val="32"/>
  </w:num>
  <w:num w:numId="18" w16cid:durableId="1086390315">
    <w:abstractNumId w:val="33"/>
  </w:num>
  <w:num w:numId="19" w16cid:durableId="15813476">
    <w:abstractNumId w:val="10"/>
  </w:num>
  <w:num w:numId="20" w16cid:durableId="506752577">
    <w:abstractNumId w:val="16"/>
  </w:num>
  <w:num w:numId="21" w16cid:durableId="1048798994">
    <w:abstractNumId w:val="28"/>
  </w:num>
  <w:num w:numId="22" w16cid:durableId="1787657892">
    <w:abstractNumId w:val="17"/>
  </w:num>
  <w:num w:numId="23" w16cid:durableId="1305429109">
    <w:abstractNumId w:val="12"/>
  </w:num>
  <w:num w:numId="24" w16cid:durableId="167060994">
    <w:abstractNumId w:val="5"/>
  </w:num>
  <w:num w:numId="25" w16cid:durableId="1281497943">
    <w:abstractNumId w:val="21"/>
  </w:num>
  <w:num w:numId="26" w16cid:durableId="1333751492">
    <w:abstractNumId w:val="15"/>
  </w:num>
  <w:num w:numId="27" w16cid:durableId="1417169392">
    <w:abstractNumId w:val="25"/>
  </w:num>
  <w:num w:numId="28" w16cid:durableId="751439423">
    <w:abstractNumId w:val="11"/>
  </w:num>
  <w:num w:numId="29" w16cid:durableId="1089738492">
    <w:abstractNumId w:val="9"/>
  </w:num>
  <w:num w:numId="30" w16cid:durableId="514226235">
    <w:abstractNumId w:val="6"/>
  </w:num>
  <w:num w:numId="31" w16cid:durableId="491071733">
    <w:abstractNumId w:val="7"/>
  </w:num>
  <w:num w:numId="32" w16cid:durableId="2081320391">
    <w:abstractNumId w:val="14"/>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2"/>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048F"/>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2F20"/>
    <w:rsid w:val="001F53A4"/>
    <w:rsid w:val="001F581B"/>
    <w:rsid w:val="001F5E53"/>
    <w:rsid w:val="00200884"/>
    <w:rsid w:val="002015DA"/>
    <w:rsid w:val="0020291B"/>
    <w:rsid w:val="00202CF0"/>
    <w:rsid w:val="0020313E"/>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90F9B"/>
    <w:rsid w:val="00291432"/>
    <w:rsid w:val="00291A99"/>
    <w:rsid w:val="0029256A"/>
    <w:rsid w:val="00296742"/>
    <w:rsid w:val="0029745E"/>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603"/>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817"/>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C7"/>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0A41"/>
    <w:rsid w:val="006C1AE1"/>
    <w:rsid w:val="006C342C"/>
    <w:rsid w:val="006C37A1"/>
    <w:rsid w:val="006C38E4"/>
    <w:rsid w:val="006C417C"/>
    <w:rsid w:val="006C540A"/>
    <w:rsid w:val="006C66FA"/>
    <w:rsid w:val="006C7A73"/>
    <w:rsid w:val="006D0391"/>
    <w:rsid w:val="006D0DA8"/>
    <w:rsid w:val="006D1DCE"/>
    <w:rsid w:val="006D2684"/>
    <w:rsid w:val="006D3DB3"/>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30AE"/>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2EE7"/>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4AEA"/>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339"/>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24F"/>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627"/>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23E"/>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3003</TotalTime>
  <Pages>11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20962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4</cp:revision>
  <dcterms:created xsi:type="dcterms:W3CDTF">2023-06-24T13:46:00Z</dcterms:created>
  <dcterms:modified xsi:type="dcterms:W3CDTF">2023-06-26T15:50:00Z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