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620A3D93"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EE7315">
              <w:rPr>
                <w:b w:val="0"/>
                <w:sz w:val="20"/>
              </w:rPr>
              <w:t>02</w:t>
            </w:r>
            <w:r w:rsidR="004C39DB">
              <w:rPr>
                <w:b w:val="0"/>
                <w:sz w:val="20"/>
              </w:rPr>
              <w:t>-</w:t>
            </w:r>
            <w:r w:rsidR="00EE7315">
              <w:rPr>
                <w:b w:val="0"/>
                <w:sz w:val="20"/>
              </w:rPr>
              <w:t>03</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635231" w:rsidRDefault="00635231">
                            <w:pPr>
                              <w:pStyle w:val="T1"/>
                              <w:spacing w:after="120"/>
                            </w:pPr>
                            <w:r>
                              <w:t>Abstract</w:t>
                            </w:r>
                          </w:p>
                          <w:p w14:paraId="62DD9F26" w14:textId="75CC5DF7" w:rsidR="00635231" w:rsidRDefault="00635231"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635231" w:rsidRPr="001B4791" w:rsidRDefault="0063523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635231" w:rsidRDefault="00635231">
                      <w:pPr>
                        <w:pStyle w:val="T1"/>
                        <w:spacing w:after="120"/>
                      </w:pPr>
                      <w:r>
                        <w:t>Abstract</w:t>
                      </w:r>
                    </w:p>
                    <w:p w14:paraId="62DD9F26" w14:textId="75CC5DF7" w:rsidR="00635231" w:rsidRDefault="00635231"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635231" w:rsidRPr="001B4791" w:rsidRDefault="00635231">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5"/>
      <w:r>
        <w:t xml:space="preserve"> For </w:t>
      </w:r>
      <w:r w:rsidRPr="00FB6F5F">
        <w:rPr>
          <w:highlight w:val="yellow"/>
        </w:rPr>
        <w:t>ERP-OFDM PPDUs</w:t>
      </w:r>
      <w:r>
        <w:t>, the DATA field that contains the SERVICE field, the PSDU, the TAIL bits, and the PAD bits shall follow 17.3.5 (DATA field).</w:t>
      </w:r>
      <w:commentRangeEnd w:id="5"/>
      <w:r w:rsidR="0061794F">
        <w:rPr>
          <w:rStyle w:val="CommentReference"/>
        </w:rPr>
        <w:commentReference w:id="5"/>
      </w:r>
    </w:p>
    <w:p w14:paraId="3EADADA4" w14:textId="5078813D" w:rsidR="00FB6F5F" w:rsidRDefault="00FB6F5F" w:rsidP="00FB6F5F">
      <w:r w:rsidRPr="00FB6F5F">
        <w:rPr>
          <w:highlight w:val="yellow"/>
        </w:rPr>
        <w:t>An ERP-OFDM PPDU</w:t>
      </w:r>
      <w:r>
        <w:t xml:space="preserve"> is (#14)immediately followed by a period of no transmission with a duration of aSignalExtension(#14)</w:t>
      </w:r>
    </w:p>
    <w:p w14:paraId="27EB32B6" w14:textId="77777777" w:rsidR="00FB6F5F" w:rsidRDefault="00FB6F5F" w:rsidP="00FB6F5F"/>
    <w:p w14:paraId="05054A8F" w14:textId="1EE74F86" w:rsidR="00FB6F5F" w:rsidRDefault="00FB6F5F" w:rsidP="00FB6F5F">
      <w:r>
        <w:t xml:space="preserve">18.4.7.3: The transmit spectral mask for </w:t>
      </w:r>
      <w:r w:rsidRPr="00FB6F5F">
        <w:rPr>
          <w:highlight w:val="yellow"/>
        </w:rPr>
        <w:t>ERP-OFDM PPDUs</w:t>
      </w:r>
      <w:r>
        <w:t xml:space="preserve"> shall follow 17.3.9.3 (Transmit spectrum mask) and is shown in Figure 17-13 (Transmit spectrum mask for 20 MHz transmission) therein. The transmit spectral mask </w:t>
      </w:r>
      <w:r>
        <w:lastRenderedPageBreak/>
        <w:t xml:space="preserve">for </w:t>
      </w:r>
      <w:commentRangeStart w:id="6"/>
      <w:r w:rsidRPr="00FB6F5F">
        <w:rPr>
          <w:highlight w:val="yellow"/>
        </w:rPr>
        <w:t>ERP-DSSS PPDUs</w:t>
      </w:r>
      <w:commentRangeEnd w:id="6"/>
      <w:r w:rsidR="00C56355">
        <w:rPr>
          <w:rStyle w:val="CommentReference"/>
        </w:rPr>
        <w:commentReference w:id="6"/>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Subclause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7"/>
      <w:r w:rsidRPr="00FB6F5F">
        <w:rPr>
          <w:highlight w:val="yellow"/>
        </w:rPr>
        <w:t>ERP-DSSS PPDUs</w:t>
      </w:r>
      <w:commentRangeEnd w:id="7"/>
      <w:r w:rsidR="00C56355">
        <w:rPr>
          <w:rStyle w:val="CommentReference"/>
        </w:rPr>
        <w:commentReference w:id="7"/>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8"/>
      <w:r w:rsidR="00C56355">
        <w:t xml:space="preserve">ERP-CCK </w:t>
      </w:r>
      <w:r w:rsidR="00C56355" w:rsidRPr="00C56355">
        <w:rPr>
          <w:highlight w:val="yellow"/>
        </w:rPr>
        <w:t>PPDUs</w:t>
      </w:r>
      <w:commentRangeEnd w:id="8"/>
      <w:r w:rsidR="00C56355">
        <w:rPr>
          <w:rStyle w:val="CommentReference"/>
        </w:rPr>
        <w:commentReference w:id="8"/>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9"/>
      <w:r w:rsidRPr="00FB6F5F">
        <w:rPr>
          <w:highlight w:val="yellow"/>
        </w:rPr>
        <w:t>ERP-DSSS PPDUs</w:t>
      </w:r>
      <w:commentRangeEnd w:id="9"/>
      <w:r w:rsidR="00C56355">
        <w:rPr>
          <w:rStyle w:val="CommentReference"/>
        </w:rPr>
        <w:commentReference w:id="9"/>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10"/>
      <w:r>
        <w:t>{ the STA's MAC address }</w:t>
      </w:r>
      <w:commentRangeEnd w:id="10"/>
      <w:r w:rsidR="00F13D90">
        <w:rPr>
          <w:rStyle w:val="CommentReference"/>
        </w:rPr>
        <w:commentReference w:id="10"/>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1"/>
      <w:r>
        <w:t>{ dot11BeaconPeriod / 4 }</w:t>
      </w:r>
      <w:commentRangeEnd w:id="11"/>
      <w:r w:rsidR="00F13D90">
        <w:rPr>
          <w:rStyle w:val="CommentReference"/>
        </w:rPr>
        <w:commentReference w:id="11"/>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1571DC" w:rsidRDefault="00FD0C1D" w:rsidP="00FD0C1D">
      <w:pPr>
        <w:ind w:left="720" w:firstLine="720"/>
        <w:rPr>
          <w:i/>
        </w:rPr>
      </w:pPr>
      <w:r w:rsidRPr="001571DC">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2"/>
      <w:r>
        <w:t>MIC</w:t>
      </w:r>
      <w:commentRangeEnd w:id="12"/>
      <w:r w:rsidR="00AA4A5E">
        <w:rPr>
          <w:rStyle w:val="CommentReference"/>
        </w:rPr>
        <w:commentReference w:id="12"/>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3"/>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3"/>
            <w:r w:rsidR="000C3871">
              <w:rPr>
                <w:rStyle w:val="CommentReference"/>
                <w:color w:val="auto"/>
                <w:w w:val="100"/>
                <w:lang w:val="en-GB" w:eastAsia="en-US"/>
              </w:rPr>
              <w:commentReference w:id="13"/>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4"/>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4"/>
      <w:r w:rsidR="00966607">
        <w:rPr>
          <w:rStyle w:val="CommentReference"/>
        </w:rPr>
        <w:commentReference w:id="14"/>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5"/>
      <w:r>
        <w:t>indicate</w:t>
      </w:r>
      <w:r>
        <w:rPr>
          <w:u w:val="single"/>
        </w:rPr>
        <w:t xml:space="preserve"> </w:t>
      </w:r>
      <w:r w:rsidR="0005255A">
        <w:rPr>
          <w:u w:val="single"/>
        </w:rPr>
        <w:t>an</w:t>
      </w:r>
      <w:r>
        <w:t xml:space="preserve"> AKM of TPK handshake (suite type 00-0F-AC:7)</w:t>
      </w:r>
      <w:commentRangeEnd w:id="15"/>
      <w:r w:rsidR="0005255A">
        <w:rPr>
          <w:rStyle w:val="CommentReference"/>
        </w:rPr>
        <w:commentReference w:id="15"/>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4E5624">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6"/>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6"/>
      <w:r w:rsidR="008B7D82">
        <w:rPr>
          <w:rStyle w:val="CommentReference"/>
        </w:rPr>
        <w:commentReference w:id="16"/>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7"/>
      <w:r>
        <w:t>italicising the title.</w:t>
      </w:r>
      <w:commentRangeEnd w:id="17"/>
      <w:r>
        <w:rPr>
          <w:rStyle w:val="CommentReference"/>
        </w:rPr>
        <w:commentReference w:id="17"/>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77777777" w:rsidR="00A51238" w:rsidRDefault="00A51238"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01878321" w:rsidR="0057286E" w:rsidRDefault="0057286E" w:rsidP="00717B85"/>
    <w:p w14:paraId="6BAB82C7" w14:textId="7DEDAC3E" w:rsidR="00A305C5" w:rsidRDefault="00A305C5" w:rsidP="00A305C5">
      <w:pPr>
        <w:ind w:left="720"/>
      </w:pPr>
      <w:r>
        <w:t>c) If the recipient set the MFPC bit on a given link to 1, it(#199) shall maintain a single replay counter for received individually addressed</w:t>
      </w:r>
      <w:r>
        <w:rPr>
          <w:u w:val="single"/>
        </w:rPr>
        <w:t xml:space="preserve"> non-PV1</w:t>
      </w:r>
      <w:r>
        <w:t xml:space="preserve"> robust Management frames that are received with the To DS subfield equal to 0, and</w:t>
      </w:r>
      <w:r>
        <w:rPr>
          <w:u w:val="single"/>
        </w:rPr>
        <w:t xml:space="preserve"> (S1G STA only)</w:t>
      </w:r>
      <w:r>
        <w:t xml:space="preserve">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w:t>
      </w:r>
      <w:r>
        <w:rPr>
          <w:u w:val="single"/>
        </w:rPr>
        <w:t xml:space="preserve"> non-PV1</w:t>
      </w:r>
      <w:r>
        <w:t xml:space="preserve"> robust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The QMF </w:t>
      </w:r>
      <w:r>
        <w:t xml:space="preserve">receiver shall use the ACI encoded in the Sequence Number field of the received frame to select the replay counter to use for the received frame, and shall use the PN from the received frame to detect </w:t>
      </w:r>
      <w:r>
        <w:lastRenderedPageBreak/>
        <w:t>replays.</w:t>
      </w:r>
      <w:r w:rsidRPr="00265A86">
        <w:rPr>
          <w:strike/>
        </w:rPr>
        <w:t xml:space="preserve"> A replayed frame occurs when the PN from the frame is less than or equal to the current value of the management frame replay counter that corresponds to the ACI of the frame.</w:t>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022B05A8" w:rsidR="00A305C5" w:rsidRDefault="00A305C5" w:rsidP="00A305C5">
      <w:pPr>
        <w:ind w:left="720"/>
      </w:pPr>
      <w:r>
        <w:t>d) The receiver shall discard any Data frame that is received with its PN less than or equal to the value of the replay counter that is associated with the TA and priority value of the received MPDU. The receiver shall discard MSDUs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non-PV1 robust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6F9E4911" w:rsidR="00A305C5" w:rsidRPr="001B0F3C" w:rsidRDefault="001B0F3C" w:rsidP="00717B85">
      <w:r w:rsidRPr="001B0F3C">
        <w:t>Change 12.5.2.4.1 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116B0D8" w:rsidR="001B0F3C" w:rsidRPr="001B0F3C" w:rsidRDefault="001B0F3C" w:rsidP="001B0F3C">
      <w:pPr>
        <w:ind w:left="720"/>
      </w:pPr>
      <w:r w:rsidRPr="0057286E">
        <w:rPr>
          <w:u w:val="single"/>
        </w:rPr>
        <w:t>NOTE</w:t>
      </w:r>
      <w:r>
        <w:rPr>
          <w:u w:val="single"/>
        </w:rPr>
        <w:t xml:space="preserve"> 3</w:t>
      </w:r>
      <w:r w:rsidRPr="0057286E">
        <w:rPr>
          <w:u w:val="single"/>
        </w:rPr>
        <w:t>—QMF is not supported for PV1 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611EF40C" w:rsidR="0097175F" w:rsidRDefault="0097175F" w:rsidP="001B0F3C">
      <w:pPr>
        <w:rPr>
          <w:u w:val="single"/>
        </w:rPr>
      </w:pPr>
    </w:p>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received group addressed robust Management frames that use QMF. The receiver shall use the ACI encoded in</w:t>
      </w:r>
      <w:r>
        <w:t xml:space="preserve"> </w:t>
      </w:r>
      <w:r w:rsidRPr="0097175F">
        <w:t>the Sequence Number field of received GQMFs protected by BIP to select the replay counter to use for the</w:t>
      </w:r>
      <w:r>
        <w:t xml:space="preserve"> </w:t>
      </w:r>
      <w:r w:rsidRPr="0097175F">
        <w:t>received frame, and shall use the IPN from the received frame to detect replays.</w:t>
      </w:r>
    </w:p>
    <w:p w14:paraId="35060F9C" w14:textId="65535911" w:rsidR="0097175F" w:rsidRPr="001B0F3C" w:rsidRDefault="0097175F" w:rsidP="0097175F">
      <w:pPr>
        <w:ind w:left="720"/>
      </w:pPr>
      <w:r w:rsidRPr="0057286E">
        <w:rPr>
          <w:u w:val="single"/>
        </w:rPr>
        <w:t>NOTE—QMF is not supported for PV1 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BF5358C" w:rsidR="0097175F" w:rsidRPr="0097175F" w:rsidRDefault="0097175F" w:rsidP="0097175F">
      <w:pPr>
        <w:ind w:left="720"/>
      </w:pPr>
      <w:r w:rsidRPr="0097175F">
        <w:t>If dot11RSNAProtectedManagementFramesActivated is true and dot11MeshSecurityActivated is true, the</w:t>
      </w:r>
      <w:r>
        <w:t xml:space="preserve"> </w:t>
      </w:r>
      <w:r w:rsidRPr="0097175F">
        <w:t>recipient shall maintain a single replay counter for received group addressed robust Management frames that</w:t>
      </w:r>
      <w:r>
        <w:t xml:space="preserve"> </w:t>
      </w:r>
      <w:r w:rsidRPr="0097175F">
        <w:t>do not use the QMF service and shall use the PN from the received frame to detect replays. If</w:t>
      </w:r>
      <w:r>
        <w:t xml:space="preserve"> </w:t>
      </w:r>
      <w:r w:rsidRPr="0097175F">
        <w:t xml:space="preserve">dot11QMFActivated is also true, the recipient shall maintain an additional replay counter for each ACI </w:t>
      </w:r>
      <w:r w:rsidRPr="0097175F">
        <w:lastRenderedPageBreak/>
        <w:t>for</w:t>
      </w:r>
      <w:r>
        <w:t xml:space="preserve"> </w:t>
      </w:r>
      <w:r w:rsidRPr="0097175F">
        <w:t>received group addressed robust Management frames that use the QMF service. The QMF receiver shall use</w:t>
      </w:r>
      <w:r>
        <w:t xml:space="preserve"> </w:t>
      </w:r>
      <w:r w:rsidRPr="0097175F">
        <w:t>the ACI encoded in the Sequence Number field of the received frame to select the replay counter to use for the</w:t>
      </w:r>
      <w:r>
        <w:t xml:space="preserve"> </w:t>
      </w:r>
      <w:r w:rsidRPr="0097175F">
        <w:t>received frame, and shall use the PN from the received frame to detect replays. A replayed frame occurs when</w:t>
      </w:r>
      <w:r>
        <w:t xml:space="preserve"> </w:t>
      </w:r>
      <w:r w:rsidRPr="0097175F">
        <w:t>the PN from the frame is less than or equal to the value of the management frame replay counter that</w:t>
      </w:r>
      <w:r>
        <w:t xml:space="preserve"> </w:t>
      </w:r>
      <w:r w:rsidRPr="0097175F">
        <w:t>corresponds to the ACI of the frame. The transmitter shall preserve the order of protected robust Management</w:t>
      </w:r>
      <w:r>
        <w:t xml:space="preserve"> </w:t>
      </w:r>
      <w:r w:rsidRPr="0097175F">
        <w:t>frames transmitted to the same DA without the QMF service. When the QMF service is used, the transmitter</w:t>
      </w:r>
      <w:r>
        <w:t xml:space="preserve"> </w:t>
      </w:r>
      <w:r w:rsidRPr="0097175F">
        <w:t>shall not reorder robust GQMFs within an AC when the frames are transmitted to the same RA.</w:t>
      </w:r>
    </w:p>
    <w:p w14:paraId="5087E719" w14:textId="6C897B2C" w:rsidR="0097175F" w:rsidRDefault="0097175F" w:rsidP="001B0F3C">
      <w:pPr>
        <w:rPr>
          <w:u w:val="single"/>
        </w:rPr>
      </w:pPr>
    </w:p>
    <w:p w14:paraId="71473CD8" w14:textId="501F1116"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7F203AD8" w:rsidR="0097175F" w:rsidRPr="0097175F" w:rsidRDefault="0097175F" w:rsidP="0097175F">
      <w:pPr>
        <w:ind w:left="720"/>
      </w:pPr>
      <w:r w:rsidRPr="0097175F">
        <w:t xml:space="preserve">NOTE—QMF is not supported for PV1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75AE58FE" w14:textId="68B5EE3B" w:rsidR="00A15B35" w:rsidRPr="00A15B35" w:rsidRDefault="00A15B35" w:rsidP="001B0F3C">
      <w:r w:rsidRPr="00A15B35">
        <w:rPr>
          <w:highlight w:val="yellow"/>
        </w:rPr>
        <w:t>Make equivalent changes in the G</w:t>
      </w:r>
      <w:r w:rsidRPr="0097175F">
        <w:rPr>
          <w:highlight w:val="yellow"/>
        </w:rPr>
        <w:t>CMP subclauses,</w:t>
      </w:r>
      <w:r w:rsidR="0097175F" w:rsidRPr="0097175F">
        <w:rPr>
          <w:highlight w:val="yellow"/>
        </w:rPr>
        <w:t xml:space="preserve"> but only for PV0 (“An S1G STA shall not use PV1 frames when using GCMP encapsulation.</w:t>
      </w:r>
      <w:r w:rsidR="0097175F">
        <w:rPr>
          <w:highlight w:val="yellow"/>
        </w:rPr>
        <w:t>” in 12.5.4.1)</w:t>
      </w:r>
      <w:r w:rsidRPr="00A15B35">
        <w:rPr>
          <w:highlight w:val="yellow"/>
        </w:rPr>
        <w:t>.</w:t>
      </w:r>
    </w:p>
    <w:p w14:paraId="0344C51D" w14:textId="77777777" w:rsidR="00A15B35" w:rsidRDefault="00A15B35"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7A496C24"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18"/>
      <w:r w:rsidR="009866FE">
        <w:rPr>
          <w:u w:val="single"/>
        </w:rPr>
        <w:t>except that MLME-ADDBA primitives are not used</w:t>
      </w:r>
      <w:commentRangeEnd w:id="18"/>
      <w:r w:rsidR="001E0F7A">
        <w:rPr>
          <w:rStyle w:val="CommentReference"/>
        </w:rPr>
        <w:commentReference w:id="18"/>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19"/>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19"/>
      <w:r w:rsidR="00B615F9">
        <w:rPr>
          <w:rStyle w:val="CommentReference"/>
        </w:rPr>
        <w:commentReference w:id="19"/>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74BEAA26" w14:textId="0FC44E1F" w:rsidR="00445325" w:rsidRDefault="00445325" w:rsidP="00445325">
      <w:r w:rsidRPr="00445325">
        <w:t>Here</w:t>
      </w:r>
      <w:r>
        <w:t xml:space="preserve"> are the instances of “drop” excluding those adjacent to { </w:t>
      </w:r>
      <w:r w:rsidRPr="00B6449B">
        <w:t>eligib protectedframe dot11 level eaves</w:t>
      </w:r>
      <w:r>
        <w:t xml:space="preserve"> }</w:t>
      </w:r>
      <w:r w:rsidR="00F529AB">
        <w:t xml:space="preserve"> -- it is proposed to change “drop”</w:t>
      </w:r>
      <w:r w:rsidR="000B38C9">
        <w:t>/“dropped”</w:t>
      </w:r>
      <w:r w:rsidR="00F529AB">
        <w:t xml:space="preserve"> highlighted in yellow to “discard”</w:t>
      </w:r>
      <w:r w:rsidR="000B38C9">
        <w:t>/“discarded”</w:t>
      </w:r>
      <w:r>
        <w:t>:</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4634D7AE" w:rsidR="00445325" w:rsidRDefault="00445325" w:rsidP="00445325">
      <w:r>
        <w:t xml:space="preserve">2628.17: If the GAMode associated with the Query Request is true and the advertisement server(#571) has no response to the Query Request, the advertisement server(#571) may </w:t>
      </w:r>
      <w:commentRangeStart w:id="20"/>
      <w:r w:rsidRPr="00445325">
        <w:rPr>
          <w:highlight w:val="yellow"/>
        </w:rPr>
        <w:t>drop</w:t>
      </w:r>
      <w:commentRangeEnd w:id="20"/>
      <w:r w:rsidR="00F529AB">
        <w:rPr>
          <w:rStyle w:val="CommentReference"/>
        </w:rPr>
        <w:commentReference w:id="20"/>
      </w:r>
      <w:r>
        <w:t xml:space="preserve"> the request.</w:t>
      </w:r>
    </w:p>
    <w:p w14:paraId="7442FE62" w14:textId="621F9F66"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6098AE8D" w:rsidR="00445325" w:rsidRDefault="00445325" w:rsidP="00445325">
      <w:r>
        <w:t xml:space="preserve">2629.49: If the query response is subsequently received from the advertisement server(#571), it shall be </w:t>
      </w:r>
      <w:r w:rsidRPr="00445325">
        <w:rPr>
          <w:highlight w:val="yellow"/>
        </w:rPr>
        <w:t>dropped</w:t>
      </w:r>
      <w:r>
        <w:t xml:space="preserve"> by the responding STA.</w:t>
      </w:r>
    </w:p>
    <w:p w14:paraId="5C6D3A5A" w14:textId="729465FC" w:rsidR="00445325" w:rsidRPr="00445325" w:rsidRDefault="00445325" w:rsidP="00445325">
      <w:r>
        <w:t xml:space="preserve">2629.57: NOTE—If there is no response to the Query Request, the advertisement server(#571) may </w:t>
      </w:r>
      <w:r w:rsidRPr="00445325">
        <w:rPr>
          <w:highlight w:val="yellow"/>
        </w:rPr>
        <w:t>drop</w:t>
      </w:r>
      <w:r>
        <w:t xml:space="preserve"> the request.</w:t>
      </w:r>
    </w:p>
    <w:p w14:paraId="7D7E598D" w14:textId="105D167A"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445325">
        <w:rPr>
          <w:highlight w:val="yellow"/>
        </w:rPr>
        <w:t>dropped</w:t>
      </w:r>
      <w:r w:rsidRPr="00445325">
        <w:t xml:space="preserve"> by the responding STA.</w:t>
      </w:r>
    </w:p>
    <w:p w14:paraId="7411CA6D" w14:textId="26A44676" w:rsidR="00445325" w:rsidRDefault="00445325" w:rsidP="00445325">
      <w:r>
        <w:t xml:space="preserve">2630.24: If the query response is subsequently received from the advertisement server(#571), it shall be </w:t>
      </w:r>
      <w:r w:rsidRPr="00445325">
        <w:rPr>
          <w:highlight w:val="yellow"/>
        </w:rPr>
        <w:t>dropped</w:t>
      </w:r>
      <w:r>
        <w:t xml:space="preserve"> by the STA.</w:t>
      </w:r>
    </w:p>
    <w:p w14:paraId="7376DE77" w14:textId="78B3992B" w:rsidR="00445325" w:rsidRDefault="00445325" w:rsidP="00445325">
      <w:r>
        <w:t xml:space="preserve">2) If the Query Response received from the advertisement server(#571) is larger than dot11GASQueryResponseLengthLimit, it shall be </w:t>
      </w:r>
      <w:r w:rsidRPr="00445325">
        <w:rPr>
          <w:highlight w:val="yellow"/>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t xml:space="preserve">2832.57: The mesh STA with the numerically greater of the two MAC addresses shall </w:t>
      </w:r>
      <w:r w:rsidRPr="00F529AB">
        <w:rPr>
          <w:highlight w:val="yellow"/>
        </w:rPr>
        <w:t>drop</w:t>
      </w:r>
      <w:r>
        <w:t xml:space="preserve"> the received SAE Commit message</w:t>
      </w:r>
    </w:p>
    <w:p w14:paraId="6EDA438B" w14:textId="77704FA0" w:rsidR="009A2605" w:rsidRDefault="009A2605" w:rsidP="009A2605">
      <w:r>
        <w:t xml:space="preserve">2942.17: Any (#1836)EAPOL-Key PDUs with an invalid MIC are </w:t>
      </w:r>
      <w:r w:rsidRPr="009A2605">
        <w:rPr>
          <w:highlight w:val="yellow"/>
        </w:rPr>
        <w:t>dropped</w:t>
      </w:r>
      <w:r>
        <w:t xml:space="preserve"> and ignored.</w:t>
      </w:r>
    </w:p>
    <w:p w14:paraId="2AABA77C" w14:textId="7E742F57" w:rsidR="009A2605" w:rsidRDefault="009A2605" w:rsidP="009A2605">
      <w:r>
        <w:lastRenderedPageBreak/>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4BB14DB3"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685CC495" w14:textId="77777777" w:rsidR="00F529AB" w:rsidRDefault="00F529AB" w:rsidP="00F529AB">
      <w:r>
        <w:t xml:space="preserve">5683.52: With </w:t>
      </w:r>
      <w:r w:rsidRPr="00596461">
        <w:rPr>
          <w:i/>
        </w:rPr>
        <w:t>p</w:t>
      </w:r>
      <w:r>
        <w:t xml:space="preserve"> as the probability of </w:t>
      </w:r>
      <w:commentRangeStart w:id="21"/>
      <w:r w:rsidRPr="00F529AB">
        <w:rPr>
          <w:highlight w:val="yellow"/>
        </w:rPr>
        <w:t>dropping</w:t>
      </w:r>
      <w:commentRangeEnd w:id="21"/>
      <w:r w:rsidR="00596461">
        <w:rPr>
          <w:rStyle w:val="CommentReference"/>
        </w:rPr>
        <w:commentReference w:id="21"/>
      </w:r>
      <w:r>
        <w:t xml:space="preserve"> the frame, and </w:t>
      </w:r>
      <w:r w:rsidRPr="00596461">
        <w:rPr>
          <w:i/>
        </w:rPr>
        <w:t>p</w:t>
      </w:r>
      <w:r w:rsidRPr="00596461">
        <w:rPr>
          <w:i/>
          <w:vertAlign w:val="subscript"/>
        </w:rPr>
        <w:t>e</w:t>
      </w:r>
      <w:r>
        <w:t xml:space="preserve"> as the</w:t>
      </w:r>
    </w:p>
    <w:p w14:paraId="49EE74C6" w14:textId="77777777" w:rsidR="00F529AB" w:rsidRDefault="00F529AB" w:rsidP="00F529AB">
      <w:r>
        <w:t>probability of the frame not being transmitted successfully (i.e., either the Data frame or the Ack frame</w:t>
      </w:r>
    </w:p>
    <w:p w14:paraId="5C02B84E" w14:textId="77777777" w:rsidR="00F529AB" w:rsidRDefault="00F529AB" w:rsidP="00F529AB">
      <w:r>
        <w:t xml:space="preserve">associated with it is in error), let </w:t>
      </w:r>
      <w:r w:rsidRPr="00596461">
        <w:rPr>
          <w:i/>
        </w:rPr>
        <w:t>N</w:t>
      </w:r>
      <w:r w:rsidRPr="00596461">
        <w:rPr>
          <w:i/>
          <w:vertAlign w:val="subscript"/>
        </w:rPr>
        <w:t>p</w:t>
      </w:r>
      <w:r w:rsidRPr="00596461">
        <w:rPr>
          <w:i/>
        </w:rPr>
        <w:t xml:space="preserve"> </w:t>
      </w:r>
      <w:r>
        <w:t xml:space="preserve">be the number of retries required to maintain the probability of </w:t>
      </w:r>
      <w:r w:rsidRPr="00F529AB">
        <w:rPr>
          <w:highlight w:val="yellow"/>
        </w:rPr>
        <w:t>dropping</w:t>
      </w:r>
    </w:p>
    <w:p w14:paraId="6F656325" w14:textId="77777777" w:rsidR="00F529AB" w:rsidRDefault="00F529AB" w:rsidP="00F529AB">
      <w:r>
        <w:t xml:space="preserve">the frame to be </w:t>
      </w:r>
      <w:r w:rsidRPr="00596461">
        <w:rPr>
          <w:i/>
        </w:rPr>
        <w:t>p</w:t>
      </w:r>
      <w:r>
        <w:t xml:space="preserve">. </w:t>
      </w:r>
    </w:p>
    <w:p w14:paraId="1F998857" w14:textId="77777777" w:rsidR="00F529AB" w:rsidRDefault="00F529AB" w:rsidP="00F529AB">
      <w:r>
        <w:t xml:space="preserve">The probability of any given packet being </w:t>
      </w:r>
      <w:r w:rsidRPr="00F529AB">
        <w:rPr>
          <w:highlight w:val="yellow"/>
        </w:rPr>
        <w:t>dropped</w:t>
      </w:r>
      <w:r>
        <w:t xml:space="preserve"> in such a channel after </w:t>
      </w:r>
      <w:r w:rsidRPr="00596461">
        <w:rPr>
          <w:i/>
        </w:rPr>
        <w:t>N</w:t>
      </w:r>
      <w:r w:rsidRPr="00596461">
        <w:rPr>
          <w:i/>
          <w:vertAlign w:val="subscript"/>
        </w:rPr>
        <w:t>p</w:t>
      </w:r>
      <w:r>
        <w:t xml:space="preserve"> retries is given by</w:t>
      </w:r>
    </w:p>
    <w:p w14:paraId="732E1381" w14:textId="58662F7E" w:rsidR="00F529AB" w:rsidRPr="00596461" w:rsidRDefault="00F529AB" w:rsidP="00F529AB">
      <w:pPr>
        <w:rPr>
          <w:i/>
          <w:vertAlign w:val="superscript"/>
        </w:rPr>
      </w:pPr>
      <w:r w:rsidRPr="00596461">
        <w:rPr>
          <w:i/>
        </w:rPr>
        <w:t>p</w:t>
      </w:r>
      <w:r w:rsidRPr="00596461">
        <w:rPr>
          <w:i/>
          <w:highlight w:val="yellow"/>
          <w:vertAlign w:val="subscript"/>
        </w:rPr>
        <w:t>drop</w:t>
      </w:r>
      <w:r w:rsidRPr="00596461">
        <w:rPr>
          <w:i/>
        </w:rPr>
        <w:t xml:space="preserve"> = p</w:t>
      </w:r>
      <w:r w:rsidRPr="00596461">
        <w:rPr>
          <w:i/>
          <w:vertAlign w:val="subscript"/>
        </w:rPr>
        <w:t>e</w:t>
      </w:r>
      <w:r w:rsidRPr="00596461">
        <w:rPr>
          <w:i/>
          <w:vertAlign w:val="superscript"/>
        </w:rPr>
        <w:t>Np + 1</w:t>
      </w:r>
    </w:p>
    <w:p w14:paraId="5E6D5F91" w14:textId="77777777" w:rsidR="00F529AB" w:rsidRDefault="00F529AB" w:rsidP="00F529AB">
      <w:r>
        <w:t xml:space="preserve">For example, in such a channel, if </w:t>
      </w:r>
      <w:r w:rsidRPr="00596461">
        <w:rPr>
          <w:i/>
        </w:rPr>
        <w:t>p</w:t>
      </w:r>
      <w:r w:rsidRPr="00596461">
        <w:rPr>
          <w:i/>
          <w:vertAlign w:val="subscript"/>
        </w:rPr>
        <w:t>e</w:t>
      </w:r>
      <w:r w:rsidRPr="00596461">
        <w:rPr>
          <w:i/>
        </w:rPr>
        <w:t xml:space="preserve"> </w:t>
      </w:r>
      <w:r>
        <w:t xml:space="preserve">= 0.1 and </w:t>
      </w:r>
      <w:r w:rsidRPr="00596461">
        <w:rPr>
          <w:i/>
        </w:rPr>
        <w:t>p</w:t>
      </w:r>
      <w:r w:rsidRPr="00596461">
        <w:rPr>
          <w:i/>
          <w:highlight w:val="yellow"/>
          <w:vertAlign w:val="subscript"/>
        </w:rPr>
        <w:t>drop</w:t>
      </w:r>
      <w:r>
        <w:t xml:space="preserve"> = 10</w:t>
      </w:r>
      <w:r w:rsidRPr="00F529AB">
        <w:rPr>
          <w:vertAlign w:val="superscript"/>
        </w:rPr>
        <w:t>–8</w:t>
      </w:r>
      <w:r>
        <w:t>, then up to seven retries within the delay bound</w:t>
      </w:r>
    </w:p>
    <w:p w14:paraId="24F81592" w14:textId="77777777" w:rsidR="00F529AB" w:rsidRDefault="00F529AB" w:rsidP="00F529AB">
      <w:r>
        <w:t>are required, and the scheduler should consider these retransmissions in the cumulative TXOP allocations.</w:t>
      </w:r>
    </w:p>
    <w:p w14:paraId="5C6037FC" w14:textId="77777777" w:rsidR="00F529AB" w:rsidRDefault="00F529AB" w:rsidP="00F529AB">
      <w:r>
        <w:t>The Surplus Bandwidth Allowance (SBA) parameter causes the requesting STA to be allocated a minimum</w:t>
      </w:r>
    </w:p>
    <w:p w14:paraId="3896BA52" w14:textId="5FA4348B" w:rsidR="00445325" w:rsidRDefault="00F529AB" w:rsidP="00F529AB">
      <w:r>
        <w:t xml:space="preserve">amount of excess time by the scheduler so that the application </w:t>
      </w:r>
      <w:r w:rsidRPr="00F529AB">
        <w:rPr>
          <w:highlight w:val="yellow"/>
        </w:rPr>
        <w:t>dropped</w:t>
      </w:r>
      <w:r>
        <w:t xml:space="preserve"> packet rates are bounded.</w:t>
      </w:r>
    </w:p>
    <w:p w14:paraId="3980A525" w14:textId="4CA08BE5" w:rsidR="00F529AB" w:rsidRDefault="00F529AB" w:rsidP="00F529AB"/>
    <w:p w14:paraId="46239F04" w14:textId="3D631AE6" w:rsidR="00BC704C" w:rsidRDefault="00BC704C" w:rsidP="00F529AB">
      <w:r>
        <w:t xml:space="preserve">Also change “ignore” to </w:t>
      </w:r>
      <w:r w:rsidR="00CA6EA7">
        <w:t>“</w:t>
      </w:r>
      <w:r>
        <w:t>discard</w:t>
      </w:r>
      <w:r w:rsidR="00CA6EA7">
        <w:t>”</w:t>
      </w:r>
      <w:r>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lastRenderedPageBreak/>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3DAC9BE8" w14:textId="27F57CB2" w:rsidR="00BC704C" w:rsidRPr="00BC704C" w:rsidRDefault="00BC704C" w:rsidP="00BC704C">
      <w:pPr>
        <w:rPr>
          <w:b/>
        </w:rPr>
      </w:pPr>
      <w:r w:rsidRPr="00BC704C">
        <w:rPr>
          <w:b/>
        </w:rPr>
        <w:t>11.2.3.6 AP operation</w:t>
      </w:r>
    </w:p>
    <w:p w14:paraId="723D90E4" w14:textId="327966DE" w:rsidR="00BC704C" w:rsidRDefault="00BC704C" w:rsidP="00BC704C">
      <w:r>
        <w:t xml:space="preserve">Until the transmission of this BU either has succeeded or is presumed failed (when maximum retries are exceeded), the AP shall acknowledge but </w:t>
      </w:r>
      <w:r w:rsidRPr="00BC704C">
        <w:rPr>
          <w:highlight w:val="yellow"/>
        </w:rPr>
        <w:t>ignore</w:t>
      </w:r>
      <w:r>
        <w:t xml:space="preserve"> all PS-Poll frames from the same STA.</w:t>
      </w:r>
    </w:p>
    <w:p w14:paraId="4F27E25F" w14:textId="5CDE806B" w:rsidR="00BC704C" w:rsidRDefault="00BC704C" w:rsidP="00F529AB"/>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3B7B422C" w:rsidR="00BC704C" w:rsidRDefault="00BC704C" w:rsidP="00BC704C">
      <w:r>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commentRangeStart w:id="22"/>
      <w:r w:rsidRPr="00BC704C">
        <w:rPr>
          <w:highlight w:val="yellow"/>
        </w:rPr>
        <w:t>ignores</w:t>
      </w:r>
      <w:commentRangeEnd w:id="22"/>
      <w:r>
        <w:rPr>
          <w:rStyle w:val="CommentReference"/>
        </w:rPr>
        <w:commentReference w:id="22"/>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650B20FF" w14:textId="01AC1A33" w:rsidR="00BC704C" w:rsidRPr="00BC704C" w:rsidRDefault="00BC704C" w:rsidP="00BC704C">
      <w:pPr>
        <w:rPr>
          <w:b/>
        </w:rPr>
      </w:pPr>
      <w:r w:rsidRPr="00BC704C">
        <w:rPr>
          <w:b/>
        </w:rPr>
        <w:t>11.31.3.2 Transitioning between states</w:t>
      </w:r>
    </w:p>
    <w:p w14:paraId="5401622F" w14:textId="5D563130" w:rsidR="00BC704C" w:rsidRDefault="00BC704C" w:rsidP="00BC704C">
      <w:r>
        <w:t xml:space="preserve">Upon receipt of an FST Setup Request frame, the responder shall respond with an FST Setup Response frame unless it has a pending FST Setup Request frame addressed to the initiator and the responder has a numerically larger MAC address (see 12.7.1.1 (General) for comparison of MAC addresses) than the initiator’s MAC address, (#274)in which case the responder shall </w:t>
      </w:r>
      <w:r w:rsidRPr="00BC704C">
        <w:rPr>
          <w:highlight w:val="yellow"/>
        </w:rPr>
        <w:t>ignore</w:t>
      </w:r>
      <w:r>
        <w:t xml:space="preserve"> the received FST Setup </w:t>
      </w:r>
      <w:commentRangeStart w:id="23"/>
      <w:r>
        <w:t>Request</w:t>
      </w:r>
      <w:commentRangeEnd w:id="23"/>
      <w:r>
        <w:rPr>
          <w:rStyle w:val="CommentReference"/>
        </w:rPr>
        <w:commentReference w:id="23"/>
      </w:r>
      <w:r>
        <w:t>.</w:t>
      </w:r>
    </w:p>
    <w:p w14:paraId="6C1C8D7C" w14:textId="4CDAE08A"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commentRangeStart w:id="24"/>
      <w:r w:rsidRPr="00E46892">
        <w:rPr>
          <w:highlight w:val="yellow"/>
        </w:rPr>
        <w:t>ignore</w:t>
      </w:r>
      <w:commentRangeEnd w:id="24"/>
      <w:r>
        <w:rPr>
          <w:rStyle w:val="CommentReference"/>
        </w:rPr>
        <w:commentReference w:id="24"/>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lastRenderedPageBreak/>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7777777" w:rsidR="00E46892" w:rsidRPr="00445325" w:rsidRDefault="00E46892"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5"/>
      <w:r>
        <w:t>receiving STA’s BSSIDs</w:t>
      </w:r>
      <w:commentRangeEnd w:id="25"/>
      <w:r>
        <w:rPr>
          <w:rStyle w:val="CommentReference"/>
        </w:rPr>
        <w:commentReference w:id="25"/>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26"/>
      <w:r>
        <w:t>10.25.5 Selection of BlockAck and BlockAckReq variants:</w:t>
      </w:r>
      <w:commentRangeEnd w:id="26"/>
      <w:r>
        <w:rPr>
          <w:rStyle w:val="CommentReference"/>
        </w:rPr>
        <w:commentReference w:id="26"/>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7"/>
      <w:r w:rsidRPr="00BF483F">
        <w:t>10.70.1 General</w:t>
      </w:r>
      <w:r>
        <w:t>:</w:t>
      </w:r>
      <w:commentRangeEnd w:id="27"/>
      <w:r w:rsidR="0070601A">
        <w:rPr>
          <w:rStyle w:val="CommentReference"/>
        </w:rPr>
        <w:commentReference w:id="27"/>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28"/>
      <w:r>
        <w:t>dot11RMNeighborReportExtCapSPSMPSup</w:t>
      </w:r>
      <w:commentRangeEnd w:id="28"/>
      <w:r>
        <w:rPr>
          <w:rStyle w:val="CommentReference"/>
        </w:rPr>
        <w:commentReference w:id="28"/>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0882FAC7" w:rsidR="00C451E5" w:rsidRDefault="00C451E5" w:rsidP="00C451E5">
      <w:r w:rsidRPr="00C451E5">
        <w:t>dot11STACivicLocation</w:t>
      </w:r>
      <w:r>
        <w:t xml:space="preserve"> does indeed not appear in the main body of the standard, but it influences </w:t>
      </w:r>
      <w:r w:rsidRPr="00C451E5">
        <w:t>dot11RMLCIConfigured</w:t>
      </w:r>
      <w:r>
        <w:t xml:space="preserve">, which “is written by the SME, which sets it to false when an external management entity configures dot11STACivicLocation and dot11STACivicLocationType” and does appear in the main body of the standard.  So this part of the comment at least should be </w:t>
      </w:r>
      <w:r w:rsidR="00581896">
        <w:t xml:space="preserve">rejected, e.g. “Setting dot11STACivicLocation or dot11STACivicLocationType can change </w:t>
      </w:r>
      <w:r w:rsidR="00581896" w:rsidRPr="00C451E5">
        <w:t>dot11RMLCIConfigured</w:t>
      </w:r>
      <w:r w:rsidR="00581896">
        <w:t xml:space="preserve"> and dot11RMCivic</w:t>
      </w:r>
      <w:r w:rsidR="00581896" w:rsidRPr="00C451E5">
        <w:t>Configured</w:t>
      </w:r>
      <w:r w:rsidR="00581896">
        <w:t>, so dot11STACivicLocation and dot11STACivicLocationType are indirectly referred to in the main body of the standard.”</w:t>
      </w:r>
    </w:p>
    <w:p w14:paraId="20A5D3AD" w14:textId="168EF49E" w:rsidR="00C451E5" w:rsidRDefault="00C451E5" w:rsidP="00C451E5"/>
    <w:p w14:paraId="054B1D9B" w14:textId="67DEEA5B" w:rsidR="00C451E5" w:rsidRDefault="00C451E5" w:rsidP="00C451E5">
      <w:r>
        <w:t>There are no instances of dot11STACivicLocationEntry in D2.0</w:t>
      </w:r>
      <w:r w:rsidR="000241E9">
        <w:t>, so that part can also be rejected</w:t>
      </w:r>
      <w:r w:rsidR="00581896">
        <w:t>, e.g. “dot11STACivicLocationEntry does not appear anywhere in D2.0.”</w:t>
      </w:r>
    </w:p>
    <w:p w14:paraId="7A3745F6" w14:textId="77777777" w:rsidR="00C451E5" w:rsidRDefault="00C451E5" w:rsidP="00C451E5"/>
    <w:p w14:paraId="7A8AEFD2" w14:textId="031C92C5" w:rsidR="00C451E5" w:rsidRDefault="00C451E5" w:rsidP="00C451E5">
      <w:r>
        <w:t>Who can check whether dot11STACivicLocationConfigTable compiles?</w:t>
      </w:r>
    </w:p>
    <w:p w14:paraId="30882D88" w14:textId="77777777" w:rsidR="00C451E5" w:rsidRDefault="00C451E5" w:rsidP="00C451E5"/>
    <w:p w14:paraId="73477E97" w14:textId="77777777" w:rsidR="00C451E5" w:rsidRDefault="00C451E5" w:rsidP="00C451E5">
      <w:pPr>
        <w:rPr>
          <w:u w:val="single"/>
        </w:rPr>
      </w:pPr>
      <w:r>
        <w:rPr>
          <w:u w:val="single"/>
        </w:rPr>
        <w:t>Proposed changes</w:t>
      </w:r>
      <w:r w:rsidRPr="00F70C97">
        <w:rPr>
          <w:u w:val="single"/>
        </w:rPr>
        <w:t>:</w:t>
      </w:r>
    </w:p>
    <w:p w14:paraId="18D04BF0" w14:textId="77777777" w:rsidR="00C451E5" w:rsidRDefault="00C451E5" w:rsidP="00C451E5">
      <w:pPr>
        <w:rPr>
          <w:u w:val="single"/>
        </w:rPr>
      </w:pPr>
    </w:p>
    <w:p w14:paraId="09FDEB04" w14:textId="77777777" w:rsidR="00C451E5" w:rsidRDefault="00C451E5" w:rsidP="00C451E5">
      <w:pPr>
        <w:rPr>
          <w:u w:val="single"/>
        </w:rPr>
      </w:pPr>
    </w:p>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77777777" w:rsidR="00C451E5" w:rsidRDefault="00C451E5" w:rsidP="00C451E5">
      <w:r>
        <w:t>REVISED</w:t>
      </w:r>
    </w:p>
    <w:p w14:paraId="63357CFF" w14:textId="77777777" w:rsidR="00C451E5" w:rsidRDefault="00C451E5" w:rsidP="00C451E5"/>
    <w:p w14:paraId="00CFF89E" w14:textId="16093D99" w:rsidR="009C3E09" w:rsidRDefault="00C451E5" w:rsidP="00C451E5">
      <w:r>
        <w:t xml:space="preserve">Make the changes shown under “Proposed changes” for CID xxx in &lt;this document&gt;, which xxx </w:t>
      </w:r>
      <w:r w:rsidR="009C3E09">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3DDA5CB3" w14:textId="75EF44F1" w:rsidR="000241E9" w:rsidRDefault="000241E9" w:rsidP="000241E9">
      <w:r>
        <w:t>Does the group agree with this direction?  On what basis is the decision on whether to have a MIB attribute for a STA capability made?</w:t>
      </w:r>
    </w:p>
    <w:p w14:paraId="4BB9020E" w14:textId="77777777" w:rsidR="000241E9" w:rsidRDefault="000241E9" w:rsidP="000241E9"/>
    <w:p w14:paraId="7D231C3C" w14:textId="77777777" w:rsidR="000241E9" w:rsidRDefault="000241E9" w:rsidP="000241E9">
      <w:pPr>
        <w:rPr>
          <w:u w:val="single"/>
        </w:rPr>
      </w:pPr>
      <w:r>
        <w:rPr>
          <w:u w:val="single"/>
        </w:rPr>
        <w:t>Proposed changes</w:t>
      </w:r>
      <w:r w:rsidRPr="00F70C97">
        <w:rPr>
          <w:u w:val="single"/>
        </w:rPr>
        <w:t>:</w:t>
      </w:r>
    </w:p>
    <w:p w14:paraId="46FF2880" w14:textId="77777777" w:rsidR="000241E9" w:rsidRDefault="000241E9" w:rsidP="000241E9">
      <w:pPr>
        <w:rPr>
          <w:u w:val="single"/>
        </w:rPr>
      </w:pPr>
    </w:p>
    <w:p w14:paraId="45C19655" w14:textId="77777777" w:rsidR="000241E9" w:rsidRDefault="000241E9" w:rsidP="000241E9">
      <w:pPr>
        <w:rPr>
          <w:u w:val="single"/>
        </w:rPr>
      </w:pPr>
    </w:p>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t>REVISED</w:t>
      </w:r>
    </w:p>
    <w:p w14:paraId="6511743E" w14:textId="77777777" w:rsidR="000241E9" w:rsidRDefault="000241E9" w:rsidP="000241E9"/>
    <w:p w14:paraId="69A56223" w14:textId="77777777" w:rsidR="000241E9" w:rsidRDefault="000241E9" w:rsidP="000241E9">
      <w:r>
        <w:t xml:space="preserve">Make the changes shown under “Proposed changes” for CID xxx in &lt;this document&gt;, which xxx </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4278DF81"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gement frames</w:t>
      </w:r>
      <w:r w:rsidRPr="0008223B">
        <w:rPr>
          <w:rFonts w:ascii="Courier New" w:hAnsi="Courier New" w:cs="Courier New"/>
          <w:sz w:val="20"/>
        </w:rPr>
        <w:t xml:space="preserve"> discarded (#1401)due to CMAC</w:t>
      </w:r>
      <w:r>
        <w:rPr>
          <w:rFonts w:ascii="Courier New" w:hAnsi="Courier New" w:cs="Courier New"/>
          <w:sz w:val="20"/>
          <w:u w:val="single"/>
        </w:rPr>
        <w:t xml:space="preserve"> or GMAC</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lastRenderedPageBreak/>
        <w:t>Proposed resolution:</w:t>
      </w:r>
    </w:p>
    <w:p w14:paraId="477AE2F7" w14:textId="77777777" w:rsidR="000241E9" w:rsidRDefault="000241E9" w:rsidP="000241E9">
      <w:pPr>
        <w:rPr>
          <w:b/>
          <w:sz w:val="24"/>
        </w:rPr>
      </w:pPr>
    </w:p>
    <w:p w14:paraId="5061F16D" w14:textId="77777777" w:rsidR="000241E9" w:rsidRDefault="000241E9" w:rsidP="000241E9">
      <w:r>
        <w:t>REVISED</w:t>
      </w:r>
    </w:p>
    <w:p w14:paraId="5877B851" w14:textId="77777777" w:rsidR="000241E9" w:rsidRDefault="000241E9" w:rsidP="000241E9"/>
    <w:p w14:paraId="03E6CD7A" w14:textId="5749A7B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110AD200" w:rsidR="00100D60" w:rsidRDefault="00100D60" w:rsidP="00100D60">
      <w:r>
        <w:t xml:space="preserve">Does the group agree with this direction?  Or does a STA have the </w:t>
      </w:r>
      <w:r w:rsidR="00753F2F">
        <w:t xml:space="preserve">exact </w:t>
      </w:r>
      <w:r>
        <w:t>same controls for its relationship to the AP as for its relationship to peer TDLS STAs?</w:t>
      </w:r>
    </w:p>
    <w:p w14:paraId="5C0E64CA" w14:textId="77777777" w:rsidR="00100D60" w:rsidRDefault="00100D60" w:rsidP="00100D60"/>
    <w:p w14:paraId="27CBECF5" w14:textId="77777777" w:rsidR="00100D60" w:rsidRDefault="00100D60" w:rsidP="00100D60">
      <w:pPr>
        <w:rPr>
          <w:u w:val="single"/>
        </w:rPr>
      </w:pPr>
      <w:r>
        <w:rPr>
          <w:u w:val="single"/>
        </w:rPr>
        <w:t>Proposed changes</w:t>
      </w:r>
      <w:r w:rsidRPr="00F70C97">
        <w:rPr>
          <w:u w:val="single"/>
        </w:rPr>
        <w:t>:</w:t>
      </w:r>
    </w:p>
    <w:p w14:paraId="554E2B6D" w14:textId="77777777" w:rsidR="00100D60" w:rsidRDefault="00100D60" w:rsidP="00100D60">
      <w:pPr>
        <w:rPr>
          <w:u w:val="single"/>
        </w:rPr>
      </w:pPr>
    </w:p>
    <w:p w14:paraId="32E4C5D2" w14:textId="77777777" w:rsidR="00100D60" w:rsidRDefault="00100D60" w:rsidP="00100D60">
      <w:pPr>
        <w:rPr>
          <w:u w:val="single"/>
        </w:rPr>
      </w:pPr>
    </w:p>
    <w:p w14:paraId="0D85DF3C" w14:textId="77777777" w:rsidR="00100D60" w:rsidRPr="00FF305B" w:rsidRDefault="00100D60" w:rsidP="00100D60">
      <w:pPr>
        <w:rPr>
          <w:u w:val="single"/>
        </w:rPr>
      </w:pPr>
      <w:r w:rsidRPr="00FF305B">
        <w:rPr>
          <w:u w:val="single"/>
        </w:rPr>
        <w:t>Proposed resolution:</w:t>
      </w:r>
    </w:p>
    <w:p w14:paraId="63D1C162" w14:textId="77777777" w:rsidR="00100D60" w:rsidRDefault="00100D60" w:rsidP="00100D60">
      <w:pPr>
        <w:rPr>
          <w:b/>
          <w:sz w:val="24"/>
        </w:rPr>
      </w:pPr>
    </w:p>
    <w:p w14:paraId="00F4BC79" w14:textId="77777777" w:rsidR="00100D60" w:rsidRDefault="00100D60" w:rsidP="00100D60">
      <w:r>
        <w:t>REVISED</w:t>
      </w:r>
    </w:p>
    <w:p w14:paraId="47EF28B3" w14:textId="77777777" w:rsidR="00100D60" w:rsidRDefault="00100D60" w:rsidP="00100D60"/>
    <w:p w14:paraId="3CF94474" w14:textId="77777777" w:rsidR="00100D60" w:rsidRDefault="00100D60" w:rsidP="00100D60">
      <w:r>
        <w:t xml:space="preserve">Make the changes shown under “Proposed changes” for CID xxx in &lt;this document&gt;, which xxx </w:t>
      </w:r>
    </w:p>
    <w:p w14:paraId="390E7D56" w14:textId="77777777"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5FC723D0" w:rsidR="00A44E48" w:rsidRDefault="00A44E48" w:rsidP="00A44E48">
      <w:r>
        <w:t xml:space="preserve">The former is mentioned in </w:t>
      </w:r>
      <w:r w:rsidRPr="00A44E48">
        <w:t>R.4.2.5 Link Layer Encryption Method</w:t>
      </w:r>
      <w:r>
        <w:t xml:space="preserve"> (in R.4.2 </w:t>
      </w:r>
      <w:r w:rsidRPr="00A44E48">
        <w:t>SSPN interface parameters</w:t>
      </w:r>
      <w:r>
        <w:t>).  However it is not immediately clear 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3FADF2CC" w14:textId="5450CF2A" w:rsidR="00EE151E" w:rsidRDefault="00EE151E" w:rsidP="00A76180">
      <w:r>
        <w:t>Possible options:</w:t>
      </w:r>
    </w:p>
    <w:p w14:paraId="5128683D" w14:textId="77777777" w:rsidR="00EE151E" w:rsidRDefault="00EE151E" w:rsidP="00A76180"/>
    <w:p w14:paraId="6D6D8C4A" w14:textId="41BB7FF3" w:rsidR="00A76180" w:rsidRDefault="00A76180" w:rsidP="00A76180">
      <w:r w:rsidRPr="00A44E48">
        <w:t xml:space="preserve">Deprecate dot11NonAPStationUnicastCipherSuite and dot11NonAPStationBroadcastCipherSuite and delete </w:t>
      </w:r>
      <w:r>
        <w:t>reference in R.4.2.5?</w:t>
      </w:r>
    </w:p>
    <w:p w14:paraId="1EABED3E" w14:textId="77777777" w:rsidR="00A76180" w:rsidRDefault="00A76180" w:rsidP="00A76180">
      <w:r>
        <w:t>Deprecate dot11NonAPStationBroadcastCipherSuite?</w:t>
      </w:r>
    </w:p>
    <w:p w14:paraId="44B92ED4" w14:textId="77777777" w:rsidR="00A76180" w:rsidRDefault="00A76180" w:rsidP="00A76180">
      <w:pPr>
        <w:rPr>
          <w:u w:val="single"/>
        </w:rPr>
      </w:pPr>
      <w:r>
        <w:t>Add dot11APUnicastCipherSuite (which could be per-STA) and dot11APBroadcastCipherSuite?</w:t>
      </w:r>
    </w:p>
    <w:p w14:paraId="132862F7" w14:textId="77777777" w:rsidR="00A76180" w:rsidRDefault="00A76180" w:rsidP="00A44E48">
      <w:pPr>
        <w:rPr>
          <w:u w:val="single"/>
        </w:rPr>
      </w:pPr>
    </w:p>
    <w:p w14:paraId="05C56C37" w14:textId="30A7099C" w:rsidR="00A44E48" w:rsidRDefault="00A44E48" w:rsidP="00A44E48">
      <w:pPr>
        <w:rPr>
          <w:u w:val="single"/>
        </w:rPr>
      </w:pPr>
      <w:r>
        <w:rPr>
          <w:u w:val="single"/>
        </w:rPr>
        <w:t>Proposed changes</w:t>
      </w:r>
      <w:r w:rsidRPr="00F70C97">
        <w:rPr>
          <w:u w:val="single"/>
        </w:rPr>
        <w:t>:</w:t>
      </w:r>
    </w:p>
    <w:p w14:paraId="01D5285D" w14:textId="77777777" w:rsidR="00A44E48" w:rsidRDefault="00A44E48" w:rsidP="00A44E48">
      <w:pPr>
        <w:rPr>
          <w:u w:val="single"/>
        </w:rPr>
      </w:pPr>
    </w:p>
    <w:p w14:paraId="6CA201A6" w14:textId="77777777" w:rsidR="00A44E48" w:rsidRDefault="00A44E48"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t>REVISED</w:t>
      </w:r>
    </w:p>
    <w:p w14:paraId="3AE62D44" w14:textId="77777777" w:rsidR="00A44E48" w:rsidRDefault="00A44E48" w:rsidP="00A44E48"/>
    <w:p w14:paraId="2B636C29" w14:textId="77777777" w:rsidR="00A44E48" w:rsidRDefault="00A44E48" w:rsidP="00A44E48">
      <w:r>
        <w:t xml:space="preserve">Make the changes shown under “Proposed changes” for CID xxx in &lt;this document&gt;, which xxx </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29"/>
      <w:r w:rsidRPr="0054050E">
        <w:t>At the end of the third para of the referenced subclause add "If dot11BeaconProtectionEnabled is true, a non-AP STA shall discard broadcast Probe Response frames received from an associated AP."</w:t>
      </w:r>
      <w:commentRangeEnd w:id="29"/>
      <w:r>
        <w:rPr>
          <w:rStyle w:val="CommentReference"/>
        </w:rPr>
        <w:commentReference w:id="29"/>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003BB9">
        <w:tc>
          <w:tcPr>
            <w:tcW w:w="1809" w:type="dxa"/>
          </w:tcPr>
          <w:p w14:paraId="2DD543B9" w14:textId="77777777" w:rsidR="004A70E2" w:rsidRDefault="004A70E2" w:rsidP="00003BB9">
            <w:r>
              <w:lastRenderedPageBreak/>
              <w:t>Identifiers</w:t>
            </w:r>
          </w:p>
        </w:tc>
        <w:tc>
          <w:tcPr>
            <w:tcW w:w="4383" w:type="dxa"/>
          </w:tcPr>
          <w:p w14:paraId="6993EEFD" w14:textId="77777777" w:rsidR="004A70E2" w:rsidRDefault="004A70E2" w:rsidP="00003BB9">
            <w:r>
              <w:t>Comment</w:t>
            </w:r>
          </w:p>
        </w:tc>
        <w:tc>
          <w:tcPr>
            <w:tcW w:w="3384" w:type="dxa"/>
          </w:tcPr>
          <w:p w14:paraId="6B44577E" w14:textId="77777777" w:rsidR="004A70E2" w:rsidRDefault="004A70E2" w:rsidP="00003BB9">
            <w:r>
              <w:t>Proposed change</w:t>
            </w:r>
          </w:p>
        </w:tc>
      </w:tr>
      <w:tr w:rsidR="004A70E2" w:rsidRPr="002C1619" w14:paraId="7259E14B" w14:textId="77777777" w:rsidTr="00003BB9">
        <w:tc>
          <w:tcPr>
            <w:tcW w:w="1809" w:type="dxa"/>
          </w:tcPr>
          <w:p w14:paraId="467ADB4B" w14:textId="18F9327D" w:rsidR="004A70E2" w:rsidRDefault="004A70E2" w:rsidP="00003BB9">
            <w:r>
              <w:t>CID 3181</w:t>
            </w:r>
          </w:p>
          <w:p w14:paraId="723B9CB7" w14:textId="77777777" w:rsidR="004A70E2" w:rsidRDefault="004A70E2" w:rsidP="00003BB9">
            <w:r>
              <w:t>Mark RISON</w:t>
            </w:r>
          </w:p>
          <w:p w14:paraId="09586EB3" w14:textId="77777777" w:rsidR="004A70E2" w:rsidRDefault="004A70E2" w:rsidP="00003BB9">
            <w:r>
              <w:t>6</w:t>
            </w:r>
          </w:p>
          <w:p w14:paraId="73F81BD4" w14:textId="37BEA9F9" w:rsidR="004A70E2" w:rsidRDefault="004A70E2" w:rsidP="00003BB9">
            <w:r>
              <w:t>408.51</w:t>
            </w:r>
          </w:p>
        </w:tc>
        <w:tc>
          <w:tcPr>
            <w:tcW w:w="4383" w:type="dxa"/>
          </w:tcPr>
          <w:p w14:paraId="10507DE4" w14:textId="462C8191" w:rsidR="004A70E2" w:rsidRPr="002C1619" w:rsidRDefault="004A70E2" w:rsidP="00003BB9">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003BB9">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w:t>
      </w:r>
      <w:r>
        <w: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FE922CA" w14:textId="5B237A11" w:rsidR="004A70E2" w:rsidRPr="000A00FF" w:rsidRDefault="004A70E2">
      <w:r w:rsidRPr="004A70E2">
        <w:br/>
      </w:r>
      <w:r>
        <w:rPr>
          <w:u w:val="single"/>
        </w:rPr>
        <w:br w:type="page"/>
      </w:r>
    </w:p>
    <w:p w14:paraId="6140B2CF" w14:textId="12F303E5" w:rsidR="000A241B" w:rsidRDefault="000A241B">
      <w:r>
        <w:lastRenderedPageBreak/>
        <w:t>TBD:</w:t>
      </w:r>
      <w:r w:rsidR="001C66FD">
        <w:br/>
      </w:r>
    </w:p>
    <w:p w14:paraId="54CEB4FE" w14:textId="06AFA84A" w:rsidR="002E1F1B" w:rsidRDefault="00612ED1">
      <w:r>
        <w:t xml:space="preserve"> </w:t>
      </w:r>
      <w:r w:rsidR="002E1F1B">
        <w:t>3233: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B3EE110" w:rsidR="003D048E" w:rsidRDefault="003D048E">
      <w:r>
        <w:t xml:space="preserve">3225: what </w:t>
      </w:r>
      <w:r w:rsidR="007B1730">
        <w:t xml:space="preserve">exactly </w:t>
      </w:r>
      <w:r>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7170348" w:rsidR="00E11C8B" w:rsidRDefault="00F12F4F" w:rsidP="00E11C8B">
      <w:r>
        <w:t>DONE</w:t>
      </w:r>
      <w:r w:rsidR="008C1D04">
        <w:t xml:space="preserve"> </w:t>
      </w:r>
      <w:r w:rsidR="003A7841">
        <w:t>3796: tagged v untagged -- ACCEPT</w:t>
      </w:r>
    </w:p>
    <w:p w14:paraId="20E830AA" w14:textId="034BEB9F" w:rsidR="005852F4" w:rsidRDefault="005852F4" w:rsidP="00E11C8B"/>
    <w:p w14:paraId="228A4E9A" w14:textId="03F682AF" w:rsidR="00315A7E" w:rsidRDefault="008B0FF4">
      <w:r>
        <w:t xml:space="preserve"> </w:t>
      </w:r>
      <w:r w:rsidR="00315A7E">
        <w:t>3693: provide “subfield” locations</w:t>
      </w:r>
    </w:p>
    <w:p w14:paraId="7507B947" w14:textId="7937C8DA" w:rsidR="006D0DA5" w:rsidRPr="008E2ED9" w:rsidRDefault="008B0FF4">
      <w:pPr>
        <w:rPr>
          <w:b/>
        </w:rPr>
      </w:pPr>
      <w:r w:rsidRPr="008E2ED9">
        <w:rPr>
          <w:b/>
        </w:rPr>
        <w:t xml:space="preserve"> </w:t>
      </w:r>
      <w:r w:rsidR="006D0DA5" w:rsidRPr="008E2ED9">
        <w:rPr>
          <w:b/>
        </w:rPr>
        <w:t>3726: “MIB attribute” in C.3</w:t>
      </w:r>
      <w:r w:rsidR="009B720D" w:rsidRPr="008E2ED9">
        <w:rPr>
          <w:b/>
        </w:rPr>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6"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5717034A" w:rsidR="006426C7" w:rsidRDefault="00C451E5">
      <w:r>
        <w:t xml:space="preserve"> 3697 d</w:t>
      </w:r>
      <w:r w:rsidRPr="00C451E5">
        <w:t>elete dot11STACivicLocation</w:t>
      </w:r>
    </w:p>
    <w:p w14:paraId="28E60F97" w14:textId="28276D94" w:rsidR="00C451E5" w:rsidRDefault="00C451E5">
      <w:r>
        <w:t xml:space="preserve"> 3694 </w:t>
      </w:r>
      <w:r w:rsidRPr="00C451E5">
        <w:t>Why is there a MIB variable dot11VHTN</w:t>
      </w:r>
      <w:r>
        <w:t xml:space="preserve">umberSoundingDimensions but not </w:t>
      </w:r>
      <w:r w:rsidRPr="00C451E5">
        <w:t>dot11VHTBeamformeeSTSCapability</w:t>
      </w:r>
      <w:r w:rsidRPr="00C451E5">
        <w:tab/>
        <w:t>Add a MIB attribute dot11VHTBeamformeeSTSCapability</w:t>
      </w:r>
    </w:p>
    <w:p w14:paraId="0BA38436" w14:textId="3B9CEA9A" w:rsidR="00A44E48" w:rsidRPr="00A76180"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1C48176B" w14:textId="77777777" w:rsidR="00C451E5" w:rsidRDefault="00C451E5"/>
    <w:p w14:paraId="030831DB" w14:textId="1E219FA2" w:rsidR="009C3E09" w:rsidRPr="00896929" w:rsidRDefault="008E2ED9" w:rsidP="009C3E09">
      <w:r>
        <w:t xml:space="preserve"> </w:t>
      </w:r>
      <w:r w:rsidR="009C3E09">
        <w:t>3175</w:t>
      </w:r>
      <w:r w:rsidR="000A2B15">
        <w:t>*</w:t>
      </w:r>
      <w:r w:rsidR="009C3E09">
        <w:t xml:space="preserve"> how Action frames are described</w:t>
      </w:r>
    </w:p>
    <w:p w14:paraId="6DD65038" w14:textId="60373A48" w:rsidR="0085219B" w:rsidRPr="0085219B" w:rsidRDefault="00612ED1">
      <w:pPr>
        <w:rPr>
          <w:i/>
        </w:rPr>
      </w:pPr>
      <w:r>
        <w:t xml:space="preserve"> </w:t>
      </w:r>
      <w:r w:rsidR="0085219B">
        <w:t>3375/3514: “</w:t>
      </w:r>
      <w:r w:rsidR="0085219B" w:rsidRPr="0085219B">
        <w:t>Its value is determined by device capabilities</w:t>
      </w:r>
      <w:r w:rsidR="0085219B">
        <w:t>” (also post to reflector)</w:t>
      </w:r>
      <w:r>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391DC33B" w:rsidR="00AE3CD5" w:rsidRDefault="00B7226E">
      <w:r>
        <w:t xml:space="preserve"> </w:t>
      </w:r>
      <w:r w:rsidR="00AE3CD5">
        <w:t>3361: locations for uppercase frame in 3.1/3.2</w:t>
      </w:r>
    </w:p>
    <w:p w14:paraId="45D790E4" w14:textId="70B48889" w:rsidR="00004A3E" w:rsidRDefault="00004A3E">
      <w:r>
        <w:lastRenderedPageBreak/>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613B2CDF" w:rsidR="00257C6D" w:rsidRDefault="00AE3F31" w:rsidP="00716EF9">
      <w:r>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17"/>
      <w:footerReference w:type="default" r:id="rId18"/>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635231" w:rsidRPr="004A7A03" w:rsidRDefault="00635231">
      <w:pPr>
        <w:pStyle w:val="CommentText"/>
      </w:pPr>
      <w:r>
        <w:rPr>
          <w:rStyle w:val="CommentReference"/>
        </w:rPr>
        <w:annotationRef/>
      </w:r>
      <w:r>
        <w:t>Or subelements?</w:t>
      </w:r>
    </w:p>
  </w:comment>
  <w:comment w:id="2" w:author="Mark Rison" w:date="2022-12-05T13:56:00Z" w:initials="mgr">
    <w:p w14:paraId="167E48E7" w14:textId="5A70DBCF" w:rsidR="00635231" w:rsidRDefault="00635231">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635231" w:rsidRDefault="00635231">
      <w:pPr>
        <w:pStyle w:val="CommentText"/>
      </w:pPr>
      <w:r>
        <w:rPr>
          <w:rStyle w:val="CommentReference"/>
        </w:rPr>
        <w:annotationRef/>
      </w:r>
      <w:r>
        <w:t>Hm, wonder if we obey this…</w:t>
      </w:r>
    </w:p>
  </w:comment>
  <w:comment w:id="4" w:author="Mark Rison" w:date="2023-01-27T13:50:00Z" w:initials="mgr">
    <w:p w14:paraId="56E031E7" w14:textId="0BFC594D" w:rsidR="00635231" w:rsidRDefault="00635231">
      <w:pPr>
        <w:pStyle w:val="CommentText"/>
      </w:pPr>
      <w:r>
        <w:rPr>
          <w:rStyle w:val="CommentReference"/>
        </w:rPr>
        <w:annotationRef/>
      </w:r>
      <w:r>
        <w:t>But RFC 2578 is not referred to in the standard.  Add to the bibliography?</w:t>
      </w:r>
    </w:p>
  </w:comment>
  <w:comment w:id="5" w:author="Mark Rison" w:date="2022-11-28T12:29:00Z" w:initials="mgr">
    <w:p w14:paraId="31DF454A" w14:textId="485B85FD" w:rsidR="00635231" w:rsidRDefault="00635231">
      <w:pPr>
        <w:pStyle w:val="CommentText"/>
      </w:pPr>
      <w:r>
        <w:rPr>
          <w:rStyle w:val="CommentReference"/>
        </w:rPr>
        <w:annotationRef/>
      </w:r>
      <w:r>
        <w:t xml:space="preserve"> Duplication.  Delete and change previous sentence to just “The format of an ERP-OFDM PPDU is described in […]”?</w:t>
      </w:r>
    </w:p>
  </w:comment>
  <w:comment w:id="6" w:author="Mark Rison" w:date="2022-11-28T12:27:00Z" w:initials="mgr">
    <w:p w14:paraId="447A8347" w14:textId="505B55CE" w:rsidR="00635231" w:rsidRDefault="00635231">
      <w:pPr>
        <w:pStyle w:val="CommentText"/>
      </w:pPr>
      <w:r>
        <w:rPr>
          <w:rStyle w:val="CommentReference"/>
        </w:rPr>
        <w:annotationRef/>
      </w:r>
      <w:r>
        <w:t>+/CCK?</w:t>
      </w:r>
    </w:p>
  </w:comment>
  <w:comment w:id="7" w:author="Mark Rison" w:date="2022-11-28T12:27:00Z" w:initials="mgr">
    <w:p w14:paraId="3212778E" w14:textId="25F7C7B9" w:rsidR="00635231" w:rsidRDefault="00635231">
      <w:pPr>
        <w:pStyle w:val="CommentText"/>
      </w:pPr>
      <w:r>
        <w:rPr>
          <w:rStyle w:val="CommentReference"/>
        </w:rPr>
        <w:annotationRef/>
      </w:r>
      <w:r>
        <w:t>+/CCK?</w:t>
      </w:r>
    </w:p>
  </w:comment>
  <w:comment w:id="8" w:author="Mark Rison" w:date="2022-11-28T12:27:00Z" w:initials="mgr">
    <w:p w14:paraId="5B790D1F" w14:textId="3B0DCAAB" w:rsidR="00635231" w:rsidRDefault="00635231">
      <w:pPr>
        <w:pStyle w:val="CommentText"/>
      </w:pPr>
      <w:r>
        <w:rPr>
          <w:rStyle w:val="CommentReference"/>
        </w:rPr>
        <w:annotationRef/>
      </w:r>
      <w:r>
        <w:t>+DSSS/?</w:t>
      </w:r>
    </w:p>
  </w:comment>
  <w:comment w:id="9" w:author="Mark Rison" w:date="2022-11-28T12:28:00Z" w:initials="mgr">
    <w:p w14:paraId="69B96CAC" w14:textId="678C48D0" w:rsidR="00635231" w:rsidRDefault="00635231">
      <w:pPr>
        <w:pStyle w:val="CommentText"/>
      </w:pPr>
      <w:r>
        <w:rPr>
          <w:rStyle w:val="CommentReference"/>
        </w:rPr>
        <w:annotationRef/>
      </w:r>
      <w:r>
        <w:t>+/CCK?</w:t>
      </w:r>
    </w:p>
  </w:comment>
  <w:comment w:id="10" w:author="Mark Rison" w:date="2022-12-04T17:20:00Z" w:initials="mgr">
    <w:p w14:paraId="3F6E425E" w14:textId="5A12FF7F" w:rsidR="00635231" w:rsidRDefault="00635231">
      <w:pPr>
        <w:pStyle w:val="CommentText"/>
      </w:pPr>
      <w:r>
        <w:rPr>
          <w:rStyle w:val="CommentReference"/>
        </w:rPr>
        <w:annotationRef/>
      </w:r>
      <w:r>
        <w:t>Is this kind of thing allowed?</w:t>
      </w:r>
    </w:p>
  </w:comment>
  <w:comment w:id="11" w:author="Mark Rison" w:date="2022-12-04T17:20:00Z" w:initials="mgr">
    <w:p w14:paraId="5CEEB01F" w14:textId="4A1553E0" w:rsidR="00635231" w:rsidRDefault="00635231">
      <w:pPr>
        <w:pStyle w:val="CommentText"/>
      </w:pPr>
      <w:r>
        <w:rPr>
          <w:rStyle w:val="CommentReference"/>
        </w:rPr>
        <w:annotationRef/>
      </w:r>
      <w:r>
        <w:t>Are calculations allowed?</w:t>
      </w:r>
    </w:p>
  </w:comment>
  <w:comment w:id="12" w:author="Mark Rison" w:date="2022-12-02T17:54:00Z" w:initials="mgr">
    <w:p w14:paraId="129AD6F8" w14:textId="65BBF8ED" w:rsidR="00635231" w:rsidRDefault="00635231">
      <w:pPr>
        <w:pStyle w:val="CommentText"/>
      </w:pPr>
      <w:r>
        <w:rPr>
          <w:rStyle w:val="CommentReference"/>
        </w:rPr>
        <w:annotationRef/>
      </w:r>
      <w:r>
        <w:t>Is this good enough?  At 2922.45 it’s just a vague “MIC”</w:t>
      </w:r>
    </w:p>
  </w:comment>
  <w:comment w:id="13" w:author="Mark Rison" w:date="2022-12-07T13:50:00Z" w:initials="mgr">
    <w:p w14:paraId="6C6D79A6" w14:textId="5770FEB6" w:rsidR="00635231" w:rsidRDefault="00635231">
      <w:pPr>
        <w:pStyle w:val="CommentText"/>
      </w:pPr>
      <w:r>
        <w:rPr>
          <w:rStyle w:val="CommentReference"/>
        </w:rPr>
        <w:annotationRef/>
      </w:r>
      <w:r>
        <w:t>Or “</w:t>
      </w:r>
      <w:r w:rsidRPr="00124AAE">
        <w:t>See corresponding entry in Table 19-1 (TXVECTOR and RXVECTOR parameters)</w:t>
      </w:r>
      <w:r>
        <w:t>.”?</w:t>
      </w:r>
    </w:p>
  </w:comment>
  <w:comment w:id="14" w:author="Mark Rison" w:date="2022-12-07T21:30:00Z" w:initials="mgr">
    <w:p w14:paraId="201210CB" w14:textId="68F0BA73" w:rsidR="00635231" w:rsidRDefault="00635231">
      <w:pPr>
        <w:pStyle w:val="CommentText"/>
      </w:pPr>
      <w:r>
        <w:rPr>
          <w:rStyle w:val="CommentReference"/>
        </w:rPr>
        <w:annotationRef/>
      </w:r>
      <w:r>
        <w:t>Or is the opposite, i.e. with the deletion of those fields these frames are no longer allowed in those contexts ever?</w:t>
      </w:r>
    </w:p>
  </w:comment>
  <w:comment w:id="15" w:author="Mark Rison" w:date="2023-01-18T18:42:00Z" w:initials="mgr">
    <w:p w14:paraId="18427B73" w14:textId="7CD9A179" w:rsidR="00635231" w:rsidRDefault="00635231">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6" w:author="Mark Rison" w:date="2022-12-10T09:48:00Z" w:initials="mgr">
    <w:p w14:paraId="3D85AF30" w14:textId="3BE2A4FC" w:rsidR="00635231" w:rsidRDefault="00635231">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7" w:author="Mark Rison" w:date="2022-12-12T12:26:00Z" w:initials="mgr">
    <w:p w14:paraId="1AFC0FD3" w14:textId="3121BE83" w:rsidR="00635231" w:rsidRDefault="00635231">
      <w:pPr>
        <w:pStyle w:val="CommentText"/>
      </w:pPr>
      <w:r>
        <w:rPr>
          <w:rStyle w:val="CommentReference"/>
        </w:rPr>
        <w:annotationRef/>
      </w:r>
      <w:r>
        <w:t>?</w:t>
      </w:r>
    </w:p>
  </w:comment>
  <w:comment w:id="18" w:author="Mark Rison" w:date="2023-01-06T14:15:00Z" w:initials="mgr">
    <w:p w14:paraId="01F5DB7A" w14:textId="398DAB68" w:rsidR="00635231" w:rsidRDefault="00635231">
      <w:pPr>
        <w:pStyle w:val="CommentText"/>
      </w:pPr>
      <w:r>
        <w:rPr>
          <w:rStyle w:val="CommentReference"/>
        </w:rPr>
        <w:annotationRef/>
      </w:r>
      <w:r>
        <w:t>Or are they still used at the recipient?</w:t>
      </w:r>
    </w:p>
  </w:comment>
  <w:comment w:id="19" w:author="Mark Rison" w:date="2023-01-09T18:03:00Z" w:initials="mgr">
    <w:p w14:paraId="7A1AA18E" w14:textId="32F09E3C" w:rsidR="00635231" w:rsidRDefault="00635231">
      <w:pPr>
        <w:pStyle w:val="CommentText"/>
      </w:pPr>
      <w:r>
        <w:rPr>
          <w:rStyle w:val="CommentReference"/>
        </w:rPr>
        <w:annotationRef/>
      </w:r>
      <w:r>
        <w:t xml:space="preserve">Why isn’t this in </w:t>
      </w:r>
      <w:r w:rsidRPr="00B615F9">
        <w:t>Figure 9-810—Request Tuple field format</w:t>
      </w:r>
      <w:r>
        <w:t>?</w:t>
      </w:r>
    </w:p>
  </w:comment>
  <w:comment w:id="20" w:author="Mark Rison" w:date="2023-01-09T17:15:00Z" w:initials="mgr">
    <w:p w14:paraId="66F678F6" w14:textId="0B3F57AB" w:rsidR="00635231" w:rsidRDefault="00635231">
      <w:pPr>
        <w:pStyle w:val="CommentText"/>
      </w:pPr>
      <w:r>
        <w:rPr>
          <w:rStyle w:val="CommentReference"/>
        </w:rPr>
        <w:annotationRef/>
      </w:r>
      <w:r>
        <w:t>Or change to ignore?  Ditto up to and excluding 2686.32</w:t>
      </w:r>
    </w:p>
  </w:comment>
  <w:comment w:id="21" w:author="Mark Rison" w:date="2023-01-09T17:36:00Z" w:initials="mgr">
    <w:p w14:paraId="6602F27F" w14:textId="076A0106" w:rsidR="00635231" w:rsidRDefault="00635231">
      <w:pPr>
        <w:pStyle w:val="CommentText"/>
      </w:pPr>
      <w:r>
        <w:rPr>
          <w:rStyle w:val="CommentReference"/>
        </w:rPr>
        <w:annotationRef/>
      </w:r>
      <w:r>
        <w:t>Or losing?  Missing?  Failing to receive?  Ditto to end</w:t>
      </w:r>
    </w:p>
  </w:comment>
  <w:comment w:id="22" w:author="Mark Rison" w:date="2023-01-09T18:14:00Z" w:initials="mgr">
    <w:p w14:paraId="44F88CE5" w14:textId="0AEC5BC7" w:rsidR="00635231" w:rsidRDefault="00635231">
      <w:pPr>
        <w:pStyle w:val="CommentText"/>
      </w:pPr>
      <w:r>
        <w:rPr>
          <w:rStyle w:val="CommentReference"/>
        </w:rPr>
        <w:annotationRef/>
      </w:r>
      <w:r>
        <w:t>?</w:t>
      </w:r>
    </w:p>
  </w:comment>
  <w:comment w:id="23" w:author="Mark Rison" w:date="2023-01-09T18:15:00Z" w:initials="mgr">
    <w:p w14:paraId="0129EB9D" w14:textId="6986156D" w:rsidR="00635231" w:rsidRDefault="00635231">
      <w:pPr>
        <w:pStyle w:val="CommentText"/>
      </w:pPr>
      <w:r>
        <w:rPr>
          <w:rStyle w:val="CommentReference"/>
        </w:rPr>
        <w:annotationRef/>
      </w:r>
      <w:r>
        <w:t>+frame</w:t>
      </w:r>
    </w:p>
  </w:comment>
  <w:comment w:id="24" w:author="Mark Rison" w:date="2023-01-09T18:20:00Z" w:initials="mgr">
    <w:p w14:paraId="57E0C254" w14:textId="0EE5345F" w:rsidR="00635231" w:rsidRDefault="00635231">
      <w:pPr>
        <w:pStyle w:val="CommentText"/>
      </w:pPr>
      <w:r>
        <w:rPr>
          <w:rStyle w:val="CommentReference"/>
        </w:rPr>
        <w:annotationRef/>
      </w:r>
      <w:r>
        <w:t>?</w:t>
      </w:r>
    </w:p>
  </w:comment>
  <w:comment w:id="25" w:author="Mark Rison" w:date="2023-01-13T16:08:00Z" w:initials="mgr">
    <w:p w14:paraId="6A5B0EFC" w14:textId="673140B3" w:rsidR="00635231" w:rsidRDefault="00635231">
      <w:pPr>
        <w:pStyle w:val="CommentText"/>
      </w:pPr>
      <w:r>
        <w:rPr>
          <w:rStyle w:val="CommentReference"/>
        </w:rPr>
        <w:annotationRef/>
      </w:r>
      <w:r>
        <w:t>?</w:t>
      </w:r>
    </w:p>
  </w:comment>
  <w:comment w:id="26" w:author="Mark Rison" w:date="2023-01-26T18:47:00Z" w:initials="mgr">
    <w:p w14:paraId="10177884" w14:textId="2CFB0735" w:rsidR="00635231" w:rsidRDefault="00635231">
      <w:pPr>
        <w:pStyle w:val="CommentText"/>
      </w:pPr>
      <w:r>
        <w:rPr>
          <w:rStyle w:val="CommentReference"/>
        </w:rPr>
        <w:annotationRef/>
      </w:r>
      <w:r>
        <w:t>Hm…</w:t>
      </w:r>
    </w:p>
  </w:comment>
  <w:comment w:id="27" w:author="Mark Rison" w:date="2023-01-26T19:53:00Z" w:initials="mgr">
    <w:p w14:paraId="167D3418" w14:textId="26436C47" w:rsidR="00635231" w:rsidRDefault="00635231">
      <w:pPr>
        <w:pStyle w:val="CommentText"/>
      </w:pPr>
      <w:r>
        <w:rPr>
          <w:rStyle w:val="CommentReference"/>
        </w:rPr>
        <w:annotationRef/>
      </w:r>
      <w:r>
        <w:t>Why are we saying this twice?</w:t>
      </w:r>
    </w:p>
  </w:comment>
  <w:comment w:id="28" w:author="Mark Rison" w:date="2023-01-26T18:56:00Z" w:initials="mgr">
    <w:p w14:paraId="6AC01D7D" w14:textId="26EB6C1E" w:rsidR="00635231" w:rsidRDefault="00635231">
      <w:pPr>
        <w:pStyle w:val="CommentText"/>
      </w:pPr>
      <w:r>
        <w:rPr>
          <w:rStyle w:val="CommentReference"/>
        </w:rPr>
        <w:annotationRef/>
      </w:r>
      <w:r>
        <w:t>sic</w:t>
      </w:r>
    </w:p>
  </w:comment>
  <w:comment w:id="29" w:author="Mark Rison" w:date="2023-01-27T13:45:00Z" w:initials="mgr">
    <w:p w14:paraId="3D88E2B4" w14:textId="2B05D16E" w:rsidR="00635231" w:rsidRDefault="00635231">
      <w:pPr>
        <w:pStyle w:val="CommentText"/>
      </w:pPr>
      <w:r>
        <w:rPr>
          <w:rStyle w:val="CommentReference"/>
        </w:rPr>
        <w:annotationRef/>
      </w:r>
      <w:r>
        <w:t>… except for the EDCA Parameters element, if not passed in beacons?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01F5DB7A" w15:done="0"/>
  <w15:commentEx w15:paraId="7A1AA18E" w15:done="0"/>
  <w15:commentEx w15:paraId="66F678F6" w15:done="0"/>
  <w15:commentEx w15:paraId="6602F27F" w15:done="0"/>
  <w15:commentEx w15:paraId="44F88CE5" w15:done="0"/>
  <w15:commentEx w15:paraId="0129EB9D" w15:done="0"/>
  <w15:commentEx w15:paraId="57E0C254" w15:done="0"/>
  <w15:commentEx w15:paraId="6A5B0EFC" w15:done="0"/>
  <w15:commentEx w15:paraId="10177884" w15:done="0"/>
  <w15:commentEx w15:paraId="167D3418" w15:done="0"/>
  <w15:commentEx w15:paraId="6AC01D7D" w15:done="0"/>
  <w15:commentEx w15:paraId="3D88E2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A847" w14:textId="77777777" w:rsidR="00EF60B8" w:rsidRDefault="00EF60B8">
      <w:r>
        <w:separator/>
      </w:r>
    </w:p>
  </w:endnote>
  <w:endnote w:type="continuationSeparator" w:id="0">
    <w:p w14:paraId="0702614F" w14:textId="77777777" w:rsidR="00EF60B8" w:rsidRDefault="00EF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754DC6CF" w:rsidR="00635231" w:rsidRDefault="006352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E7315">
      <w:rPr>
        <w:noProof/>
      </w:rPr>
      <w:t>1</w:t>
    </w:r>
    <w:r>
      <w:rPr>
        <w:noProof/>
      </w:rPr>
      <w:fldChar w:fldCharType="end"/>
    </w:r>
    <w:r>
      <w:tab/>
    </w:r>
    <w:fldSimple w:instr=" COMMENTS  \* MERGEFORMAT ">
      <w:r>
        <w:t>Mark RISON (Samsung)</w:t>
      </w:r>
    </w:fldSimple>
  </w:p>
  <w:p w14:paraId="38435E49" w14:textId="77777777" w:rsidR="00635231" w:rsidRDefault="006352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2FFB" w14:textId="77777777" w:rsidR="00EF60B8" w:rsidRDefault="00EF60B8">
      <w:r>
        <w:separator/>
      </w:r>
    </w:p>
  </w:footnote>
  <w:footnote w:type="continuationSeparator" w:id="0">
    <w:p w14:paraId="56F668E9" w14:textId="77777777" w:rsidR="00EF60B8" w:rsidRDefault="00EF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28D813F" w:rsidR="00635231" w:rsidRDefault="00635231">
    <w:pPr>
      <w:pStyle w:val="Header"/>
      <w:tabs>
        <w:tab w:val="clear" w:pos="6480"/>
        <w:tab w:val="center" w:pos="4680"/>
        <w:tab w:val="right" w:pos="9360"/>
      </w:tabs>
    </w:pPr>
    <w:fldSimple w:instr=" KEYWORDS  \* MERGEFORMAT ">
      <w:r>
        <w:t>March 2023</w:t>
      </w:r>
    </w:fldSimple>
    <w:r>
      <w:tab/>
    </w:r>
    <w:r>
      <w:tab/>
    </w:r>
    <w:fldSimple w:instr=" TITLE  \* MERGEFORMAT ">
      <w:r>
        <w:t>doc.: IEEE 802.11-22/2069r4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8"/>
  </w:num>
  <w:num w:numId="6">
    <w:abstractNumId w:val="21"/>
  </w:num>
  <w:num w:numId="7">
    <w:abstractNumId w:val="16"/>
  </w:num>
  <w:num w:numId="8">
    <w:abstractNumId w:val="3"/>
  </w:num>
  <w:num w:numId="9">
    <w:abstractNumId w:val="5"/>
  </w:num>
  <w:num w:numId="10">
    <w:abstractNumId w:val="17"/>
  </w:num>
  <w:num w:numId="11">
    <w:abstractNumId w:val="14"/>
  </w:num>
  <w:num w:numId="12">
    <w:abstractNumId w:val="18"/>
  </w:num>
  <w:num w:numId="13">
    <w:abstractNumId w:val="1"/>
  </w:num>
  <w:num w:numId="14">
    <w:abstractNumId w:val="10"/>
  </w:num>
  <w:num w:numId="15">
    <w:abstractNumId w:val="9"/>
  </w:num>
  <w:num w:numId="16">
    <w:abstractNumId w:val="4"/>
  </w:num>
  <w:num w:numId="17">
    <w:abstractNumId w:val="7"/>
  </w:num>
  <w:num w:numId="18">
    <w:abstractNumId w:val="20"/>
  </w:num>
  <w:num w:numId="19">
    <w:abstractNumId w:val="6"/>
  </w:num>
  <w:num w:numId="20">
    <w:abstractNumId w:val="2"/>
  </w:num>
  <w:num w:numId="21">
    <w:abstractNumId w:val="19"/>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5DC"/>
    <w:rsid w:val="000B26DD"/>
    <w:rsid w:val="000B2A18"/>
    <w:rsid w:val="000B2CCB"/>
    <w:rsid w:val="000B300F"/>
    <w:rsid w:val="000B325C"/>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97FAA"/>
    <w:rsid w:val="001A0CA3"/>
    <w:rsid w:val="001A0FF2"/>
    <w:rsid w:val="001A1D16"/>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E37"/>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DEF"/>
    <w:rsid w:val="004C3519"/>
    <w:rsid w:val="004C3650"/>
    <w:rsid w:val="004C39DB"/>
    <w:rsid w:val="004C3C41"/>
    <w:rsid w:val="004C45A5"/>
    <w:rsid w:val="004C4C3F"/>
    <w:rsid w:val="004C51B3"/>
    <w:rsid w:val="004C55A1"/>
    <w:rsid w:val="004C5A38"/>
    <w:rsid w:val="004C62FC"/>
    <w:rsid w:val="004C6435"/>
    <w:rsid w:val="004C6755"/>
    <w:rsid w:val="004C69EA"/>
    <w:rsid w:val="004C6D00"/>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6906"/>
    <w:rsid w:val="004E6A0A"/>
    <w:rsid w:val="004E73C8"/>
    <w:rsid w:val="004E765C"/>
    <w:rsid w:val="004E7B80"/>
    <w:rsid w:val="004E7E6F"/>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78C"/>
    <w:rsid w:val="00543EAF"/>
    <w:rsid w:val="0054504D"/>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E1"/>
    <w:rsid w:val="00576E05"/>
    <w:rsid w:val="00576E70"/>
    <w:rsid w:val="00576F2D"/>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4035C"/>
    <w:rsid w:val="0064090D"/>
    <w:rsid w:val="00640E7E"/>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49C"/>
    <w:rsid w:val="006C6AF2"/>
    <w:rsid w:val="006C720F"/>
    <w:rsid w:val="006C74BC"/>
    <w:rsid w:val="006C78F5"/>
    <w:rsid w:val="006D0D78"/>
    <w:rsid w:val="006D0DA5"/>
    <w:rsid w:val="006D159E"/>
    <w:rsid w:val="006D1880"/>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A2"/>
    <w:rsid w:val="00775BD0"/>
    <w:rsid w:val="007765BB"/>
    <w:rsid w:val="00776751"/>
    <w:rsid w:val="007767F2"/>
    <w:rsid w:val="00777585"/>
    <w:rsid w:val="007776CB"/>
    <w:rsid w:val="0078001F"/>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7D0"/>
    <w:rsid w:val="007C0901"/>
    <w:rsid w:val="007C09F8"/>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11"/>
    <w:rsid w:val="007F2C66"/>
    <w:rsid w:val="007F2D13"/>
    <w:rsid w:val="007F3266"/>
    <w:rsid w:val="007F32E3"/>
    <w:rsid w:val="007F335B"/>
    <w:rsid w:val="007F39E9"/>
    <w:rsid w:val="007F3EEA"/>
    <w:rsid w:val="007F3FC7"/>
    <w:rsid w:val="007F42A1"/>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093"/>
    <w:rsid w:val="009756C6"/>
    <w:rsid w:val="00975C42"/>
    <w:rsid w:val="0097606C"/>
    <w:rsid w:val="009768CB"/>
    <w:rsid w:val="00976D13"/>
    <w:rsid w:val="00977198"/>
    <w:rsid w:val="009772EF"/>
    <w:rsid w:val="009776C6"/>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2B"/>
    <w:rsid w:val="009D3191"/>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64FA"/>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42FC"/>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25BD"/>
    <w:rsid w:val="00E52D5F"/>
    <w:rsid w:val="00E52E74"/>
    <w:rsid w:val="00E532D8"/>
    <w:rsid w:val="00E53595"/>
    <w:rsid w:val="00E5362E"/>
    <w:rsid w:val="00E53702"/>
    <w:rsid w:val="00E53D1F"/>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67A784F-7FFE-46A3-91AB-FDE462A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0E2"/>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eee802.org/11/email/stds-802-11-tgm/msg02488.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rfc-editor.org/rfc/rfc257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8832F-E958-45D9-A7A4-BB8B18E6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21132</TotalTime>
  <Pages>100</Pages>
  <Words>28288</Words>
  <Characters>161244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doc.: IEEE 802.11-22/2069r4</vt:lpstr>
    </vt:vector>
  </TitlesOfParts>
  <Company>Some Company</Company>
  <LinksUpToDate>false</LinksUpToDate>
  <CharactersWithSpaces>189154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802.11-22/2069r4</dc:title>
  <dc:subject>Submission</dc:subject>
  <dc:creator>Mark RISON</dc:creator>
  <cp:keywords>March 2023</cp:keywords>
  <dc:description/>
  <cp:lastModifiedBy>Mark Rison</cp:lastModifiedBy>
  <cp:revision>258</cp:revision>
  <cp:lastPrinted>2015-09-03T00:05:00Z</cp:lastPrinted>
  <dcterms:created xsi:type="dcterms:W3CDTF">2022-12-16T20:45:00Z</dcterms:created>
  <dcterms:modified xsi:type="dcterms:W3CDTF">2023-02-03T14:40:00Z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