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23B289B" w:rsidR="009A7E36" w:rsidRDefault="009A7E36" w:rsidP="009A7E36">
            <w:pPr>
              <w:pStyle w:val="T2"/>
            </w:pPr>
            <w:r>
              <w:t xml:space="preserve">Proposed </w:t>
            </w:r>
            <w:r w:rsidR="00CE4E8F">
              <w:t xml:space="preserve">Resolution to </w:t>
            </w:r>
            <w:r w:rsidR="00EF6DAD">
              <w:t xml:space="preserve">SBP </w:t>
            </w:r>
            <w:r w:rsidR="00CE4E8F">
              <w:t>CIDs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23ACEFE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6F2FF1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84B55">
              <w:rPr>
                <w:b w:val="0"/>
                <w:sz w:val="20"/>
              </w:rPr>
              <w:t>15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5B7656D9" w:rsidR="00CA09B2" w:rsidRDefault="000E57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Mike Montemurro</w:t>
            </w:r>
          </w:p>
        </w:tc>
        <w:tc>
          <w:tcPr>
            <w:tcW w:w="1980" w:type="dxa"/>
            <w:vAlign w:val="center"/>
          </w:tcPr>
          <w:p w14:paraId="438E0A90" w14:textId="37E1C9BA" w:rsidR="00CA09B2" w:rsidRDefault="000E57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B0C675" w14:textId="66D38886" w:rsidR="00C10E6A" w:rsidRDefault="00230EF7" w:rsidP="00230EF7">
                            <w:pPr>
                              <w:jc w:val="both"/>
                            </w:pPr>
                            <w:r>
                              <w:t xml:space="preserve">This document includes proposed </w:t>
                            </w:r>
                            <w:r w:rsidR="00577DAB">
                              <w:t xml:space="preserve">resolutions to </w:t>
                            </w:r>
                            <w:r w:rsidR="00BF0546">
                              <w:t>SBP</w:t>
                            </w:r>
                            <w:r w:rsidR="00A31C85">
                              <w:t xml:space="preserve"> comments received in CC40</w:t>
                            </w:r>
                            <w:r w:rsidR="005D32BD">
                              <w:t>.</w:t>
                            </w:r>
                          </w:p>
                          <w:p w14:paraId="39C7A810" w14:textId="77777777" w:rsidR="00230EF7" w:rsidRDefault="00230E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B0C675" w14:textId="66D38886" w:rsidR="00C10E6A" w:rsidRDefault="00230EF7" w:rsidP="00230EF7">
                      <w:pPr>
                        <w:jc w:val="both"/>
                      </w:pPr>
                      <w:r>
                        <w:t xml:space="preserve">This document includes proposed </w:t>
                      </w:r>
                      <w:r w:rsidR="00577DAB">
                        <w:t xml:space="preserve">resolutions to </w:t>
                      </w:r>
                      <w:r w:rsidR="00BF0546">
                        <w:t>SBP</w:t>
                      </w:r>
                      <w:r w:rsidR="00A31C85">
                        <w:t xml:space="preserve"> comments received in CC40</w:t>
                      </w:r>
                      <w:r w:rsidR="005D32BD">
                        <w:t>.</w:t>
                      </w:r>
                    </w:p>
                    <w:p w14:paraId="39C7A810" w14:textId="77777777" w:rsidR="00230EF7" w:rsidRDefault="00230EF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591DAB" w:rsidRPr="007F18E9" w14:paraId="50961E5D" w14:textId="77777777" w:rsidTr="00AA023F">
        <w:tc>
          <w:tcPr>
            <w:tcW w:w="656" w:type="dxa"/>
            <w:shd w:val="clear" w:color="auto" w:fill="auto"/>
          </w:tcPr>
          <w:p w14:paraId="132DCBE4" w14:textId="77777777" w:rsidR="00591DAB" w:rsidRPr="009A79E5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A79E5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5EF3B02F" w14:textId="77777777" w:rsidR="00591DAB" w:rsidRPr="009A79E5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A79E5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5BAEA6B" w14:textId="77777777" w:rsidR="00591DAB" w:rsidRPr="009A79E5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A79E5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2EBFE191" w14:textId="77777777" w:rsidR="00591DAB" w:rsidRPr="009A79E5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A79E5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123D3139" w14:textId="77777777" w:rsidR="00591DAB" w:rsidRPr="009A79E5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A79E5">
              <w:rPr>
                <w:b/>
                <w:szCs w:val="22"/>
                <w:lang w:val="en-US"/>
              </w:rPr>
              <w:t>Proposed change</w:t>
            </w:r>
          </w:p>
        </w:tc>
      </w:tr>
      <w:tr w:rsidR="00591DAB" w:rsidRPr="007F18E9" w14:paraId="4BBB7760" w14:textId="77777777" w:rsidTr="00AA023F">
        <w:tc>
          <w:tcPr>
            <w:tcW w:w="656" w:type="dxa"/>
            <w:shd w:val="clear" w:color="auto" w:fill="auto"/>
          </w:tcPr>
          <w:p w14:paraId="2A17BAA4" w14:textId="35C4FAA1" w:rsidR="00591DAB" w:rsidRPr="009A79E5" w:rsidRDefault="00F37604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527</w:t>
            </w:r>
          </w:p>
        </w:tc>
        <w:tc>
          <w:tcPr>
            <w:tcW w:w="1342" w:type="dxa"/>
            <w:shd w:val="clear" w:color="auto" w:fill="auto"/>
          </w:tcPr>
          <w:p w14:paraId="6B5FEBC9" w14:textId="723E3512" w:rsidR="00591DAB" w:rsidRPr="009A79E5" w:rsidRDefault="00D31CB6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9.6.7.54</w:t>
            </w:r>
          </w:p>
        </w:tc>
        <w:tc>
          <w:tcPr>
            <w:tcW w:w="810" w:type="dxa"/>
            <w:shd w:val="clear" w:color="auto" w:fill="auto"/>
          </w:tcPr>
          <w:p w14:paraId="59E55F6D" w14:textId="2FD79F2E" w:rsidR="00591DAB" w:rsidRPr="009A79E5" w:rsidRDefault="00D31CB6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60.57</w:t>
            </w:r>
          </w:p>
        </w:tc>
        <w:tc>
          <w:tcPr>
            <w:tcW w:w="3690" w:type="dxa"/>
            <w:shd w:val="clear" w:color="auto" w:fill="auto"/>
          </w:tcPr>
          <w:p w14:paraId="4F8AB788" w14:textId="0DDED9E4" w:rsidR="00591DAB" w:rsidRPr="009A79E5" w:rsidRDefault="009A0103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Delete the TBD and define the status code for the REQUEST_REJECTED</w:t>
            </w:r>
          </w:p>
        </w:tc>
        <w:tc>
          <w:tcPr>
            <w:tcW w:w="2852" w:type="dxa"/>
            <w:shd w:val="clear" w:color="auto" w:fill="auto"/>
          </w:tcPr>
          <w:p w14:paraId="17AFBB91" w14:textId="6F5D609B" w:rsidR="00591DAB" w:rsidRPr="009A79E5" w:rsidRDefault="009A0103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As in comment</w:t>
            </w:r>
          </w:p>
        </w:tc>
      </w:tr>
      <w:tr w:rsidR="00D73FE3" w:rsidRPr="007F18E9" w14:paraId="6C4D64F3" w14:textId="77777777" w:rsidTr="00AA023F">
        <w:tc>
          <w:tcPr>
            <w:tcW w:w="656" w:type="dxa"/>
            <w:shd w:val="clear" w:color="auto" w:fill="auto"/>
          </w:tcPr>
          <w:p w14:paraId="6E1CD2E0" w14:textId="408A2FC8" w:rsidR="00D73FE3" w:rsidRPr="009A79E5" w:rsidRDefault="00F37604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572</w:t>
            </w:r>
          </w:p>
        </w:tc>
        <w:tc>
          <w:tcPr>
            <w:tcW w:w="1342" w:type="dxa"/>
            <w:shd w:val="clear" w:color="auto" w:fill="auto"/>
          </w:tcPr>
          <w:p w14:paraId="62D2D069" w14:textId="0AD23A4C" w:rsidR="00D73FE3" w:rsidRPr="009A79E5" w:rsidRDefault="0000796F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11.21.19.2</w:t>
            </w:r>
          </w:p>
        </w:tc>
        <w:tc>
          <w:tcPr>
            <w:tcW w:w="810" w:type="dxa"/>
            <w:shd w:val="clear" w:color="auto" w:fill="auto"/>
          </w:tcPr>
          <w:p w14:paraId="4C9241DB" w14:textId="47020A5C" w:rsidR="00D73FE3" w:rsidRPr="009A79E5" w:rsidRDefault="0000796F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73.10</w:t>
            </w:r>
          </w:p>
        </w:tc>
        <w:tc>
          <w:tcPr>
            <w:tcW w:w="3690" w:type="dxa"/>
            <w:shd w:val="clear" w:color="auto" w:fill="auto"/>
          </w:tcPr>
          <w:p w14:paraId="21F5561D" w14:textId="7FB972B3" w:rsidR="00D73FE3" w:rsidRPr="009A79E5" w:rsidRDefault="00BC07B2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The status code REQUEST_REJECTED is not defined in the status code in table 9-78. Define it</w:t>
            </w:r>
          </w:p>
        </w:tc>
        <w:tc>
          <w:tcPr>
            <w:tcW w:w="2852" w:type="dxa"/>
            <w:shd w:val="clear" w:color="auto" w:fill="auto"/>
          </w:tcPr>
          <w:p w14:paraId="5BF54B0F" w14:textId="4896727B" w:rsidR="00D73FE3" w:rsidRPr="009A79E5" w:rsidRDefault="00BC07B2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As in Comment.</w:t>
            </w:r>
          </w:p>
        </w:tc>
      </w:tr>
      <w:tr w:rsidR="00D73FE3" w:rsidRPr="007F18E9" w14:paraId="552FE8DE" w14:textId="77777777" w:rsidTr="00AA023F">
        <w:tc>
          <w:tcPr>
            <w:tcW w:w="656" w:type="dxa"/>
            <w:shd w:val="clear" w:color="auto" w:fill="auto"/>
          </w:tcPr>
          <w:p w14:paraId="382EC926" w14:textId="6B1A12B1" w:rsidR="00D73FE3" w:rsidRPr="007F18E9" w:rsidRDefault="00865E6F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505</w:t>
            </w:r>
          </w:p>
        </w:tc>
        <w:tc>
          <w:tcPr>
            <w:tcW w:w="1342" w:type="dxa"/>
            <w:shd w:val="clear" w:color="auto" w:fill="auto"/>
          </w:tcPr>
          <w:p w14:paraId="75E783C1" w14:textId="20B9E3E1" w:rsidR="00D73FE3" w:rsidRPr="007F18E9" w:rsidRDefault="002229B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2229BB">
              <w:rPr>
                <w:szCs w:val="22"/>
                <w:lang w:val="en-US"/>
              </w:rPr>
              <w:t>9.4.1.9</w:t>
            </w:r>
          </w:p>
        </w:tc>
        <w:tc>
          <w:tcPr>
            <w:tcW w:w="810" w:type="dxa"/>
            <w:shd w:val="clear" w:color="auto" w:fill="auto"/>
          </w:tcPr>
          <w:p w14:paraId="4DB671DB" w14:textId="5D866335" w:rsidR="00D73FE3" w:rsidRPr="007F18E9" w:rsidRDefault="002229B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2229BB">
              <w:rPr>
                <w:szCs w:val="22"/>
                <w:lang w:val="en-US"/>
              </w:rPr>
              <w:t>31.17</w:t>
            </w:r>
          </w:p>
        </w:tc>
        <w:tc>
          <w:tcPr>
            <w:tcW w:w="3690" w:type="dxa"/>
            <w:shd w:val="clear" w:color="auto" w:fill="auto"/>
          </w:tcPr>
          <w:p w14:paraId="6B3ACA61" w14:textId="0D6A3F74" w:rsidR="00D73FE3" w:rsidRPr="007F18E9" w:rsidRDefault="002229B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2229BB">
              <w:rPr>
                <w:szCs w:val="22"/>
                <w:lang w:val="en-US"/>
              </w:rPr>
              <w:t>The value of Status code for DENIED_SENSING_MEASUREMENT_SETUP is not defined.</w:t>
            </w:r>
          </w:p>
        </w:tc>
        <w:tc>
          <w:tcPr>
            <w:tcW w:w="2852" w:type="dxa"/>
            <w:shd w:val="clear" w:color="auto" w:fill="auto"/>
          </w:tcPr>
          <w:p w14:paraId="4972D3B0" w14:textId="671CF41B" w:rsidR="00D73FE3" w:rsidRPr="007F18E9" w:rsidRDefault="00BF0BD8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BF0BD8">
              <w:rPr>
                <w:szCs w:val="22"/>
                <w:lang w:val="en-US"/>
              </w:rPr>
              <w:t>Define the Status code by using the reserved value</w:t>
            </w:r>
          </w:p>
        </w:tc>
      </w:tr>
      <w:tr w:rsidR="00591DAB" w:rsidRPr="007F18E9" w14:paraId="0FBCD752" w14:textId="77777777" w:rsidTr="00AA023F">
        <w:tc>
          <w:tcPr>
            <w:tcW w:w="656" w:type="dxa"/>
            <w:shd w:val="clear" w:color="auto" w:fill="auto"/>
          </w:tcPr>
          <w:p w14:paraId="71DF8593" w14:textId="6213E994" w:rsidR="00591DAB" w:rsidRPr="007F18E9" w:rsidRDefault="00865E6F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506</w:t>
            </w:r>
          </w:p>
        </w:tc>
        <w:tc>
          <w:tcPr>
            <w:tcW w:w="1342" w:type="dxa"/>
            <w:shd w:val="clear" w:color="auto" w:fill="auto"/>
          </w:tcPr>
          <w:p w14:paraId="2714413B" w14:textId="0BE1DF53" w:rsidR="00591DAB" w:rsidRPr="007F18E9" w:rsidRDefault="002229B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2229BB">
              <w:rPr>
                <w:szCs w:val="22"/>
                <w:lang w:val="en-US"/>
              </w:rPr>
              <w:t>9.4.1.9</w:t>
            </w:r>
          </w:p>
        </w:tc>
        <w:tc>
          <w:tcPr>
            <w:tcW w:w="810" w:type="dxa"/>
            <w:shd w:val="clear" w:color="auto" w:fill="auto"/>
          </w:tcPr>
          <w:p w14:paraId="4F172C68" w14:textId="0C94CACE" w:rsidR="00591DAB" w:rsidRPr="007F18E9" w:rsidRDefault="002229B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2229BB">
              <w:rPr>
                <w:szCs w:val="22"/>
                <w:lang w:val="en-US"/>
              </w:rPr>
              <w:t>31.20</w:t>
            </w:r>
          </w:p>
        </w:tc>
        <w:tc>
          <w:tcPr>
            <w:tcW w:w="3690" w:type="dxa"/>
            <w:shd w:val="clear" w:color="auto" w:fill="auto"/>
          </w:tcPr>
          <w:p w14:paraId="470F5F8F" w14:textId="32DE11E9" w:rsidR="00591DAB" w:rsidRPr="007F18E9" w:rsidRDefault="00D31BC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D31BC7">
              <w:rPr>
                <w:szCs w:val="22"/>
                <w:lang w:val="en-US"/>
              </w:rPr>
              <w:t>The value of Status code for PREFERRED_MEASURMENT_SETUP_PARAMETERS_SUGGESTED is not defined</w:t>
            </w:r>
          </w:p>
        </w:tc>
        <w:tc>
          <w:tcPr>
            <w:tcW w:w="2852" w:type="dxa"/>
            <w:shd w:val="clear" w:color="auto" w:fill="auto"/>
          </w:tcPr>
          <w:p w14:paraId="33D1B942" w14:textId="32FD7B06" w:rsidR="00591DAB" w:rsidRPr="007F18E9" w:rsidRDefault="00E50519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E50519">
              <w:rPr>
                <w:szCs w:val="22"/>
                <w:lang w:val="en-US"/>
              </w:rPr>
              <w:t>Define the Status code by using the reserved value</w:t>
            </w:r>
          </w:p>
        </w:tc>
      </w:tr>
    </w:tbl>
    <w:p w14:paraId="5A9D1D0F" w14:textId="77777777" w:rsidR="00591DAB" w:rsidRPr="007F18E9" w:rsidRDefault="00591DAB" w:rsidP="00591DAB">
      <w:pPr>
        <w:rPr>
          <w:szCs w:val="22"/>
          <w:lang w:val="en-US"/>
        </w:rPr>
      </w:pPr>
    </w:p>
    <w:p w14:paraId="7353EDEC" w14:textId="4ED7871F" w:rsidR="00DE07BF" w:rsidRPr="00CF09FE" w:rsidRDefault="00DE07BF" w:rsidP="00DE07B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75DB6F11" w14:textId="77777777" w:rsidR="00DE07BF" w:rsidRPr="00CF09FE" w:rsidRDefault="00DE07BF" w:rsidP="00DE07BF">
      <w:pPr>
        <w:rPr>
          <w:szCs w:val="22"/>
          <w:lang w:val="en-US"/>
        </w:rPr>
      </w:pPr>
    </w:p>
    <w:p w14:paraId="60AD0696" w14:textId="4EFE20C9" w:rsidR="009931E3" w:rsidRPr="002E77FE" w:rsidRDefault="00DE07BF" w:rsidP="009931E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E50519">
        <w:rPr>
          <w:szCs w:val="22"/>
          <w:lang w:val="en-US"/>
        </w:rPr>
        <w:t xml:space="preserve">The group has approved the </w:t>
      </w:r>
      <w:r w:rsidR="009931E3">
        <w:rPr>
          <w:szCs w:val="22"/>
          <w:lang w:val="en-US"/>
        </w:rPr>
        <w:t xml:space="preserve">use of </w:t>
      </w:r>
      <w:r w:rsidR="009931E3" w:rsidRPr="002E77FE">
        <w:rPr>
          <w:szCs w:val="22"/>
          <w:lang w:val="en-US"/>
        </w:rPr>
        <w:t>REQUEST_DECLINED</w:t>
      </w:r>
      <w:r w:rsidR="009931E3">
        <w:rPr>
          <w:szCs w:val="22"/>
          <w:lang w:val="en-US"/>
        </w:rPr>
        <w:t xml:space="preserve"> </w:t>
      </w:r>
      <w:r w:rsidR="00A60825">
        <w:rPr>
          <w:szCs w:val="22"/>
          <w:lang w:val="en-US"/>
        </w:rPr>
        <w:t>(in place of REQUEST_REJECTED</w:t>
      </w:r>
      <w:r w:rsidR="00F643F0">
        <w:rPr>
          <w:szCs w:val="22"/>
          <w:lang w:val="en-US"/>
        </w:rPr>
        <w:t xml:space="preserve"> and </w:t>
      </w:r>
      <w:r w:rsidR="00F643F0" w:rsidRPr="002229BB">
        <w:rPr>
          <w:szCs w:val="22"/>
          <w:lang w:val="en-US"/>
        </w:rPr>
        <w:t>DENIED_SENSING_MEASUREMENT_SETUP</w:t>
      </w:r>
      <w:r w:rsidR="00A60825">
        <w:rPr>
          <w:szCs w:val="22"/>
          <w:lang w:val="en-US"/>
        </w:rPr>
        <w:t xml:space="preserve">) </w:t>
      </w:r>
      <w:r w:rsidR="009931E3">
        <w:rPr>
          <w:szCs w:val="22"/>
          <w:lang w:val="en-US"/>
        </w:rPr>
        <w:t xml:space="preserve">and </w:t>
      </w:r>
      <w:r w:rsidR="009931E3" w:rsidRPr="002E77FE">
        <w:rPr>
          <w:szCs w:val="22"/>
          <w:lang w:val="en-US"/>
        </w:rPr>
        <w:t>REJECTED_WITH_SUGGESTED_CHANGES</w:t>
      </w:r>
      <w:r w:rsidR="00F643F0">
        <w:rPr>
          <w:szCs w:val="22"/>
          <w:lang w:val="en-US"/>
        </w:rPr>
        <w:t xml:space="preserve"> (in place of </w:t>
      </w:r>
      <w:r w:rsidR="00F643F0" w:rsidRPr="00D31BC7">
        <w:rPr>
          <w:szCs w:val="22"/>
          <w:lang w:val="en-US"/>
        </w:rPr>
        <w:t>PREFERRED_MEASURMENT_SETUP_PARAMETERS_SUGGESTED</w:t>
      </w:r>
      <w:r w:rsidR="00F643F0">
        <w:rPr>
          <w:szCs w:val="22"/>
          <w:lang w:val="en-US"/>
        </w:rPr>
        <w:t>)</w:t>
      </w:r>
      <w:r w:rsidR="00B363DA">
        <w:rPr>
          <w:szCs w:val="22"/>
          <w:lang w:val="en-US"/>
        </w:rPr>
        <w:t>,</w:t>
      </w:r>
      <w:r w:rsidR="00E96B27">
        <w:rPr>
          <w:szCs w:val="22"/>
          <w:lang w:val="en-US"/>
        </w:rPr>
        <w:t xml:space="preserve"> which </w:t>
      </w:r>
      <w:r w:rsidR="00025120">
        <w:rPr>
          <w:szCs w:val="22"/>
          <w:lang w:val="en-US"/>
        </w:rPr>
        <w:t>have status codes</w:t>
      </w:r>
      <w:r w:rsidR="00E96B27">
        <w:rPr>
          <w:szCs w:val="22"/>
          <w:lang w:val="en-US"/>
        </w:rPr>
        <w:t xml:space="preserve"> define</w:t>
      </w:r>
      <w:r w:rsidR="007D265F">
        <w:rPr>
          <w:szCs w:val="22"/>
          <w:lang w:val="en-US"/>
        </w:rPr>
        <w:t>d</w:t>
      </w:r>
      <w:r w:rsidR="00E96B27">
        <w:rPr>
          <w:szCs w:val="22"/>
          <w:lang w:val="en-US"/>
        </w:rPr>
        <w:t xml:space="preserve"> in Table 9-78</w:t>
      </w:r>
      <w:r w:rsidR="007D265F">
        <w:rPr>
          <w:szCs w:val="22"/>
          <w:lang w:val="en-US"/>
        </w:rPr>
        <w:t xml:space="preserve"> of our baseline</w:t>
      </w:r>
      <w:r w:rsidR="009D5795">
        <w:rPr>
          <w:szCs w:val="22"/>
          <w:lang w:val="en-US"/>
        </w:rPr>
        <w:t xml:space="preserve"> (Rev. me</w:t>
      </w:r>
      <w:r w:rsidR="00025120">
        <w:rPr>
          <w:szCs w:val="22"/>
          <w:lang w:val="en-US"/>
        </w:rPr>
        <w:t>/D2.0</w:t>
      </w:r>
      <w:r w:rsidR="009D5795">
        <w:rPr>
          <w:szCs w:val="22"/>
          <w:lang w:val="en-US"/>
        </w:rPr>
        <w:t>)</w:t>
      </w:r>
      <w:r w:rsidR="007D265F">
        <w:rPr>
          <w:szCs w:val="22"/>
          <w:lang w:val="en-US"/>
        </w:rPr>
        <w:t>.</w:t>
      </w:r>
    </w:p>
    <w:p w14:paraId="20548B78" w14:textId="77777777" w:rsidR="00D73FE3" w:rsidRPr="00CF09FE" w:rsidRDefault="00D73FE3" w:rsidP="00393FF9">
      <w:pPr>
        <w:rPr>
          <w:szCs w:val="22"/>
          <w:lang w:val="en-US"/>
        </w:rPr>
      </w:pPr>
    </w:p>
    <w:p w14:paraId="4CC97621" w14:textId="436DFA86" w:rsidR="001E02B9" w:rsidRDefault="00DE07BF" w:rsidP="00F1240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262B41">
        <w:rPr>
          <w:szCs w:val="22"/>
          <w:lang w:val="en-US"/>
        </w:rPr>
        <w:t>Modifications that address the comments above</w:t>
      </w:r>
      <w:r w:rsidR="00F1240B">
        <w:rPr>
          <w:szCs w:val="22"/>
          <w:lang w:val="en-US"/>
        </w:rPr>
        <w:t xml:space="preserve"> can already be found in D0.4.</w:t>
      </w:r>
    </w:p>
    <w:p w14:paraId="3D52F09E" w14:textId="77777777" w:rsidR="001B51EA" w:rsidRDefault="001B51EA" w:rsidP="001B51EA">
      <w:pPr>
        <w:rPr>
          <w:szCs w:val="22"/>
          <w:lang w:val="en-US"/>
        </w:rPr>
      </w:pPr>
    </w:p>
    <w:p w14:paraId="31E5BCA2" w14:textId="77777777" w:rsidR="001B51EA" w:rsidRDefault="001B51EA" w:rsidP="001B51EA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1B51EA" w:rsidRPr="007F18E9" w14:paraId="1CAA8853" w14:textId="77777777" w:rsidTr="00AE4ABC">
        <w:tc>
          <w:tcPr>
            <w:tcW w:w="656" w:type="dxa"/>
            <w:shd w:val="clear" w:color="auto" w:fill="auto"/>
          </w:tcPr>
          <w:p w14:paraId="55826785" w14:textId="77777777" w:rsidR="001B51EA" w:rsidRPr="007F18E9" w:rsidRDefault="001B51EA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6CA3CE6" w14:textId="77777777" w:rsidR="001B51EA" w:rsidRPr="007F18E9" w:rsidRDefault="001B51EA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178F0665" w14:textId="77777777" w:rsidR="001B51EA" w:rsidRPr="007F18E9" w:rsidRDefault="001B51EA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64F50510" w14:textId="77777777" w:rsidR="001B51EA" w:rsidRPr="007F18E9" w:rsidRDefault="001B51EA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26D035BE" w14:textId="77777777" w:rsidR="001B51EA" w:rsidRPr="007F18E9" w:rsidRDefault="001B51EA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Proposed change</w:t>
            </w:r>
          </w:p>
        </w:tc>
      </w:tr>
      <w:tr w:rsidR="001B51EA" w:rsidRPr="007F18E9" w14:paraId="73F4710A" w14:textId="77777777" w:rsidTr="00AE4ABC">
        <w:tc>
          <w:tcPr>
            <w:tcW w:w="656" w:type="dxa"/>
            <w:shd w:val="clear" w:color="auto" w:fill="auto"/>
          </w:tcPr>
          <w:p w14:paraId="553CAADF" w14:textId="4F7119F6" w:rsidR="001B51EA" w:rsidRPr="009A79E5" w:rsidRDefault="001B51EA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179</w:t>
            </w:r>
          </w:p>
        </w:tc>
        <w:tc>
          <w:tcPr>
            <w:tcW w:w="1342" w:type="dxa"/>
            <w:shd w:val="clear" w:color="auto" w:fill="auto"/>
          </w:tcPr>
          <w:p w14:paraId="13741B3C" w14:textId="7506D058" w:rsidR="001B51EA" w:rsidRPr="009A79E5" w:rsidRDefault="0086424B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11.21.19.2</w:t>
            </w:r>
          </w:p>
        </w:tc>
        <w:tc>
          <w:tcPr>
            <w:tcW w:w="810" w:type="dxa"/>
            <w:shd w:val="clear" w:color="auto" w:fill="auto"/>
          </w:tcPr>
          <w:p w14:paraId="684587B0" w14:textId="08937533" w:rsidR="001B51EA" w:rsidRPr="009A79E5" w:rsidRDefault="0086424B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73.58</w:t>
            </w:r>
          </w:p>
        </w:tc>
        <w:tc>
          <w:tcPr>
            <w:tcW w:w="3690" w:type="dxa"/>
            <w:shd w:val="clear" w:color="auto" w:fill="auto"/>
          </w:tcPr>
          <w:p w14:paraId="4E73624C" w14:textId="619BE829" w:rsidR="001B51EA" w:rsidRPr="009A79E5" w:rsidRDefault="0086424B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" ... is defined as a STA that supports SBP." A STA that supports SBP better be defined as "SBP-capable STA"</w:t>
            </w:r>
          </w:p>
        </w:tc>
        <w:tc>
          <w:tcPr>
            <w:tcW w:w="2852" w:type="dxa"/>
            <w:shd w:val="clear" w:color="auto" w:fill="auto"/>
          </w:tcPr>
          <w:p w14:paraId="3B8EE503" w14:textId="6CBEF3EF" w:rsidR="001B51EA" w:rsidRPr="009A79E5" w:rsidRDefault="0086424B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9A79E5">
              <w:rPr>
                <w:szCs w:val="22"/>
                <w:lang w:val="en-US"/>
              </w:rPr>
              <w:t>As in comment.</w:t>
            </w:r>
          </w:p>
        </w:tc>
      </w:tr>
    </w:tbl>
    <w:p w14:paraId="03A17B61" w14:textId="77777777" w:rsidR="001B51EA" w:rsidRPr="007F18E9" w:rsidRDefault="001B51EA" w:rsidP="001B51EA">
      <w:pPr>
        <w:rPr>
          <w:szCs w:val="22"/>
          <w:lang w:val="en-US"/>
        </w:rPr>
      </w:pPr>
    </w:p>
    <w:p w14:paraId="6506FDB2" w14:textId="6D901AE2" w:rsidR="001B51EA" w:rsidRPr="00CF09FE" w:rsidRDefault="001B51EA" w:rsidP="001B51EA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D33EA6">
        <w:rPr>
          <w:szCs w:val="22"/>
          <w:lang w:val="en-US"/>
        </w:rPr>
        <w:t>Revised</w:t>
      </w:r>
    </w:p>
    <w:p w14:paraId="583F7E1D" w14:textId="77777777" w:rsidR="001B51EA" w:rsidRPr="00CF09FE" w:rsidRDefault="001B51EA" w:rsidP="001B51EA">
      <w:pPr>
        <w:rPr>
          <w:szCs w:val="22"/>
          <w:lang w:val="en-US"/>
        </w:rPr>
      </w:pPr>
    </w:p>
    <w:p w14:paraId="16330C74" w14:textId="77777777" w:rsidR="00D33EA6" w:rsidRDefault="001B51EA" w:rsidP="001B51EA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7A740E">
        <w:rPr>
          <w:szCs w:val="22"/>
          <w:lang w:val="en-US"/>
        </w:rPr>
        <w:t>For reference, text</w:t>
      </w:r>
      <w:r w:rsidR="00D33EA6">
        <w:rPr>
          <w:szCs w:val="22"/>
          <w:lang w:val="en-US"/>
        </w:rPr>
        <w:t xml:space="preserve"> (D0.4)</w:t>
      </w:r>
      <w:r w:rsidR="007A740E">
        <w:rPr>
          <w:szCs w:val="22"/>
          <w:lang w:val="en-US"/>
        </w:rPr>
        <w:t xml:space="preserve"> </w:t>
      </w:r>
      <w:r w:rsidR="00AB387A">
        <w:rPr>
          <w:szCs w:val="22"/>
          <w:lang w:val="en-US"/>
        </w:rPr>
        <w:t xml:space="preserve">is: </w:t>
      </w:r>
    </w:p>
    <w:p w14:paraId="5E1CDAFA" w14:textId="77777777" w:rsidR="00946E42" w:rsidRDefault="00946E42" w:rsidP="002F4303">
      <w:pPr>
        <w:rPr>
          <w:szCs w:val="22"/>
          <w:lang w:val="en-US"/>
        </w:rPr>
      </w:pPr>
    </w:p>
    <w:p w14:paraId="7FCD37AF" w14:textId="50E9587F" w:rsidR="002F4303" w:rsidRDefault="00AB387A" w:rsidP="002F4303">
      <w:pPr>
        <w:rPr>
          <w:szCs w:val="22"/>
          <w:lang w:val="en-US"/>
        </w:rPr>
      </w:pPr>
      <w:r>
        <w:rPr>
          <w:szCs w:val="22"/>
          <w:lang w:val="en-US"/>
        </w:rPr>
        <w:t>“</w:t>
      </w:r>
      <w:r w:rsidR="002F4303" w:rsidRPr="002F4303">
        <w:rPr>
          <w:szCs w:val="22"/>
          <w:lang w:val="en-US"/>
        </w:rPr>
        <w:t>Implementation of SBP is optional for a WNM STA. A STA in which dot11SBPImplemented is true is</w:t>
      </w:r>
      <w:r w:rsidR="002F4303">
        <w:rPr>
          <w:szCs w:val="22"/>
          <w:lang w:val="en-US"/>
        </w:rPr>
        <w:t xml:space="preserve"> </w:t>
      </w:r>
      <w:r w:rsidR="002F4303" w:rsidRPr="002F4303">
        <w:rPr>
          <w:szCs w:val="22"/>
          <w:lang w:val="en-US"/>
        </w:rPr>
        <w:t xml:space="preserve">defined as a STA that supports </w:t>
      </w:r>
      <w:proofErr w:type="gramStart"/>
      <w:r w:rsidR="002F4303" w:rsidRPr="002F4303">
        <w:rPr>
          <w:szCs w:val="22"/>
          <w:lang w:val="en-US"/>
        </w:rPr>
        <w:t>SBP(</w:t>
      </w:r>
      <w:proofErr w:type="gramEnd"/>
      <w:r w:rsidR="002F4303" w:rsidRPr="002F4303">
        <w:rPr>
          <w:szCs w:val="22"/>
          <w:lang w:val="en-US"/>
        </w:rPr>
        <w:t>#176, #717).</w:t>
      </w:r>
    </w:p>
    <w:p w14:paraId="22F4CF90" w14:textId="77777777" w:rsidR="00291019" w:rsidRPr="002F4303" w:rsidRDefault="00291019" w:rsidP="002F4303">
      <w:pPr>
        <w:rPr>
          <w:szCs w:val="22"/>
          <w:lang w:val="en-US"/>
        </w:rPr>
      </w:pPr>
    </w:p>
    <w:p w14:paraId="2D032EF8" w14:textId="24CB8F78" w:rsidR="002F4303" w:rsidRDefault="002F4303" w:rsidP="002F4303">
      <w:pPr>
        <w:rPr>
          <w:szCs w:val="22"/>
          <w:lang w:val="en-US"/>
        </w:rPr>
      </w:pPr>
      <w:r w:rsidRPr="002F4303">
        <w:rPr>
          <w:szCs w:val="22"/>
          <w:lang w:val="en-US"/>
        </w:rPr>
        <w:t>A STA in which dot11SBPImplemented is true shall set the SBP field of the Extended Capabilities element</w:t>
      </w:r>
      <w:r w:rsidR="000C7731">
        <w:rPr>
          <w:szCs w:val="22"/>
          <w:lang w:val="en-US"/>
        </w:rPr>
        <w:t xml:space="preserve"> </w:t>
      </w:r>
      <w:r w:rsidRPr="002F4303">
        <w:rPr>
          <w:szCs w:val="22"/>
          <w:lang w:val="en-US"/>
        </w:rPr>
        <w:t>to 1(#176, #717).</w:t>
      </w:r>
    </w:p>
    <w:p w14:paraId="304BC55D" w14:textId="77777777" w:rsidR="00291019" w:rsidRPr="002F4303" w:rsidRDefault="00291019" w:rsidP="002F4303">
      <w:pPr>
        <w:rPr>
          <w:szCs w:val="22"/>
          <w:lang w:val="en-US"/>
        </w:rPr>
      </w:pPr>
    </w:p>
    <w:p w14:paraId="6B87D464" w14:textId="65DF414C" w:rsidR="002F4303" w:rsidRDefault="002F4303" w:rsidP="002F4303">
      <w:pPr>
        <w:rPr>
          <w:szCs w:val="22"/>
          <w:lang w:val="en-US"/>
        </w:rPr>
      </w:pPr>
      <w:r w:rsidRPr="002F4303">
        <w:rPr>
          <w:szCs w:val="22"/>
          <w:lang w:val="en-US"/>
        </w:rPr>
        <w:t>A STA in which dot11SBPImplemented is false shall set the SBP field of the Extended Capabilities element</w:t>
      </w:r>
      <w:r w:rsidR="000C7731">
        <w:rPr>
          <w:szCs w:val="22"/>
          <w:lang w:val="en-US"/>
        </w:rPr>
        <w:t xml:space="preserve"> </w:t>
      </w:r>
      <w:r w:rsidRPr="002F4303">
        <w:rPr>
          <w:szCs w:val="22"/>
          <w:lang w:val="en-US"/>
        </w:rPr>
        <w:t>to 0(#176, #717).</w:t>
      </w:r>
    </w:p>
    <w:p w14:paraId="40D8E982" w14:textId="77777777" w:rsidR="00291019" w:rsidRPr="002F4303" w:rsidRDefault="00291019" w:rsidP="002F4303">
      <w:pPr>
        <w:rPr>
          <w:szCs w:val="22"/>
          <w:lang w:val="en-US"/>
        </w:rPr>
      </w:pPr>
    </w:p>
    <w:p w14:paraId="54EBEA0D" w14:textId="5C830574" w:rsidR="002F4303" w:rsidRDefault="002F4303" w:rsidP="002F4303">
      <w:pPr>
        <w:rPr>
          <w:szCs w:val="22"/>
          <w:lang w:val="en-US"/>
        </w:rPr>
      </w:pPr>
      <w:r w:rsidRPr="002F4303">
        <w:rPr>
          <w:szCs w:val="22"/>
          <w:lang w:val="en-US"/>
        </w:rPr>
        <w:t>A non-AP STA may act as SBP initiator when dot11SBPImplemented is true.</w:t>
      </w:r>
    </w:p>
    <w:p w14:paraId="29751C31" w14:textId="77777777" w:rsidR="00291019" w:rsidRPr="002F4303" w:rsidRDefault="00291019" w:rsidP="002F4303">
      <w:pPr>
        <w:rPr>
          <w:szCs w:val="22"/>
          <w:lang w:val="en-US"/>
        </w:rPr>
      </w:pPr>
    </w:p>
    <w:p w14:paraId="1205AEEA" w14:textId="3E086C66" w:rsidR="000E2182" w:rsidRDefault="002F4303" w:rsidP="002F4303">
      <w:pPr>
        <w:rPr>
          <w:szCs w:val="22"/>
          <w:lang w:val="en-US"/>
        </w:rPr>
      </w:pPr>
      <w:r w:rsidRPr="002F4303">
        <w:rPr>
          <w:szCs w:val="22"/>
          <w:lang w:val="en-US"/>
        </w:rPr>
        <w:t>An AP may act as SBP responder when dot11SBPImplemented is true.</w:t>
      </w:r>
      <w:r w:rsidR="000C7731">
        <w:rPr>
          <w:szCs w:val="22"/>
          <w:lang w:val="en-US"/>
        </w:rPr>
        <w:t>”</w:t>
      </w:r>
    </w:p>
    <w:p w14:paraId="64336BB4" w14:textId="77777777" w:rsidR="00946E42" w:rsidRDefault="00946E42" w:rsidP="002F4303">
      <w:pPr>
        <w:rPr>
          <w:szCs w:val="22"/>
          <w:lang w:val="en-US"/>
        </w:rPr>
      </w:pPr>
    </w:p>
    <w:p w14:paraId="7B319B63" w14:textId="53CB483E" w:rsidR="00A44775" w:rsidRDefault="00946E42" w:rsidP="00A44775">
      <w:pPr>
        <w:rPr>
          <w:szCs w:val="22"/>
          <w:lang w:val="en-US"/>
        </w:rPr>
      </w:pPr>
      <w:r w:rsidRPr="00946E42">
        <w:rPr>
          <w:szCs w:val="22"/>
          <w:lang w:val="en-US"/>
        </w:rPr>
        <w:t xml:space="preserve">The cited text looks to be redundant. The definition is captured in </w:t>
      </w:r>
      <w:r w:rsidR="00A44775">
        <w:rPr>
          <w:szCs w:val="22"/>
          <w:lang w:val="en-US"/>
        </w:rPr>
        <w:t>“</w:t>
      </w:r>
      <w:r w:rsidR="00A44775" w:rsidRPr="002F4303">
        <w:rPr>
          <w:szCs w:val="22"/>
          <w:lang w:val="en-US"/>
        </w:rPr>
        <w:t>A non-AP STA may act as SBP initiator when dot11SBPImplemented is true.</w:t>
      </w:r>
      <w:r w:rsidR="00A44775">
        <w:rPr>
          <w:szCs w:val="22"/>
          <w:lang w:val="en-US"/>
        </w:rPr>
        <w:t xml:space="preserve"> </w:t>
      </w:r>
      <w:r w:rsidR="00A44775" w:rsidRPr="002F4303">
        <w:rPr>
          <w:szCs w:val="22"/>
          <w:lang w:val="en-US"/>
        </w:rPr>
        <w:t>An AP may act as SBP responder when dot11SBPImplemented is true.</w:t>
      </w:r>
      <w:r w:rsidR="00A44775">
        <w:rPr>
          <w:szCs w:val="22"/>
          <w:lang w:val="en-US"/>
        </w:rPr>
        <w:t>”</w:t>
      </w:r>
    </w:p>
    <w:p w14:paraId="7882AFC7" w14:textId="77777777" w:rsidR="00946E42" w:rsidRPr="00CF09FE" w:rsidRDefault="00946E42" w:rsidP="000C7731">
      <w:pPr>
        <w:rPr>
          <w:szCs w:val="22"/>
          <w:lang w:val="en-US"/>
        </w:rPr>
      </w:pPr>
    </w:p>
    <w:p w14:paraId="296DD5A1" w14:textId="4165D5D8" w:rsidR="000C7731" w:rsidRDefault="000C7731" w:rsidP="000C773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lastRenderedPageBreak/>
        <w:t>Modifications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282989">
        <w:rPr>
          <w:szCs w:val="22"/>
          <w:lang w:val="en-US"/>
        </w:rPr>
        <w:t>Delete “</w:t>
      </w:r>
      <w:r w:rsidR="00282989" w:rsidRPr="002F4303">
        <w:rPr>
          <w:szCs w:val="22"/>
          <w:lang w:val="en-US"/>
        </w:rPr>
        <w:t>A STA in which dot11SBPImplemented is true is</w:t>
      </w:r>
      <w:r w:rsidR="00282989">
        <w:rPr>
          <w:szCs w:val="22"/>
          <w:lang w:val="en-US"/>
        </w:rPr>
        <w:t xml:space="preserve"> </w:t>
      </w:r>
      <w:r w:rsidR="00282989" w:rsidRPr="002F4303">
        <w:rPr>
          <w:szCs w:val="22"/>
          <w:lang w:val="en-US"/>
        </w:rPr>
        <w:t xml:space="preserve">defined as a STA that supports </w:t>
      </w:r>
      <w:proofErr w:type="gramStart"/>
      <w:r w:rsidR="00282989" w:rsidRPr="002F4303">
        <w:rPr>
          <w:szCs w:val="22"/>
          <w:lang w:val="en-US"/>
        </w:rPr>
        <w:t>SBP(</w:t>
      </w:r>
      <w:proofErr w:type="gramEnd"/>
      <w:r w:rsidR="00282989" w:rsidRPr="002F4303">
        <w:rPr>
          <w:szCs w:val="22"/>
          <w:lang w:val="en-US"/>
        </w:rPr>
        <w:t>#176, #717)</w:t>
      </w:r>
      <w:r w:rsidR="00282989">
        <w:rPr>
          <w:szCs w:val="22"/>
          <w:lang w:val="en-US"/>
        </w:rPr>
        <w:t>”</w:t>
      </w:r>
      <w:r w:rsidR="008227E7">
        <w:rPr>
          <w:szCs w:val="22"/>
          <w:lang w:val="en-US"/>
        </w:rPr>
        <w:t>.</w:t>
      </w:r>
    </w:p>
    <w:p w14:paraId="1AE2CC97" w14:textId="77777777" w:rsidR="000C7731" w:rsidRDefault="000C7731" w:rsidP="002F4303">
      <w:pPr>
        <w:rPr>
          <w:szCs w:val="22"/>
          <w:lang w:val="en-US"/>
        </w:rPr>
      </w:pPr>
    </w:p>
    <w:p w14:paraId="75FB73BA" w14:textId="4A939FF4" w:rsidR="007D265F" w:rsidRDefault="007D265F" w:rsidP="00F1240B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AB5BE3" w:rsidRPr="007F18E9" w14:paraId="65CDB612" w14:textId="77777777" w:rsidTr="00AE4ABC">
        <w:tc>
          <w:tcPr>
            <w:tcW w:w="656" w:type="dxa"/>
            <w:shd w:val="clear" w:color="auto" w:fill="auto"/>
          </w:tcPr>
          <w:p w14:paraId="31249B6C" w14:textId="77777777" w:rsidR="00AB5BE3" w:rsidRPr="007F18E9" w:rsidRDefault="00AB5BE3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646B4D48" w14:textId="77777777" w:rsidR="00AB5BE3" w:rsidRPr="007F18E9" w:rsidRDefault="00AB5BE3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0380B533" w14:textId="77777777" w:rsidR="00AB5BE3" w:rsidRPr="007F18E9" w:rsidRDefault="00AB5BE3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7BB42A88" w14:textId="77777777" w:rsidR="00AB5BE3" w:rsidRPr="007F18E9" w:rsidRDefault="00AB5BE3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49D0AEC6" w14:textId="77777777" w:rsidR="00AB5BE3" w:rsidRPr="007F18E9" w:rsidRDefault="00AB5BE3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Proposed change</w:t>
            </w:r>
          </w:p>
        </w:tc>
      </w:tr>
      <w:tr w:rsidR="00AB5BE3" w:rsidRPr="007F18E9" w14:paraId="44AA62BF" w14:textId="77777777" w:rsidTr="00AE4ABC">
        <w:tc>
          <w:tcPr>
            <w:tcW w:w="656" w:type="dxa"/>
            <w:shd w:val="clear" w:color="auto" w:fill="auto"/>
          </w:tcPr>
          <w:p w14:paraId="1FCED012" w14:textId="4F95B512" w:rsidR="00AB5BE3" w:rsidRPr="007F18E9" w:rsidRDefault="00F62728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292</w:t>
            </w:r>
          </w:p>
        </w:tc>
        <w:tc>
          <w:tcPr>
            <w:tcW w:w="1342" w:type="dxa"/>
            <w:shd w:val="clear" w:color="auto" w:fill="auto"/>
          </w:tcPr>
          <w:p w14:paraId="5C10FBDC" w14:textId="33D2CA65" w:rsidR="00AB5BE3" w:rsidRPr="007F18E9" w:rsidRDefault="00393FF9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393FF9">
              <w:rPr>
                <w:szCs w:val="22"/>
                <w:lang w:val="en-US"/>
              </w:rPr>
              <w:t>4.3.21.25</w:t>
            </w:r>
          </w:p>
        </w:tc>
        <w:tc>
          <w:tcPr>
            <w:tcW w:w="810" w:type="dxa"/>
            <w:shd w:val="clear" w:color="auto" w:fill="auto"/>
          </w:tcPr>
          <w:p w14:paraId="129AFF0A" w14:textId="10022B67" w:rsidR="00AB5BE3" w:rsidRPr="007F18E9" w:rsidRDefault="00393FF9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393FF9">
              <w:rPr>
                <w:szCs w:val="22"/>
                <w:lang w:val="en-US"/>
              </w:rPr>
              <w:t>17.37</w:t>
            </w:r>
          </w:p>
        </w:tc>
        <w:tc>
          <w:tcPr>
            <w:tcW w:w="3690" w:type="dxa"/>
            <w:shd w:val="clear" w:color="auto" w:fill="auto"/>
          </w:tcPr>
          <w:p w14:paraId="5F36ED7C" w14:textId="093FBF31" w:rsidR="00AB5BE3" w:rsidRPr="007F18E9" w:rsidRDefault="00393FF9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393FF9">
              <w:rPr>
                <w:szCs w:val="22"/>
                <w:lang w:val="en-US"/>
              </w:rPr>
              <w:t>It is good to provide a list of mandatory and optional features for SBP as is done for other amendments.</w:t>
            </w:r>
          </w:p>
        </w:tc>
        <w:tc>
          <w:tcPr>
            <w:tcW w:w="2852" w:type="dxa"/>
            <w:shd w:val="clear" w:color="auto" w:fill="auto"/>
          </w:tcPr>
          <w:p w14:paraId="5941997E" w14:textId="1AD22AB9" w:rsidR="00AB5BE3" w:rsidRPr="007F18E9" w:rsidRDefault="00FD7B98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FD7B98">
              <w:rPr>
                <w:szCs w:val="22"/>
                <w:lang w:val="en-US"/>
              </w:rPr>
              <w:t>Add a list of mandatory and optional features for SBP</w:t>
            </w:r>
          </w:p>
        </w:tc>
      </w:tr>
    </w:tbl>
    <w:p w14:paraId="0CAE0E74" w14:textId="77777777" w:rsidR="00AB5BE3" w:rsidRPr="007F18E9" w:rsidRDefault="00AB5BE3" w:rsidP="00AB5BE3">
      <w:pPr>
        <w:rPr>
          <w:szCs w:val="22"/>
          <w:lang w:val="en-US"/>
        </w:rPr>
      </w:pPr>
    </w:p>
    <w:p w14:paraId="0C6D2ADF" w14:textId="321A0A22" w:rsidR="00AB5BE3" w:rsidRPr="00CF09FE" w:rsidRDefault="00AB5BE3" w:rsidP="00AB5BE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D93CFA">
        <w:rPr>
          <w:szCs w:val="22"/>
          <w:lang w:val="en-US"/>
        </w:rPr>
        <w:t>jected</w:t>
      </w:r>
    </w:p>
    <w:p w14:paraId="53125F5D" w14:textId="77777777" w:rsidR="00AB5BE3" w:rsidRPr="00CF09FE" w:rsidRDefault="00AB5BE3" w:rsidP="00AB5BE3">
      <w:pPr>
        <w:rPr>
          <w:szCs w:val="22"/>
          <w:lang w:val="en-US"/>
        </w:rPr>
      </w:pPr>
    </w:p>
    <w:p w14:paraId="02E14F07" w14:textId="5A05137F" w:rsidR="00AB5BE3" w:rsidRPr="002E77FE" w:rsidRDefault="00AB5BE3" w:rsidP="00AB5BE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The </w:t>
      </w:r>
      <w:r w:rsidR="00D93CFA">
        <w:rPr>
          <w:szCs w:val="22"/>
          <w:lang w:val="en-US"/>
        </w:rPr>
        <w:t xml:space="preserve">group </w:t>
      </w:r>
      <w:r w:rsidR="00B371B8">
        <w:rPr>
          <w:szCs w:val="22"/>
          <w:lang w:val="en-US"/>
        </w:rPr>
        <w:t xml:space="preserve">recently </w:t>
      </w:r>
      <w:r w:rsidR="00D93CFA">
        <w:rPr>
          <w:szCs w:val="22"/>
          <w:lang w:val="en-US"/>
        </w:rPr>
        <w:t>discussed similar comment</w:t>
      </w:r>
      <w:r w:rsidR="004A3E65">
        <w:rPr>
          <w:szCs w:val="22"/>
          <w:lang w:val="en-US"/>
        </w:rPr>
        <w:t xml:space="preserve"> (CID 291, 22/1791r0)</w:t>
      </w:r>
      <w:r w:rsidR="00D93CFA">
        <w:rPr>
          <w:szCs w:val="22"/>
          <w:lang w:val="en-US"/>
        </w:rPr>
        <w:t xml:space="preserve"> </w:t>
      </w:r>
      <w:r w:rsidR="00B371B8">
        <w:rPr>
          <w:szCs w:val="22"/>
          <w:lang w:val="en-US"/>
        </w:rPr>
        <w:t>–</w:t>
      </w:r>
      <w:r w:rsidR="00D93CFA">
        <w:rPr>
          <w:szCs w:val="22"/>
          <w:lang w:val="en-US"/>
        </w:rPr>
        <w:t xml:space="preserve"> </w:t>
      </w:r>
      <w:r w:rsidR="00B371B8" w:rsidRPr="00B371B8">
        <w:rPr>
          <w:szCs w:val="22"/>
          <w:lang w:val="en-US"/>
        </w:rPr>
        <w:t xml:space="preserve">mandatory and optional features for </w:t>
      </w:r>
      <w:r w:rsidR="00B371B8">
        <w:rPr>
          <w:szCs w:val="22"/>
          <w:lang w:val="en-US"/>
        </w:rPr>
        <w:t xml:space="preserve">WLAN sensing – and agreed </w:t>
      </w:r>
      <w:r w:rsidR="004A3E65">
        <w:rPr>
          <w:szCs w:val="22"/>
          <w:lang w:val="en-US"/>
        </w:rPr>
        <w:t xml:space="preserve">to reject the comment </w:t>
      </w:r>
      <w:r w:rsidR="00917697">
        <w:rPr>
          <w:szCs w:val="22"/>
          <w:lang w:val="en-US"/>
        </w:rPr>
        <w:t>on the basis that “</w:t>
      </w:r>
      <w:r w:rsidR="00917697" w:rsidRPr="00917697">
        <w:rPr>
          <w:szCs w:val="22"/>
          <w:lang w:val="en-US"/>
        </w:rPr>
        <w:t xml:space="preserve">There are multiple ongoing discussions in the </w:t>
      </w:r>
      <w:proofErr w:type="spellStart"/>
      <w:r w:rsidR="00917697" w:rsidRPr="00917697">
        <w:rPr>
          <w:szCs w:val="22"/>
          <w:lang w:val="en-US"/>
        </w:rPr>
        <w:t>TGbf</w:t>
      </w:r>
      <w:proofErr w:type="spellEnd"/>
      <w:r w:rsidR="00917697" w:rsidRPr="00917697">
        <w:rPr>
          <w:szCs w:val="22"/>
          <w:lang w:val="en-US"/>
        </w:rPr>
        <w:t xml:space="preserve"> which may need to reach consensus before a stable list of mandatory/optional features gets agreed on. It might be more suitable to add this list after D1.0 is released.</w:t>
      </w:r>
      <w:r w:rsidR="00917697">
        <w:rPr>
          <w:szCs w:val="22"/>
          <w:lang w:val="en-US"/>
        </w:rPr>
        <w:t xml:space="preserve">”  We suggest </w:t>
      </w:r>
      <w:r w:rsidR="002D2770">
        <w:rPr>
          <w:szCs w:val="22"/>
          <w:lang w:val="en-US"/>
        </w:rPr>
        <w:t>taking</w:t>
      </w:r>
      <w:r w:rsidR="00280AF5">
        <w:rPr>
          <w:szCs w:val="22"/>
          <w:lang w:val="en-US"/>
        </w:rPr>
        <w:t xml:space="preserve"> the same approach </w:t>
      </w:r>
      <w:r w:rsidR="00012C8B">
        <w:rPr>
          <w:szCs w:val="22"/>
          <w:lang w:val="en-US"/>
        </w:rPr>
        <w:t>for the SBP procedure.</w:t>
      </w:r>
    </w:p>
    <w:p w14:paraId="7F56F2A1" w14:textId="77777777" w:rsidR="00393FF9" w:rsidRDefault="00393FF9" w:rsidP="00393FF9">
      <w:pPr>
        <w:rPr>
          <w:szCs w:val="22"/>
          <w:lang w:val="en-US"/>
        </w:rPr>
      </w:pPr>
    </w:p>
    <w:p w14:paraId="45A70F43" w14:textId="77777777" w:rsidR="00393FF9" w:rsidRDefault="00393FF9" w:rsidP="00393FF9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393FF9" w:rsidRPr="007F18E9" w14:paraId="1FB9ACF4" w14:textId="77777777" w:rsidTr="00AE4ABC">
        <w:tc>
          <w:tcPr>
            <w:tcW w:w="656" w:type="dxa"/>
            <w:shd w:val="clear" w:color="auto" w:fill="auto"/>
          </w:tcPr>
          <w:p w14:paraId="35015216" w14:textId="77777777" w:rsidR="00393FF9" w:rsidRPr="007F18E9" w:rsidRDefault="00393FF9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EB6DA2E" w14:textId="77777777" w:rsidR="00393FF9" w:rsidRPr="007F18E9" w:rsidRDefault="00393FF9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17DCD56E" w14:textId="77777777" w:rsidR="00393FF9" w:rsidRPr="007F18E9" w:rsidRDefault="00393FF9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0DF491B7" w14:textId="77777777" w:rsidR="00393FF9" w:rsidRPr="007F18E9" w:rsidRDefault="00393FF9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7A86C828" w14:textId="77777777" w:rsidR="00393FF9" w:rsidRPr="007F18E9" w:rsidRDefault="00393FF9" w:rsidP="00AE4AB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Proposed change</w:t>
            </w:r>
          </w:p>
        </w:tc>
      </w:tr>
      <w:tr w:rsidR="00393FF9" w:rsidRPr="007F18E9" w14:paraId="049FE33E" w14:textId="77777777" w:rsidTr="00AE4ABC">
        <w:tc>
          <w:tcPr>
            <w:tcW w:w="656" w:type="dxa"/>
            <w:shd w:val="clear" w:color="auto" w:fill="auto"/>
          </w:tcPr>
          <w:p w14:paraId="312CE163" w14:textId="6787AF87" w:rsidR="00393FF9" w:rsidRPr="007F18E9" w:rsidRDefault="0086424B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86424B">
              <w:rPr>
                <w:szCs w:val="22"/>
                <w:lang w:val="en-US"/>
              </w:rPr>
              <w:t>419</w:t>
            </w:r>
          </w:p>
        </w:tc>
        <w:tc>
          <w:tcPr>
            <w:tcW w:w="1342" w:type="dxa"/>
            <w:shd w:val="clear" w:color="auto" w:fill="auto"/>
          </w:tcPr>
          <w:p w14:paraId="21CF5727" w14:textId="6270715A" w:rsidR="00393FF9" w:rsidRPr="007F18E9" w:rsidRDefault="00B21ED3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B21ED3">
              <w:rPr>
                <w:szCs w:val="22"/>
                <w:lang w:val="en-US"/>
              </w:rPr>
              <w:t>46.06</w:t>
            </w:r>
          </w:p>
        </w:tc>
        <w:tc>
          <w:tcPr>
            <w:tcW w:w="810" w:type="dxa"/>
            <w:shd w:val="clear" w:color="auto" w:fill="auto"/>
          </w:tcPr>
          <w:p w14:paraId="2A4F31E2" w14:textId="7CC4F7D5" w:rsidR="00393FF9" w:rsidRPr="007F18E9" w:rsidRDefault="00B21ED3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B21ED3">
              <w:rPr>
                <w:szCs w:val="22"/>
                <w:lang w:val="en-US"/>
              </w:rPr>
              <w:t>28</w:t>
            </w:r>
          </w:p>
        </w:tc>
        <w:tc>
          <w:tcPr>
            <w:tcW w:w="3690" w:type="dxa"/>
            <w:shd w:val="clear" w:color="auto" w:fill="auto"/>
          </w:tcPr>
          <w:p w14:paraId="3B398637" w14:textId="5F82C469" w:rsidR="00393FF9" w:rsidRPr="007F18E9" w:rsidRDefault="00B21ED3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B21ED3">
              <w:rPr>
                <w:szCs w:val="22"/>
                <w:lang w:val="en-US"/>
              </w:rPr>
              <w:t>Is there a need for a capability for serving as SBP responder/Tx</w:t>
            </w:r>
          </w:p>
        </w:tc>
        <w:tc>
          <w:tcPr>
            <w:tcW w:w="2852" w:type="dxa"/>
            <w:shd w:val="clear" w:color="auto" w:fill="auto"/>
          </w:tcPr>
          <w:p w14:paraId="28DEC107" w14:textId="20DF6528" w:rsidR="00393FF9" w:rsidRPr="007F18E9" w:rsidRDefault="00B21ED3" w:rsidP="00AE4ABC">
            <w:pPr>
              <w:widowControl w:val="0"/>
              <w:suppressAutoHyphens/>
              <w:rPr>
                <w:szCs w:val="22"/>
                <w:lang w:val="en-US"/>
              </w:rPr>
            </w:pPr>
            <w:r w:rsidRPr="00B21ED3">
              <w:rPr>
                <w:szCs w:val="22"/>
                <w:lang w:val="en-US"/>
              </w:rPr>
              <w:t>Add such a capability if the group consider it is necessary</w:t>
            </w:r>
          </w:p>
        </w:tc>
      </w:tr>
    </w:tbl>
    <w:p w14:paraId="04DD6FC2" w14:textId="77777777" w:rsidR="00393FF9" w:rsidRPr="007F18E9" w:rsidRDefault="00393FF9" w:rsidP="00393FF9">
      <w:pPr>
        <w:rPr>
          <w:szCs w:val="22"/>
          <w:lang w:val="en-US"/>
        </w:rPr>
      </w:pPr>
    </w:p>
    <w:p w14:paraId="3E151BBA" w14:textId="1D73E3C5" w:rsidR="00393FF9" w:rsidRPr="00CF09FE" w:rsidRDefault="00393FF9" w:rsidP="00393FF9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482115">
        <w:rPr>
          <w:szCs w:val="22"/>
          <w:lang w:val="en-US"/>
        </w:rPr>
        <w:t>jected</w:t>
      </w:r>
    </w:p>
    <w:p w14:paraId="4AD57587" w14:textId="77777777" w:rsidR="00393FF9" w:rsidRPr="00CF09FE" w:rsidRDefault="00393FF9" w:rsidP="00393FF9">
      <w:pPr>
        <w:rPr>
          <w:szCs w:val="22"/>
          <w:lang w:val="en-US"/>
        </w:rPr>
      </w:pPr>
    </w:p>
    <w:p w14:paraId="7A0A9667" w14:textId="1368FD6A" w:rsidR="00393FF9" w:rsidRDefault="00393FF9" w:rsidP="00393FF9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>:</w:t>
      </w:r>
    </w:p>
    <w:p w14:paraId="3DCE9311" w14:textId="7A213E8F" w:rsidR="004076CE" w:rsidRDefault="00F33FF4" w:rsidP="004076CE">
      <w:pPr>
        <w:pStyle w:val="ListParagraph"/>
        <w:numPr>
          <w:ilvl w:val="0"/>
          <w:numId w:val="20"/>
        </w:numPr>
        <w:rPr>
          <w:szCs w:val="22"/>
          <w:lang w:val="en-US"/>
        </w:rPr>
      </w:pPr>
      <w:r>
        <w:rPr>
          <w:szCs w:val="22"/>
          <w:lang w:val="en-US"/>
        </w:rPr>
        <w:t>Our draft already includes capability to serve as an SBP responder</w:t>
      </w:r>
      <w:r w:rsidR="005E0150">
        <w:rPr>
          <w:szCs w:val="22"/>
          <w:lang w:val="en-US"/>
        </w:rPr>
        <w:t>: “</w:t>
      </w:r>
      <w:r w:rsidR="005E0150" w:rsidRPr="002F4303">
        <w:rPr>
          <w:szCs w:val="22"/>
          <w:lang w:val="en-US"/>
        </w:rPr>
        <w:t>An AP may act as SBP responder when dot11SBPImplemented is true.</w:t>
      </w:r>
      <w:r w:rsidR="005E0150">
        <w:rPr>
          <w:szCs w:val="22"/>
          <w:lang w:val="en-US"/>
        </w:rPr>
        <w:t>”</w:t>
      </w:r>
    </w:p>
    <w:p w14:paraId="6869FEDD" w14:textId="343BF7D8" w:rsidR="00F33FF4" w:rsidRDefault="00482115" w:rsidP="004076CE">
      <w:pPr>
        <w:pStyle w:val="ListParagraph"/>
        <w:numPr>
          <w:ilvl w:val="0"/>
          <w:numId w:val="20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In D0.4, </w:t>
      </w:r>
      <w:r w:rsidR="00A05610">
        <w:rPr>
          <w:szCs w:val="22"/>
          <w:lang w:val="en-US"/>
        </w:rPr>
        <w:t>normative text has been defined for SBP’s reporting phase</w:t>
      </w:r>
      <w:r w:rsidR="007F2D4A">
        <w:rPr>
          <w:szCs w:val="22"/>
          <w:lang w:val="en-US"/>
        </w:rPr>
        <w:t xml:space="preserve">.  Text is agnostic to whether </w:t>
      </w:r>
      <w:r w:rsidR="00C54939">
        <w:rPr>
          <w:szCs w:val="22"/>
          <w:lang w:val="en-US"/>
        </w:rPr>
        <w:t>SBP responder assumes the role of sensing transmitter or sensing receiver.</w:t>
      </w:r>
    </w:p>
    <w:p w14:paraId="4331AA11" w14:textId="2136AC65" w:rsidR="00B32F73" w:rsidRDefault="00C54939" w:rsidP="004076CE">
      <w:pPr>
        <w:pStyle w:val="ListParagraph"/>
        <w:numPr>
          <w:ilvl w:val="0"/>
          <w:numId w:val="20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While </w:t>
      </w:r>
      <w:r w:rsidR="00315982">
        <w:rPr>
          <w:szCs w:val="22"/>
          <w:lang w:val="en-US"/>
        </w:rPr>
        <w:t xml:space="preserve">defining a capability for the case when an SBP responder assumes the role of sensing transmitter </w:t>
      </w:r>
      <w:r w:rsidR="00675ED0">
        <w:rPr>
          <w:szCs w:val="22"/>
          <w:lang w:val="en-US"/>
        </w:rPr>
        <w:t xml:space="preserve">has been discussed early on, to the best of my knowledge, </w:t>
      </w:r>
      <w:r w:rsidR="00DD2BA4">
        <w:rPr>
          <w:szCs w:val="22"/>
          <w:lang w:val="en-US"/>
        </w:rPr>
        <w:t xml:space="preserve">this possibility hasn’t recently been raised – possibly </w:t>
      </w:r>
      <w:r w:rsidR="001817A8">
        <w:rPr>
          <w:szCs w:val="22"/>
          <w:lang w:val="en-US"/>
        </w:rPr>
        <w:t>because</w:t>
      </w:r>
      <w:r w:rsidR="00DD2BA4">
        <w:rPr>
          <w:szCs w:val="22"/>
          <w:lang w:val="en-US"/>
        </w:rPr>
        <w:t xml:space="preserve"> we now have a better understanding/normative text of the SBP procedure.</w:t>
      </w:r>
    </w:p>
    <w:p w14:paraId="25051259" w14:textId="52B949B3" w:rsidR="00537E45" w:rsidRPr="004076CE" w:rsidRDefault="00233E77" w:rsidP="004076CE">
      <w:pPr>
        <w:pStyle w:val="ListParagraph"/>
        <w:numPr>
          <w:ilvl w:val="0"/>
          <w:numId w:val="20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Suggest taking the same approach as in the resolution of CID 292 </w:t>
      </w:r>
      <w:r w:rsidR="00FA2855">
        <w:rPr>
          <w:szCs w:val="22"/>
          <w:lang w:val="en-US"/>
        </w:rPr>
        <w:t xml:space="preserve">above </w:t>
      </w:r>
      <w:r>
        <w:rPr>
          <w:szCs w:val="22"/>
          <w:lang w:val="en-US"/>
        </w:rPr>
        <w:t xml:space="preserve">and </w:t>
      </w:r>
      <w:r w:rsidR="00FA2855">
        <w:rPr>
          <w:szCs w:val="22"/>
          <w:lang w:val="en-US"/>
        </w:rPr>
        <w:t xml:space="preserve">address SBP capabilities, if </w:t>
      </w:r>
      <w:r w:rsidR="002D0A76">
        <w:rPr>
          <w:szCs w:val="22"/>
          <w:lang w:val="en-US"/>
        </w:rPr>
        <w:t>necessary</w:t>
      </w:r>
      <w:r w:rsidR="00FA2855">
        <w:rPr>
          <w:szCs w:val="22"/>
          <w:lang w:val="en-US"/>
        </w:rPr>
        <w:t>,</w:t>
      </w:r>
      <w:r w:rsidR="002D0A76">
        <w:rPr>
          <w:szCs w:val="22"/>
          <w:lang w:val="en-US"/>
        </w:rPr>
        <w:t xml:space="preserve"> at a later stage.</w:t>
      </w:r>
    </w:p>
    <w:p w14:paraId="35D9CA4F" w14:textId="77777777" w:rsidR="00393FF9" w:rsidRDefault="00393FF9" w:rsidP="00393FF9">
      <w:pPr>
        <w:rPr>
          <w:szCs w:val="22"/>
          <w:lang w:val="en-US"/>
        </w:rPr>
      </w:pPr>
    </w:p>
    <w:p w14:paraId="1C6C375F" w14:textId="77777777" w:rsidR="007D265F" w:rsidRDefault="007D265F" w:rsidP="00F1240B">
      <w:pPr>
        <w:rPr>
          <w:szCs w:val="22"/>
          <w:lang w:val="en-US"/>
        </w:rPr>
      </w:pPr>
    </w:p>
    <w:sectPr w:rsidR="007D265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CC48" w14:textId="77777777" w:rsidR="00206EFC" w:rsidRDefault="00206EFC">
      <w:r>
        <w:separator/>
      </w:r>
    </w:p>
  </w:endnote>
  <w:endnote w:type="continuationSeparator" w:id="0">
    <w:p w14:paraId="44B197FB" w14:textId="77777777" w:rsidR="00206EFC" w:rsidRDefault="0020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2D0A7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902A" w14:textId="77777777" w:rsidR="00206EFC" w:rsidRDefault="00206EFC">
      <w:r>
        <w:separator/>
      </w:r>
    </w:p>
  </w:footnote>
  <w:footnote w:type="continuationSeparator" w:id="0">
    <w:p w14:paraId="6C5B3B23" w14:textId="77777777" w:rsidR="00206EFC" w:rsidRDefault="0020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C521ED1" w:rsidR="0029020B" w:rsidRDefault="002D0A7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54981">
        <w:t>November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4E2951">
        <w:t>1953</w:t>
      </w:r>
      <w:r w:rsidR="0035498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7"/>
  </w:num>
  <w:num w:numId="5" w16cid:durableId="1865513496">
    <w:abstractNumId w:val="13"/>
  </w:num>
  <w:num w:numId="6" w16cid:durableId="2000188557">
    <w:abstractNumId w:val="11"/>
  </w:num>
  <w:num w:numId="7" w16cid:durableId="1754624615">
    <w:abstractNumId w:val="14"/>
  </w:num>
  <w:num w:numId="8" w16cid:durableId="1102726160">
    <w:abstractNumId w:val="2"/>
  </w:num>
  <w:num w:numId="9" w16cid:durableId="1386637072">
    <w:abstractNumId w:val="16"/>
  </w:num>
  <w:num w:numId="10" w16cid:durableId="1318071142">
    <w:abstractNumId w:val="18"/>
  </w:num>
  <w:num w:numId="11" w16cid:durableId="1926962864">
    <w:abstractNumId w:val="15"/>
  </w:num>
  <w:num w:numId="12" w16cid:durableId="462382036">
    <w:abstractNumId w:val="4"/>
  </w:num>
  <w:num w:numId="13" w16cid:durableId="1815485402">
    <w:abstractNumId w:val="12"/>
  </w:num>
  <w:num w:numId="14" w16cid:durableId="734469726">
    <w:abstractNumId w:val="7"/>
  </w:num>
  <w:num w:numId="15" w16cid:durableId="50543963">
    <w:abstractNumId w:val="19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3028C"/>
    <w:rsid w:val="00031A57"/>
    <w:rsid w:val="00031AAA"/>
    <w:rsid w:val="0003215F"/>
    <w:rsid w:val="00033837"/>
    <w:rsid w:val="00036EA9"/>
    <w:rsid w:val="00037ABB"/>
    <w:rsid w:val="0004177D"/>
    <w:rsid w:val="000458DB"/>
    <w:rsid w:val="00047CEB"/>
    <w:rsid w:val="00050155"/>
    <w:rsid w:val="00050235"/>
    <w:rsid w:val="00053F27"/>
    <w:rsid w:val="00057ADF"/>
    <w:rsid w:val="00060B85"/>
    <w:rsid w:val="00061C93"/>
    <w:rsid w:val="00061D9E"/>
    <w:rsid w:val="00063377"/>
    <w:rsid w:val="00063C02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C7731"/>
    <w:rsid w:val="000D1633"/>
    <w:rsid w:val="000D3094"/>
    <w:rsid w:val="000D40D9"/>
    <w:rsid w:val="000D5CD7"/>
    <w:rsid w:val="000D60E0"/>
    <w:rsid w:val="000D69BF"/>
    <w:rsid w:val="000D7F9E"/>
    <w:rsid w:val="000E18B3"/>
    <w:rsid w:val="000E2182"/>
    <w:rsid w:val="000E237B"/>
    <w:rsid w:val="000E579C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5385"/>
    <w:rsid w:val="00115874"/>
    <w:rsid w:val="001221B1"/>
    <w:rsid w:val="00122A6B"/>
    <w:rsid w:val="00127AF5"/>
    <w:rsid w:val="001311FF"/>
    <w:rsid w:val="00131580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17A8"/>
    <w:rsid w:val="00182A46"/>
    <w:rsid w:val="00185E99"/>
    <w:rsid w:val="0018652F"/>
    <w:rsid w:val="0019589B"/>
    <w:rsid w:val="0019706A"/>
    <w:rsid w:val="001A0FF7"/>
    <w:rsid w:val="001A298A"/>
    <w:rsid w:val="001A2FAB"/>
    <w:rsid w:val="001A5139"/>
    <w:rsid w:val="001A7FB5"/>
    <w:rsid w:val="001B19B2"/>
    <w:rsid w:val="001B2149"/>
    <w:rsid w:val="001B23DD"/>
    <w:rsid w:val="001B51EA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3159"/>
    <w:rsid w:val="001E3AD0"/>
    <w:rsid w:val="001F1A31"/>
    <w:rsid w:val="001F59D5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30EF7"/>
    <w:rsid w:val="00231891"/>
    <w:rsid w:val="00231A20"/>
    <w:rsid w:val="002328B1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527B"/>
    <w:rsid w:val="00255A49"/>
    <w:rsid w:val="00261739"/>
    <w:rsid w:val="00262B41"/>
    <w:rsid w:val="0026531F"/>
    <w:rsid w:val="0026601E"/>
    <w:rsid w:val="002669DA"/>
    <w:rsid w:val="00273DC4"/>
    <w:rsid w:val="00275570"/>
    <w:rsid w:val="002767A6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A3D9A"/>
    <w:rsid w:val="002A43CF"/>
    <w:rsid w:val="002A4648"/>
    <w:rsid w:val="002A7ACA"/>
    <w:rsid w:val="002B0654"/>
    <w:rsid w:val="002B447B"/>
    <w:rsid w:val="002C0E97"/>
    <w:rsid w:val="002C11A5"/>
    <w:rsid w:val="002C21C0"/>
    <w:rsid w:val="002C379D"/>
    <w:rsid w:val="002C6186"/>
    <w:rsid w:val="002D0A76"/>
    <w:rsid w:val="002D2770"/>
    <w:rsid w:val="002D32E8"/>
    <w:rsid w:val="002D44BE"/>
    <w:rsid w:val="002E133E"/>
    <w:rsid w:val="002E1577"/>
    <w:rsid w:val="002E2670"/>
    <w:rsid w:val="002E440D"/>
    <w:rsid w:val="002E5D33"/>
    <w:rsid w:val="002E686D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44EF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D91"/>
    <w:rsid w:val="0037708C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3FF9"/>
    <w:rsid w:val="00396E60"/>
    <w:rsid w:val="003A2BB6"/>
    <w:rsid w:val="003A5432"/>
    <w:rsid w:val="003B1038"/>
    <w:rsid w:val="003B4849"/>
    <w:rsid w:val="003B49A9"/>
    <w:rsid w:val="003B7DD9"/>
    <w:rsid w:val="003C46A1"/>
    <w:rsid w:val="003C62EB"/>
    <w:rsid w:val="003D00F5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076CE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2115"/>
    <w:rsid w:val="004836C2"/>
    <w:rsid w:val="00486745"/>
    <w:rsid w:val="00487B3F"/>
    <w:rsid w:val="004916FA"/>
    <w:rsid w:val="00491EF6"/>
    <w:rsid w:val="0049419E"/>
    <w:rsid w:val="00494B64"/>
    <w:rsid w:val="00496EA5"/>
    <w:rsid w:val="004A2CEE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32E75"/>
    <w:rsid w:val="005339CC"/>
    <w:rsid w:val="00534936"/>
    <w:rsid w:val="005356F9"/>
    <w:rsid w:val="00535F54"/>
    <w:rsid w:val="00536FF9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E53"/>
    <w:rsid w:val="0057420D"/>
    <w:rsid w:val="005742FD"/>
    <w:rsid w:val="00574332"/>
    <w:rsid w:val="00575850"/>
    <w:rsid w:val="00577DAB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6A4B"/>
    <w:rsid w:val="005C18D4"/>
    <w:rsid w:val="005C29C5"/>
    <w:rsid w:val="005C2BD2"/>
    <w:rsid w:val="005C3E42"/>
    <w:rsid w:val="005C4D20"/>
    <w:rsid w:val="005C63C1"/>
    <w:rsid w:val="005C6DB8"/>
    <w:rsid w:val="005D324C"/>
    <w:rsid w:val="005D32BD"/>
    <w:rsid w:val="005D3A8B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3127"/>
    <w:rsid w:val="00614503"/>
    <w:rsid w:val="00614B12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599E"/>
    <w:rsid w:val="00645D40"/>
    <w:rsid w:val="006532CA"/>
    <w:rsid w:val="00661ED3"/>
    <w:rsid w:val="0066488C"/>
    <w:rsid w:val="0067049B"/>
    <w:rsid w:val="006710CF"/>
    <w:rsid w:val="00672C24"/>
    <w:rsid w:val="006737C4"/>
    <w:rsid w:val="00675A26"/>
    <w:rsid w:val="00675ED0"/>
    <w:rsid w:val="00677528"/>
    <w:rsid w:val="006806ED"/>
    <w:rsid w:val="006841C6"/>
    <w:rsid w:val="00691FB8"/>
    <w:rsid w:val="006936C1"/>
    <w:rsid w:val="006958F7"/>
    <w:rsid w:val="00696490"/>
    <w:rsid w:val="00697C25"/>
    <w:rsid w:val="006A011F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2FF1"/>
    <w:rsid w:val="006F3B9A"/>
    <w:rsid w:val="006F63B6"/>
    <w:rsid w:val="006F7217"/>
    <w:rsid w:val="00700AF6"/>
    <w:rsid w:val="00701FC2"/>
    <w:rsid w:val="00710F8D"/>
    <w:rsid w:val="00711234"/>
    <w:rsid w:val="00712359"/>
    <w:rsid w:val="00712C7F"/>
    <w:rsid w:val="00714156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6F0A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A740E"/>
    <w:rsid w:val="007B2E50"/>
    <w:rsid w:val="007B618C"/>
    <w:rsid w:val="007B76EF"/>
    <w:rsid w:val="007C147F"/>
    <w:rsid w:val="007C1B74"/>
    <w:rsid w:val="007C1CA4"/>
    <w:rsid w:val="007C4E74"/>
    <w:rsid w:val="007C72DB"/>
    <w:rsid w:val="007C7A4A"/>
    <w:rsid w:val="007C7D90"/>
    <w:rsid w:val="007D265F"/>
    <w:rsid w:val="007D7796"/>
    <w:rsid w:val="007E229A"/>
    <w:rsid w:val="007E2FA8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E9C"/>
    <w:rsid w:val="00833C86"/>
    <w:rsid w:val="00835B4D"/>
    <w:rsid w:val="00837F1C"/>
    <w:rsid w:val="00846394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26FA"/>
    <w:rsid w:val="00944CA8"/>
    <w:rsid w:val="00944D87"/>
    <w:rsid w:val="009469D9"/>
    <w:rsid w:val="00946C53"/>
    <w:rsid w:val="00946E42"/>
    <w:rsid w:val="00946EE2"/>
    <w:rsid w:val="009477CE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4199"/>
    <w:rsid w:val="009D485A"/>
    <w:rsid w:val="009D54E7"/>
    <w:rsid w:val="009D5795"/>
    <w:rsid w:val="009E135F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4775"/>
    <w:rsid w:val="00A50A4D"/>
    <w:rsid w:val="00A519A3"/>
    <w:rsid w:val="00A53ADE"/>
    <w:rsid w:val="00A60825"/>
    <w:rsid w:val="00A64BDB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5057"/>
    <w:rsid w:val="00AB58D2"/>
    <w:rsid w:val="00AB5BE3"/>
    <w:rsid w:val="00AB6848"/>
    <w:rsid w:val="00AC2466"/>
    <w:rsid w:val="00AC2DC3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71B8"/>
    <w:rsid w:val="00B377FA"/>
    <w:rsid w:val="00B40315"/>
    <w:rsid w:val="00B406A9"/>
    <w:rsid w:val="00B41BBE"/>
    <w:rsid w:val="00B444C9"/>
    <w:rsid w:val="00B45B17"/>
    <w:rsid w:val="00B46C9E"/>
    <w:rsid w:val="00B474CA"/>
    <w:rsid w:val="00B53601"/>
    <w:rsid w:val="00B54BBA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79AE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3BC6"/>
    <w:rsid w:val="00C06051"/>
    <w:rsid w:val="00C10E6A"/>
    <w:rsid w:val="00C11762"/>
    <w:rsid w:val="00C11E7D"/>
    <w:rsid w:val="00C122AF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3EC6"/>
    <w:rsid w:val="00C449CF"/>
    <w:rsid w:val="00C46D0B"/>
    <w:rsid w:val="00C5093B"/>
    <w:rsid w:val="00C5147B"/>
    <w:rsid w:val="00C53ECD"/>
    <w:rsid w:val="00C54939"/>
    <w:rsid w:val="00C5587D"/>
    <w:rsid w:val="00C626FF"/>
    <w:rsid w:val="00C6587A"/>
    <w:rsid w:val="00C67859"/>
    <w:rsid w:val="00C70E12"/>
    <w:rsid w:val="00C72E0F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B55"/>
    <w:rsid w:val="00D8609A"/>
    <w:rsid w:val="00D863BB"/>
    <w:rsid w:val="00D86509"/>
    <w:rsid w:val="00D875FD"/>
    <w:rsid w:val="00D93CFA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17C6"/>
    <w:rsid w:val="00DD2BA4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803A1"/>
    <w:rsid w:val="00E81E13"/>
    <w:rsid w:val="00E82D23"/>
    <w:rsid w:val="00E90E75"/>
    <w:rsid w:val="00E914E9"/>
    <w:rsid w:val="00E9204B"/>
    <w:rsid w:val="00E948EB"/>
    <w:rsid w:val="00E96B27"/>
    <w:rsid w:val="00E97343"/>
    <w:rsid w:val="00EA20E3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A6C"/>
    <w:rsid w:val="00F02B0F"/>
    <w:rsid w:val="00F04B06"/>
    <w:rsid w:val="00F074A6"/>
    <w:rsid w:val="00F07723"/>
    <w:rsid w:val="00F10708"/>
    <w:rsid w:val="00F1240B"/>
    <w:rsid w:val="00F16D49"/>
    <w:rsid w:val="00F20CE3"/>
    <w:rsid w:val="00F20F21"/>
    <w:rsid w:val="00F274BE"/>
    <w:rsid w:val="00F30701"/>
    <w:rsid w:val="00F3105A"/>
    <w:rsid w:val="00F31688"/>
    <w:rsid w:val="00F31C49"/>
    <w:rsid w:val="00F321C5"/>
    <w:rsid w:val="00F33FF4"/>
    <w:rsid w:val="00F34B39"/>
    <w:rsid w:val="00F354B4"/>
    <w:rsid w:val="00F35F91"/>
    <w:rsid w:val="00F37604"/>
    <w:rsid w:val="00F37888"/>
    <w:rsid w:val="00F37E34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583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135</cp:revision>
  <cp:lastPrinted>1900-01-01T08:00:00Z</cp:lastPrinted>
  <dcterms:created xsi:type="dcterms:W3CDTF">2022-10-11T14:36:00Z</dcterms:created>
  <dcterms:modified xsi:type="dcterms:W3CDTF">2022-11-16T01:06:00Z</dcterms:modified>
</cp:coreProperties>
</file>