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7EBE75B3"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325A69">
              <w:rPr>
                <w:b w:val="0"/>
                <w:sz w:val="20"/>
              </w:rPr>
              <w:t>7</w:t>
            </w:r>
            <w:r w:rsidR="00D818C4">
              <w:rPr>
                <w:b w:val="0"/>
                <w:sz w:val="20"/>
              </w:rPr>
              <w:t>-</w:t>
            </w:r>
            <w:r w:rsidR="00325A69">
              <w:rPr>
                <w:b w:val="0"/>
                <w:sz w:val="20"/>
              </w:rPr>
              <w:t>07</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CC5391" w:rsidRDefault="00CC5391">
                            <w:pPr>
                              <w:pStyle w:val="T1"/>
                              <w:spacing w:after="120"/>
                            </w:pPr>
                            <w:r>
                              <w:t>Abstract</w:t>
                            </w:r>
                          </w:p>
                          <w:p w14:paraId="1C3BCE3F" w14:textId="77777777" w:rsidR="00CC5391" w:rsidRDefault="00CC5391" w:rsidP="00083FE0">
                            <w:pPr>
                              <w:jc w:val="both"/>
                            </w:pPr>
                          </w:p>
                          <w:p w14:paraId="4C4DB0CB" w14:textId="645C4A0F" w:rsidR="00CC5391" w:rsidRPr="007710CD" w:rsidRDefault="00CC5391"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CC5391" w:rsidRPr="007710CD" w:rsidRDefault="00CC5391" w:rsidP="00083FE0">
                            <w:pPr>
                              <w:jc w:val="both"/>
                              <w:rPr>
                                <w:sz w:val="20"/>
                              </w:rPr>
                            </w:pPr>
                          </w:p>
                          <w:p w14:paraId="3C7C8D20" w14:textId="76D5A191" w:rsidR="00CC5391" w:rsidRPr="007710CD" w:rsidRDefault="00CC5391"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CC5391" w:rsidRPr="007710CD" w:rsidRDefault="00CC5391" w:rsidP="006832AA">
                            <w:pPr>
                              <w:jc w:val="both"/>
                              <w:rPr>
                                <w:sz w:val="20"/>
                              </w:rPr>
                            </w:pPr>
                          </w:p>
                          <w:p w14:paraId="366971AF" w14:textId="77777777" w:rsidR="00CC5391" w:rsidRPr="007710CD" w:rsidRDefault="00CC5391" w:rsidP="006832AA">
                            <w:pPr>
                              <w:jc w:val="both"/>
                              <w:rPr>
                                <w:sz w:val="20"/>
                              </w:rPr>
                            </w:pPr>
                          </w:p>
                          <w:p w14:paraId="38020449" w14:textId="66756B0E" w:rsidR="00CC5391" w:rsidRDefault="00CC5391"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CC5391" w:rsidRDefault="00CC5391"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CC5391" w:rsidRDefault="00CC5391"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CC5391" w:rsidRDefault="00CC5391"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CC5391" w:rsidRDefault="00CC5391"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CC5391" w:rsidRDefault="00CC5391"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CC5391" w:rsidRDefault="00CC5391"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CC5391" w:rsidRDefault="00CC5391" w:rsidP="00C45154">
                            <w:pPr>
                              <w:jc w:val="both"/>
                              <w:rPr>
                                <w:sz w:val="20"/>
                              </w:rPr>
                            </w:pPr>
                            <w:r>
                              <w:rPr>
                                <w:sz w:val="20"/>
                              </w:rPr>
                              <w:t>R7 – Minor updates to CIDs 4723, 4221, 4067, 4377, 4056, 4454, 4447, 4418, from reviewer comments.</w:t>
                            </w:r>
                          </w:p>
                          <w:p w14:paraId="407D1071" w14:textId="5D9659D1" w:rsidR="00CC5391" w:rsidRDefault="00CC5391"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CC5391" w:rsidRDefault="00CC5391"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CC5391" w:rsidRDefault="00CC5391"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4B0EFC43" w:rsidR="00325A69" w:rsidRPr="00531427" w:rsidRDefault="00325A69" w:rsidP="00C45154">
                            <w:pPr>
                              <w:jc w:val="both"/>
                              <w:rPr>
                                <w:sz w:val="20"/>
                              </w:rPr>
                            </w:pPr>
                            <w:r>
                              <w:rPr>
                                <w:sz w:val="20"/>
                              </w:rPr>
                              <w:t>R11 – Added proposed resolutions for CIDs: 4768</w:t>
                            </w:r>
                            <w:r w:rsidR="00750116">
                              <w:rPr>
                                <w:sz w:val="20"/>
                              </w:rPr>
                              <w:t>, 4771, 4419, 4380.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CC5391" w:rsidRDefault="00CC5391">
                      <w:pPr>
                        <w:pStyle w:val="T1"/>
                        <w:spacing w:after="120"/>
                      </w:pPr>
                      <w:r>
                        <w:t>Abstract</w:t>
                      </w:r>
                    </w:p>
                    <w:p w14:paraId="1C3BCE3F" w14:textId="77777777" w:rsidR="00CC5391" w:rsidRDefault="00CC5391" w:rsidP="00083FE0">
                      <w:pPr>
                        <w:jc w:val="both"/>
                      </w:pPr>
                    </w:p>
                    <w:p w14:paraId="4C4DB0CB" w14:textId="645C4A0F" w:rsidR="00CC5391" w:rsidRPr="007710CD" w:rsidRDefault="00CC5391"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CC5391" w:rsidRPr="007710CD" w:rsidRDefault="00CC5391" w:rsidP="00083FE0">
                      <w:pPr>
                        <w:jc w:val="both"/>
                        <w:rPr>
                          <w:sz w:val="20"/>
                        </w:rPr>
                      </w:pPr>
                    </w:p>
                    <w:p w14:paraId="3C7C8D20" w14:textId="76D5A191" w:rsidR="00CC5391" w:rsidRPr="007710CD" w:rsidRDefault="00CC5391"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CC5391" w:rsidRPr="007710CD" w:rsidRDefault="00CC5391" w:rsidP="006832AA">
                      <w:pPr>
                        <w:jc w:val="both"/>
                        <w:rPr>
                          <w:sz w:val="20"/>
                        </w:rPr>
                      </w:pPr>
                    </w:p>
                    <w:p w14:paraId="366971AF" w14:textId="77777777" w:rsidR="00CC5391" w:rsidRPr="007710CD" w:rsidRDefault="00CC5391" w:rsidP="006832AA">
                      <w:pPr>
                        <w:jc w:val="both"/>
                        <w:rPr>
                          <w:sz w:val="20"/>
                        </w:rPr>
                      </w:pPr>
                    </w:p>
                    <w:p w14:paraId="38020449" w14:textId="66756B0E" w:rsidR="00CC5391" w:rsidRDefault="00CC5391"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CC5391" w:rsidRDefault="00CC5391"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CC5391" w:rsidRDefault="00CC5391"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CC5391" w:rsidRDefault="00CC5391"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CC5391" w:rsidRDefault="00CC5391"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CC5391" w:rsidRDefault="00CC5391"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CC5391" w:rsidRDefault="00CC5391"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CC5391" w:rsidRDefault="00CC5391" w:rsidP="00C45154">
                      <w:pPr>
                        <w:jc w:val="both"/>
                        <w:rPr>
                          <w:sz w:val="20"/>
                        </w:rPr>
                      </w:pPr>
                      <w:r>
                        <w:rPr>
                          <w:sz w:val="20"/>
                        </w:rPr>
                        <w:t>R7 – Minor updates to CIDs 4723, 4221, 4067, 4377, 4056, 4454, 4447, 4418, from reviewer comments.</w:t>
                      </w:r>
                    </w:p>
                    <w:p w14:paraId="407D1071" w14:textId="5D9659D1" w:rsidR="00CC5391" w:rsidRDefault="00CC5391"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CC5391" w:rsidRDefault="00CC5391"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CC5391" w:rsidRDefault="00CC5391"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4B0EFC43" w:rsidR="00325A69" w:rsidRPr="00531427" w:rsidRDefault="00325A69" w:rsidP="00C45154">
                      <w:pPr>
                        <w:jc w:val="both"/>
                        <w:rPr>
                          <w:sz w:val="20"/>
                        </w:rPr>
                      </w:pPr>
                      <w:r>
                        <w:rPr>
                          <w:sz w:val="20"/>
                        </w:rPr>
                        <w:t>R11 – Added proposed resolutions for CIDs: 4768</w:t>
                      </w:r>
                      <w:r w:rsidR="00750116">
                        <w:rPr>
                          <w:sz w:val="20"/>
                        </w:rPr>
                        <w:t>, 4771, 4419, 4380.</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w:t>
      </w:r>
      <w:r w:rsidR="00C45154">
        <w:rPr>
          <w:b/>
          <w:sz w:val="28"/>
          <w:u w:val="single"/>
        </w:rPr>
        <w:t>3</w:t>
      </w:r>
      <w:r w:rsidRPr="00FF1BEE">
        <w:rPr>
          <w:b/>
          <w:sz w:val="28"/>
          <w:u w:val="single"/>
        </w:rPr>
        <w:t>.0.</w:t>
      </w:r>
    </w:p>
    <w:p w14:paraId="2B07A0E9" w14:textId="593AAA93"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C74B4" w14:paraId="42B28062"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757D7E5D" w14:textId="77777777" w:rsidR="003C74B4" w:rsidRDefault="003C74B4"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A65B2C3" w14:textId="77777777" w:rsidR="003C74B4" w:rsidRDefault="003C74B4"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87E224" w14:textId="77777777" w:rsidR="003C74B4" w:rsidRDefault="003C74B4"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9FB7039" w14:textId="77777777" w:rsidR="003C74B4" w:rsidRDefault="003C74B4"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E0CF8D3" w14:textId="77777777" w:rsidR="003C74B4" w:rsidRDefault="003C74B4"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C74B4" w:rsidRPr="00DE7477" w14:paraId="5FB2236A" w14:textId="77777777" w:rsidTr="003C15FC">
        <w:trPr>
          <w:trHeight w:val="765"/>
        </w:trPr>
        <w:tc>
          <w:tcPr>
            <w:tcW w:w="738" w:type="dxa"/>
          </w:tcPr>
          <w:p w14:paraId="54F3FF40" w14:textId="77777777" w:rsidR="003C74B4" w:rsidRPr="00233EF1" w:rsidRDefault="003C74B4"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F941750" w14:textId="77777777" w:rsidR="003C74B4" w:rsidRPr="00233EF1" w:rsidRDefault="003C74B4"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5F4F2277" w14:textId="77777777" w:rsidR="003C74B4" w:rsidRPr="00233EF1" w:rsidRDefault="003C74B4"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79EA173A" w14:textId="77777777" w:rsidR="003C74B4" w:rsidRPr="00233EF1" w:rsidRDefault="003C74B4"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parameter appears to be an entire CVS frame (as defined in 9.6.7.27), when the only information actually conveyed is the Map ID. The rest of the frame format is (should be) known only to the MAC, and not the user of the MLME SAP.</w:t>
            </w:r>
          </w:p>
        </w:tc>
        <w:tc>
          <w:tcPr>
            <w:tcW w:w="3600" w:type="dxa"/>
          </w:tcPr>
          <w:p w14:paraId="248A10C5" w14:textId="77777777" w:rsidR="003C74B4" w:rsidRPr="00233EF1" w:rsidRDefault="003C74B4"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In the parameter table's Description column, replace the text with, "The Map ID field is set to a number that is equal to the Map ID of the recently received WSM, which is being </w:t>
            </w:r>
            <w:proofErr w:type="spellStart"/>
            <w:r w:rsidRPr="00233EF1">
              <w:rPr>
                <w:rFonts w:ascii="Arial" w:eastAsia="Times New Roman" w:hAnsi="Arial" w:cs="Arial"/>
                <w:color w:val="000000"/>
                <w:sz w:val="20"/>
                <w:lang w:val="en-US"/>
              </w:rPr>
              <w:t>verified."This</w:t>
            </w:r>
            <w:proofErr w:type="spellEnd"/>
            <w:r w:rsidRPr="00233EF1">
              <w:rPr>
                <w:rFonts w:ascii="Arial" w:eastAsia="Times New Roman" w:hAnsi="Arial" w:cs="Arial"/>
                <w:color w:val="000000"/>
                <w:sz w:val="20"/>
                <w:lang w:val="en-US"/>
              </w:rPr>
              <w:t xml:space="preserve"> pattern of passing a frame, instead of information content, is found elsewhere, such as other primitives for the </w:t>
            </w:r>
            <w:bookmarkStart w:id="0" w:name="_Hlk44947020"/>
            <w:r w:rsidRPr="00233EF1">
              <w:rPr>
                <w:rFonts w:ascii="Arial" w:eastAsia="Times New Roman" w:hAnsi="Arial" w:cs="Arial"/>
                <w:color w:val="000000"/>
                <w:sz w:val="20"/>
                <w:lang w:val="en-US"/>
              </w:rPr>
              <w:t xml:space="preserve">CVS/GDD function (including GDD Enablement Response), and the FT ("REMOTE-REQUEST"), Mesh peering management, Channel Availability Query, and Network Channel Control </w:t>
            </w:r>
            <w:bookmarkEnd w:id="0"/>
            <w:r w:rsidRPr="00233EF1">
              <w:rPr>
                <w:rFonts w:ascii="Arial" w:eastAsia="Times New Roman" w:hAnsi="Arial" w:cs="Arial"/>
                <w:color w:val="000000"/>
                <w:sz w:val="20"/>
                <w:lang w:val="en-US"/>
              </w:rPr>
              <w:t>functions. A contribution will be provided for proposed changes to address these.</w:t>
            </w:r>
          </w:p>
        </w:tc>
      </w:tr>
    </w:tbl>
    <w:p w14:paraId="3E082730" w14:textId="59D43048" w:rsidR="003C74B4" w:rsidRDefault="003C74B4">
      <w:pPr>
        <w:rPr>
          <w:bCs/>
          <w:szCs w:val="22"/>
        </w:rPr>
      </w:pPr>
    </w:p>
    <w:p w14:paraId="3C4D1DD0" w14:textId="77777777" w:rsidR="003C74B4" w:rsidRDefault="003C74B4">
      <w:pPr>
        <w:rPr>
          <w:bCs/>
          <w:szCs w:val="22"/>
        </w:rPr>
      </w:pPr>
    </w:p>
    <w:p w14:paraId="0B8C5544" w14:textId="3D1AA00B" w:rsidR="003C74B4" w:rsidRDefault="003C74B4">
      <w:pPr>
        <w:rPr>
          <w:bCs/>
          <w:szCs w:val="22"/>
        </w:rPr>
      </w:pPr>
      <w:r>
        <w:rPr>
          <w:bCs/>
          <w:szCs w:val="22"/>
          <w:u w:val="single"/>
        </w:rPr>
        <w:t>Discussion:</w:t>
      </w:r>
    </w:p>
    <w:p w14:paraId="417A9738" w14:textId="1708154A" w:rsidR="003C74B4" w:rsidRDefault="003C74B4">
      <w:pPr>
        <w:rPr>
          <w:bCs/>
          <w:szCs w:val="22"/>
        </w:rPr>
      </w:pPr>
    </w:p>
    <w:p w14:paraId="2C257879" w14:textId="0DFAE845" w:rsidR="003C74B4" w:rsidRPr="003C74B4" w:rsidRDefault="003C74B4">
      <w:pPr>
        <w:rPr>
          <w:bCs/>
          <w:noProof/>
          <w:szCs w:val="22"/>
          <w:bdr w:val="single" w:sz="8" w:space="0" w:color="auto" w:shadow="1"/>
        </w:rPr>
      </w:pPr>
      <w:r w:rsidRPr="003C74B4">
        <w:rPr>
          <w:bCs/>
          <w:noProof/>
          <w:szCs w:val="22"/>
          <w:bdr w:val="single" w:sz="8" w:space="0" w:color="auto" w:shadow="1"/>
        </w:rPr>
        <w:drawing>
          <wp:inline distT="0" distB="0" distL="0" distR="0" wp14:anchorId="162F3048" wp14:editId="0ED7F5BC">
            <wp:extent cx="6400800" cy="36290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629025"/>
                    </a:xfrm>
                    <a:prstGeom prst="rect">
                      <a:avLst/>
                    </a:prstGeom>
                    <a:noFill/>
                    <a:ln>
                      <a:noFill/>
                    </a:ln>
                  </pic:spPr>
                </pic:pic>
              </a:graphicData>
            </a:graphic>
          </wp:inline>
        </w:drawing>
      </w:r>
    </w:p>
    <w:p w14:paraId="673F26F9" w14:textId="7CC707E1" w:rsidR="003C74B4" w:rsidRDefault="003C74B4">
      <w:pPr>
        <w:rPr>
          <w:bCs/>
          <w:szCs w:val="22"/>
        </w:rPr>
      </w:pPr>
    </w:p>
    <w:p w14:paraId="7A863261" w14:textId="05DBC4C7" w:rsidR="003C74B4" w:rsidRDefault="003C74B4">
      <w:pPr>
        <w:rPr>
          <w:bCs/>
          <w:szCs w:val="22"/>
        </w:rPr>
      </w:pPr>
      <w:r>
        <w:rPr>
          <w:bCs/>
          <w:szCs w:val="22"/>
        </w:rPr>
        <w:lastRenderedPageBreak/>
        <w:t>The Contact Verification Signal element is defined in 9.6.7.27, as an Action frame, with the format details shown below:</w:t>
      </w:r>
    </w:p>
    <w:p w14:paraId="5B18CB13" w14:textId="61338E5D" w:rsidR="003C74B4" w:rsidRDefault="003C74B4">
      <w:pPr>
        <w:rPr>
          <w:bCs/>
          <w:szCs w:val="22"/>
        </w:rPr>
      </w:pPr>
    </w:p>
    <w:p w14:paraId="11E9664C" w14:textId="4A7B8AD6" w:rsidR="003C74B4" w:rsidRPr="003C74B4" w:rsidRDefault="003C74B4">
      <w:pPr>
        <w:rPr>
          <w:bCs/>
          <w:noProof/>
          <w:szCs w:val="22"/>
          <w:bdr w:val="single" w:sz="8" w:space="0" w:color="auto" w:shadow="1"/>
        </w:rPr>
      </w:pPr>
      <w:r w:rsidRPr="003C74B4">
        <w:rPr>
          <w:bCs/>
          <w:noProof/>
          <w:szCs w:val="22"/>
          <w:bdr w:val="single" w:sz="8" w:space="0" w:color="auto" w:shadow="1"/>
        </w:rPr>
        <w:drawing>
          <wp:inline distT="0" distB="0" distL="0" distR="0" wp14:anchorId="1CC1D814" wp14:editId="0FC0FD96">
            <wp:extent cx="6400800" cy="28479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847975"/>
                    </a:xfrm>
                    <a:prstGeom prst="rect">
                      <a:avLst/>
                    </a:prstGeom>
                    <a:noFill/>
                    <a:ln>
                      <a:noFill/>
                    </a:ln>
                  </pic:spPr>
                </pic:pic>
              </a:graphicData>
            </a:graphic>
          </wp:inline>
        </w:drawing>
      </w:r>
    </w:p>
    <w:p w14:paraId="008A142E" w14:textId="5AA22D07" w:rsidR="003C74B4" w:rsidRDefault="003C74B4">
      <w:pPr>
        <w:rPr>
          <w:bCs/>
          <w:szCs w:val="22"/>
        </w:rPr>
      </w:pPr>
    </w:p>
    <w:p w14:paraId="1AA63CFD" w14:textId="45FA3745" w:rsidR="003C74B4" w:rsidRDefault="003C74B4">
      <w:pPr>
        <w:rPr>
          <w:bCs/>
          <w:szCs w:val="22"/>
        </w:rPr>
      </w:pPr>
      <w:r>
        <w:rPr>
          <w:bCs/>
          <w:szCs w:val="22"/>
        </w:rPr>
        <w:t>As can be seen, only the Map ID is useful contents for the SME to provide to the MLME with the MLME-</w:t>
      </w:r>
      <w:proofErr w:type="spellStart"/>
      <w:r>
        <w:rPr>
          <w:bCs/>
          <w:szCs w:val="22"/>
        </w:rPr>
        <w:t>CVS.request</w:t>
      </w:r>
      <w:proofErr w:type="spellEnd"/>
      <w:r>
        <w:rPr>
          <w:bCs/>
          <w:szCs w:val="22"/>
        </w:rPr>
        <w:t>, since the rest of the fields are known from the frame format definition.</w:t>
      </w:r>
    </w:p>
    <w:p w14:paraId="2B272BE8" w14:textId="6696BA24" w:rsidR="003C74B4" w:rsidRDefault="003C74B4">
      <w:pPr>
        <w:rPr>
          <w:bCs/>
          <w:szCs w:val="22"/>
        </w:rPr>
      </w:pPr>
    </w:p>
    <w:p w14:paraId="3F6FDF14" w14:textId="1716549F" w:rsidR="003C74B4" w:rsidRDefault="003C74B4">
      <w:pPr>
        <w:rPr>
          <w:bCs/>
          <w:szCs w:val="22"/>
        </w:rPr>
      </w:pPr>
      <w:r>
        <w:rPr>
          <w:bCs/>
          <w:szCs w:val="22"/>
        </w:rPr>
        <w:t xml:space="preserve">The Proposed Changes </w:t>
      </w:r>
      <w:r w:rsidR="00D34242">
        <w:rPr>
          <w:bCs/>
          <w:szCs w:val="22"/>
        </w:rPr>
        <w:t xml:space="preserve">attempt to replace the “Contact Verification Signal” with “Map ID” as the parameter to the primitive.  However, the Type column of “Contact Verification Signal element” was missed.  Suggest that should be replaced with “Integer”.  </w:t>
      </w:r>
      <w:r w:rsidR="00AD2E0E">
        <w:rPr>
          <w:bCs/>
          <w:szCs w:val="22"/>
        </w:rPr>
        <w:t>Further</w:t>
      </w:r>
      <w:r w:rsidR="00D34242">
        <w:rPr>
          <w:bCs/>
          <w:szCs w:val="22"/>
        </w:rPr>
        <w:t xml:space="preserve">, this is talking about the parameters to a primitive, not fields in a frame, so the Description change should say “Map ID is set to …” instead of “The MAP ID field is set to …”  </w:t>
      </w:r>
      <w:r w:rsidR="00AD2E0E">
        <w:rPr>
          <w:bCs/>
          <w:szCs w:val="22"/>
        </w:rPr>
        <w:t xml:space="preserve">Finally, the transmitter of the CVS is the device that established and transmitted the WSM, and the CSV is to confirm that the WSM is still valid.  So, the proposed description has the endpoints backwards.  </w:t>
      </w:r>
      <w:r w:rsidR="00D34242">
        <w:rPr>
          <w:bCs/>
          <w:szCs w:val="22"/>
        </w:rPr>
        <w:t>Thus</w:t>
      </w:r>
      <w:r w:rsidR="00AD2E0E">
        <w:rPr>
          <w:bCs/>
          <w:szCs w:val="22"/>
        </w:rPr>
        <w:t>, suggest the following changes, for the cited location</w:t>
      </w:r>
      <w:r w:rsidR="00D34242">
        <w:rPr>
          <w:bCs/>
          <w:szCs w:val="22"/>
        </w:rPr>
        <w:t>:</w:t>
      </w:r>
    </w:p>
    <w:p w14:paraId="4EB926BC" w14:textId="77777777" w:rsidR="00AD2E0E" w:rsidRDefault="00AD2E0E">
      <w:pPr>
        <w:rPr>
          <w:bCs/>
          <w:szCs w:val="22"/>
        </w:rPr>
      </w:pPr>
    </w:p>
    <w:p w14:paraId="19F5C9BC" w14:textId="019C0718" w:rsidR="00AD2E0E" w:rsidRDefault="00AD2E0E" w:rsidP="00AD2E0E">
      <w:pPr>
        <w:ind w:left="720"/>
        <w:rPr>
          <w:bCs/>
          <w:szCs w:val="22"/>
        </w:rPr>
      </w:pPr>
      <w:bookmarkStart w:id="1" w:name="_Hlk44947074"/>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 xml:space="preserve">Replace “Contact Verification Signal element” with “Integer”.  </w:t>
      </w:r>
      <w:r w:rsidRPr="00233EF1">
        <w:rPr>
          <w:rFonts w:ascii="Arial" w:eastAsia="Times New Roman" w:hAnsi="Arial" w:cs="Arial"/>
          <w:color w:val="000000"/>
          <w:sz w:val="20"/>
          <w:lang w:val="en-US"/>
        </w:rPr>
        <w:t xml:space="preserve">In the parameter table's Description column, replace the text with, "Map ID is set to the Map ID of the recently </w:t>
      </w:r>
      <w:r>
        <w:rPr>
          <w:rFonts w:ascii="Arial" w:eastAsia="Times New Roman" w:hAnsi="Arial" w:cs="Arial"/>
          <w:color w:val="000000"/>
          <w:sz w:val="20"/>
          <w:lang w:val="en-US"/>
        </w:rPr>
        <w:t>transmitted</w:t>
      </w:r>
      <w:r w:rsidRPr="00233EF1">
        <w:rPr>
          <w:rFonts w:ascii="Arial" w:eastAsia="Times New Roman" w:hAnsi="Arial" w:cs="Arial"/>
          <w:color w:val="000000"/>
          <w:sz w:val="20"/>
          <w:lang w:val="en-US"/>
        </w:rPr>
        <w:t xml:space="preserve"> WSM, which is being verified."</w:t>
      </w:r>
    </w:p>
    <w:bookmarkEnd w:id="1"/>
    <w:p w14:paraId="60F95F16" w14:textId="59C1A7DB" w:rsidR="00D34242" w:rsidRDefault="00D34242">
      <w:pPr>
        <w:rPr>
          <w:bCs/>
          <w:szCs w:val="22"/>
        </w:rPr>
      </w:pPr>
    </w:p>
    <w:p w14:paraId="755166BB" w14:textId="01A5A0D4" w:rsidR="00D34242" w:rsidRDefault="00D34242">
      <w:pPr>
        <w:rPr>
          <w:bCs/>
          <w:szCs w:val="22"/>
        </w:rPr>
      </w:pPr>
      <w:r>
        <w:rPr>
          <w:bCs/>
          <w:szCs w:val="22"/>
        </w:rPr>
        <w:t>The commenter requests to carry this style of change to other primitives.</w:t>
      </w:r>
    </w:p>
    <w:p w14:paraId="4A17974B" w14:textId="0613ED85" w:rsidR="00D34242" w:rsidRDefault="00D34242">
      <w:pPr>
        <w:rPr>
          <w:bCs/>
          <w:szCs w:val="22"/>
        </w:rPr>
      </w:pPr>
    </w:p>
    <w:p w14:paraId="458BBB04" w14:textId="1E1B84E1" w:rsidR="00D34242" w:rsidRDefault="00D34242">
      <w:pPr>
        <w:rPr>
          <w:bCs/>
          <w:szCs w:val="22"/>
        </w:rPr>
      </w:pPr>
      <w:r>
        <w:rPr>
          <w:bCs/>
          <w:szCs w:val="22"/>
        </w:rPr>
        <w:t xml:space="preserve">The first and easiest, is the </w:t>
      </w:r>
      <w:r w:rsidRPr="00D34242">
        <w:rPr>
          <w:bCs/>
          <w:szCs w:val="22"/>
        </w:rPr>
        <w:t>MLME-</w:t>
      </w:r>
      <w:proofErr w:type="spellStart"/>
      <w:r w:rsidRPr="00D34242">
        <w:rPr>
          <w:bCs/>
          <w:szCs w:val="22"/>
        </w:rPr>
        <w:t>CVS.indication</w:t>
      </w:r>
      <w:proofErr w:type="spellEnd"/>
      <w:r>
        <w:rPr>
          <w:bCs/>
          <w:szCs w:val="22"/>
        </w:rPr>
        <w:t>, which has exactly the same structure as the .request.  Thus, similar changes can be made:</w:t>
      </w:r>
    </w:p>
    <w:p w14:paraId="02C77CF6" w14:textId="2BB6E620" w:rsidR="00D34242" w:rsidRDefault="00D34242" w:rsidP="00D34242">
      <w:pPr>
        <w:ind w:left="720"/>
        <w:rPr>
          <w:bCs/>
          <w:szCs w:val="22"/>
        </w:rPr>
      </w:pPr>
      <w:bookmarkStart w:id="2" w:name="_Hlk44947157"/>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 xml:space="preserve">Replace “Contact Verification Signal element” with “Integer”.  </w:t>
      </w:r>
      <w:r w:rsidRPr="00233EF1">
        <w:rPr>
          <w:rFonts w:ascii="Arial" w:eastAsia="Times New Roman" w:hAnsi="Arial" w:cs="Arial"/>
          <w:color w:val="000000"/>
          <w:sz w:val="20"/>
          <w:lang w:val="en-US"/>
        </w:rPr>
        <w:t xml:space="preserve">In the parameter table's Description column, replace the text with, "Map ID field is </w:t>
      </w:r>
      <w:r w:rsidR="00AD2E0E">
        <w:rPr>
          <w:rFonts w:ascii="Arial" w:eastAsia="Times New Roman" w:hAnsi="Arial" w:cs="Arial"/>
          <w:color w:val="000000"/>
          <w:sz w:val="20"/>
          <w:lang w:val="en-US"/>
        </w:rPr>
        <w:t>the Map ID of the received Contact Verification Signal frame, and identifies the WSM that is being verified</w:t>
      </w:r>
      <w:r w:rsidRPr="00233EF1">
        <w:rPr>
          <w:rFonts w:ascii="Arial" w:eastAsia="Times New Roman" w:hAnsi="Arial" w:cs="Arial"/>
          <w:color w:val="000000"/>
          <w:sz w:val="20"/>
          <w:lang w:val="en-US"/>
        </w:rPr>
        <w:t>."</w:t>
      </w:r>
    </w:p>
    <w:bookmarkEnd w:id="2"/>
    <w:p w14:paraId="3E363409" w14:textId="382FFA59" w:rsidR="00D34242" w:rsidRDefault="00D34242">
      <w:pPr>
        <w:rPr>
          <w:bCs/>
          <w:szCs w:val="22"/>
        </w:rPr>
      </w:pPr>
    </w:p>
    <w:p w14:paraId="23A3FE80" w14:textId="77777777" w:rsidR="001877D7" w:rsidRDefault="001877D7">
      <w:pPr>
        <w:rPr>
          <w:bCs/>
          <w:szCs w:val="22"/>
        </w:rPr>
      </w:pPr>
    </w:p>
    <w:p w14:paraId="0F645CAD" w14:textId="65202C33" w:rsidR="006763E4" w:rsidRDefault="006763E4">
      <w:pPr>
        <w:rPr>
          <w:bCs/>
          <w:szCs w:val="22"/>
        </w:rPr>
      </w:pPr>
      <w:r>
        <w:rPr>
          <w:bCs/>
          <w:szCs w:val="22"/>
        </w:rPr>
        <w:t xml:space="preserve">The next suggestion is for other primitives for the GDD function (including GDD Enablement Response).  The GDD primitives (for the </w:t>
      </w:r>
      <w:r w:rsidRPr="006763E4">
        <w:rPr>
          <w:bCs/>
          <w:szCs w:val="22"/>
        </w:rPr>
        <w:t>MLME-GDDENABLEMENT</w:t>
      </w:r>
      <w:r>
        <w:rPr>
          <w:bCs/>
          <w:szCs w:val="22"/>
        </w:rPr>
        <w:t xml:space="preserve"> function) for the .request and .indication don’t have any s</w:t>
      </w:r>
      <w:r w:rsidR="008E6CD4">
        <w:rPr>
          <w:bCs/>
          <w:szCs w:val="22"/>
        </w:rPr>
        <w:t xml:space="preserve">imilar use of an entire element to carry individual information.  However, the .response and .confirm primitives each have one parameter, “WSM”, which is described as being of Type “WSM element”, but the definition of the parameter references </w:t>
      </w:r>
      <w:r w:rsidR="001E19F7">
        <w:rPr>
          <w:bCs/>
          <w:szCs w:val="22"/>
        </w:rPr>
        <w:t>subclause</w:t>
      </w:r>
      <w:r w:rsidR="001E19F7" w:rsidRPr="001E19F7">
        <w:rPr>
          <w:bCs/>
          <w:szCs w:val="22"/>
        </w:rPr>
        <w:t xml:space="preserve"> 9.4.1.57</w:t>
      </w:r>
      <w:r w:rsidR="0091711B">
        <w:rPr>
          <w:bCs/>
          <w:szCs w:val="22"/>
        </w:rPr>
        <w:t>, and that subclause is actually a description of the two items of interest that can be carried in the element:</w:t>
      </w:r>
    </w:p>
    <w:p w14:paraId="1E4C8D7A" w14:textId="79DC38D7" w:rsidR="0091711B" w:rsidRDefault="0091711B">
      <w:pPr>
        <w:rPr>
          <w:bCs/>
          <w:szCs w:val="22"/>
        </w:rPr>
      </w:pPr>
    </w:p>
    <w:p w14:paraId="107D80CD" w14:textId="4A54C676" w:rsidR="0091711B" w:rsidRPr="0091711B" w:rsidRDefault="0091711B">
      <w:pPr>
        <w:rPr>
          <w:bCs/>
          <w:noProof/>
          <w:szCs w:val="22"/>
          <w:bdr w:val="single" w:sz="8" w:space="0" w:color="auto" w:shadow="1"/>
        </w:rPr>
      </w:pPr>
      <w:r w:rsidRPr="0091711B">
        <w:rPr>
          <w:bCs/>
          <w:noProof/>
          <w:szCs w:val="22"/>
          <w:bdr w:val="single" w:sz="8" w:space="0" w:color="auto" w:shadow="1"/>
        </w:rPr>
        <w:lastRenderedPageBreak/>
        <w:drawing>
          <wp:inline distT="0" distB="0" distL="0" distR="0" wp14:anchorId="6643CABE" wp14:editId="496888CC">
            <wp:extent cx="6400800" cy="6667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74A78648" w14:textId="59D75F7B" w:rsidR="006763E4" w:rsidRDefault="006763E4">
      <w:pPr>
        <w:rPr>
          <w:bCs/>
          <w:szCs w:val="22"/>
        </w:rPr>
      </w:pPr>
    </w:p>
    <w:p w14:paraId="3676DE1B" w14:textId="52CBDEA9" w:rsidR="006763E4" w:rsidRDefault="0091711B">
      <w:pPr>
        <w:rPr>
          <w:bCs/>
          <w:szCs w:val="22"/>
        </w:rPr>
      </w:pPr>
      <w:r>
        <w:rPr>
          <w:bCs/>
          <w:szCs w:val="22"/>
        </w:rPr>
        <w:t>In this case, it is simplest to describe these two items of interest as the tuple of WSM Type and WSM Information, with very minimal changes required.</w:t>
      </w:r>
    </w:p>
    <w:p w14:paraId="06433633" w14:textId="0CA4DD27" w:rsidR="006763E4" w:rsidRDefault="006763E4">
      <w:pPr>
        <w:rPr>
          <w:bCs/>
          <w:szCs w:val="22"/>
        </w:rPr>
      </w:pPr>
    </w:p>
    <w:p w14:paraId="2BC4CE6D" w14:textId="77777777" w:rsidR="001877D7" w:rsidRDefault="001877D7">
      <w:pPr>
        <w:rPr>
          <w:bCs/>
          <w:szCs w:val="22"/>
        </w:rPr>
      </w:pPr>
    </w:p>
    <w:p w14:paraId="5F6D475F" w14:textId="0907D5E1" w:rsidR="00C5735F" w:rsidRDefault="00C5735F">
      <w:pPr>
        <w:rPr>
          <w:bCs/>
          <w:szCs w:val="22"/>
        </w:rPr>
      </w:pPr>
      <w:r>
        <w:rPr>
          <w:bCs/>
          <w:szCs w:val="22"/>
        </w:rPr>
        <w:t>The next suggestion from the commenter is the FT (“REMOTE-REQUEST”) function.  In this case, the request is for the AP to send an FT action frame over the DS to another AP.  The action frame to be sent is, in effect, opaque data</w:t>
      </w:r>
      <w:r w:rsidR="001877D7">
        <w:rPr>
          <w:bCs/>
          <w:szCs w:val="22"/>
        </w:rPr>
        <w:t>, and could be any FT action frame, per 9.6.8.  So, the primitive’s parameter passing simply “a sequence of octets” which is defined as the contents of an FT action frame per 9.6.8, is reasonably accurate and appropriate.  No change is suggested.</w:t>
      </w:r>
    </w:p>
    <w:p w14:paraId="1063C92F" w14:textId="67722625" w:rsidR="00C5735F" w:rsidRDefault="00C5735F">
      <w:pPr>
        <w:rPr>
          <w:bCs/>
          <w:szCs w:val="22"/>
        </w:rPr>
      </w:pPr>
    </w:p>
    <w:p w14:paraId="212E58BF" w14:textId="0A0F622B" w:rsidR="00110905" w:rsidRDefault="00110905">
      <w:pPr>
        <w:rPr>
          <w:bCs/>
          <w:szCs w:val="22"/>
        </w:rPr>
      </w:pPr>
    </w:p>
    <w:p w14:paraId="0B35C9BD" w14:textId="19E2C931" w:rsidR="00110905" w:rsidRDefault="00110905">
      <w:pPr>
        <w:rPr>
          <w:bCs/>
          <w:szCs w:val="22"/>
        </w:rPr>
      </w:pPr>
      <w:r>
        <w:rPr>
          <w:bCs/>
          <w:szCs w:val="22"/>
        </w:rPr>
        <w:t xml:space="preserve">Mesh peering management primitives are the </w:t>
      </w:r>
      <w:r w:rsidRPr="00110905">
        <w:rPr>
          <w:bCs/>
          <w:szCs w:val="22"/>
        </w:rPr>
        <w:t>MLME-MESHPEERINGMANAGEMENT</w:t>
      </w:r>
      <w:r>
        <w:rPr>
          <w:bCs/>
          <w:szCs w:val="22"/>
        </w:rPr>
        <w:t xml:space="preserve"> .request, .indication, .response and .confirm.  Each of them is described as three different frame types: Mesh Peering Open, Mesh Peering Confirm and Mesh Peering Close.  These frame types each contain a number of fields, different for each frame type.  Unpacking this mess is probably not worth the effort, as even if there were one set of primitives for each frame type, the frames themselves are complex enough that listing the fields as individual parameters would add no value.  No change is suggested.</w:t>
      </w:r>
    </w:p>
    <w:p w14:paraId="2C4D1D77" w14:textId="77777777" w:rsidR="00110905" w:rsidRDefault="00110905">
      <w:pPr>
        <w:rPr>
          <w:bCs/>
          <w:szCs w:val="22"/>
        </w:rPr>
      </w:pPr>
    </w:p>
    <w:p w14:paraId="6471B799" w14:textId="58C9887D" w:rsidR="00110905" w:rsidRDefault="00110905">
      <w:pPr>
        <w:rPr>
          <w:bCs/>
          <w:szCs w:val="22"/>
        </w:rPr>
      </w:pPr>
    </w:p>
    <w:p w14:paraId="4686045E" w14:textId="28767F8A" w:rsidR="00A411E8" w:rsidRDefault="00A411E8">
      <w:pPr>
        <w:rPr>
          <w:bCs/>
          <w:szCs w:val="22"/>
        </w:rPr>
      </w:pPr>
      <w:r>
        <w:rPr>
          <w:bCs/>
          <w:szCs w:val="22"/>
        </w:rPr>
        <w:t xml:space="preserve">The Channel Availability Query </w:t>
      </w:r>
      <w:r w:rsidRPr="00631775">
        <w:rPr>
          <w:bCs/>
          <w:szCs w:val="22"/>
        </w:rPr>
        <w:t>and Network Channel Control</w:t>
      </w:r>
      <w:r>
        <w:rPr>
          <w:bCs/>
          <w:szCs w:val="22"/>
        </w:rPr>
        <w:t xml:space="preserve"> service primitives follow similar patterns.  Both of these MLME functions serve to directly handle the transmission or reception of the associated frames, and in both cases the frames contain a relatively long list of fields.  Rather than listing the fields in the primitive (and arguably duplicating the semantics from clauses 9 and 11 in the Description column here in clause 6), the original authors chose the “short cut” of just saying the fields as defined in the frame format are all passed as a set in a service primitive parameter.  This isn’t horrible, and as mentioned previously, unpacking this i</w:t>
      </w:r>
      <w:r>
        <w:rPr>
          <w:bCs/>
          <w:szCs w:val="22"/>
        </w:rPr>
        <w:t>s probably not worth the effort, as even if there were one set of primitives for each frame type, the frames themselves are complex enough that listing the fields as individual parameters would add no value.</w:t>
      </w:r>
      <w:r>
        <w:rPr>
          <w:bCs/>
          <w:szCs w:val="22"/>
        </w:rPr>
        <w:t xml:space="preserve">  No change is suggested.</w:t>
      </w:r>
    </w:p>
    <w:p w14:paraId="67C2D2C6" w14:textId="381CE8CC" w:rsidR="00631775" w:rsidRDefault="00631775">
      <w:pPr>
        <w:rPr>
          <w:bCs/>
          <w:szCs w:val="22"/>
        </w:rPr>
      </w:pPr>
    </w:p>
    <w:p w14:paraId="122E41B9" w14:textId="77777777" w:rsidR="003C74B4" w:rsidRDefault="003C74B4">
      <w:pPr>
        <w:rPr>
          <w:bCs/>
          <w:szCs w:val="22"/>
        </w:rPr>
      </w:pPr>
    </w:p>
    <w:p w14:paraId="6D184E07" w14:textId="6729C0EB" w:rsidR="003C74B4" w:rsidRDefault="003C74B4">
      <w:pPr>
        <w:rPr>
          <w:bCs/>
          <w:szCs w:val="22"/>
        </w:rPr>
      </w:pPr>
      <w:r w:rsidRPr="000D098E">
        <w:rPr>
          <w:bCs/>
          <w:szCs w:val="22"/>
          <w:highlight w:val="yellow"/>
          <w:u w:val="single"/>
        </w:rPr>
        <w:t>Proposed Resolution:</w:t>
      </w:r>
    </w:p>
    <w:p w14:paraId="47DAF45A" w14:textId="35DCF9A3" w:rsidR="003C74B4" w:rsidRDefault="003C74B4">
      <w:pPr>
        <w:rPr>
          <w:bCs/>
          <w:szCs w:val="22"/>
        </w:rPr>
      </w:pPr>
    </w:p>
    <w:p w14:paraId="7961ACFD" w14:textId="40B619E1" w:rsidR="003C74B4" w:rsidRDefault="00631775">
      <w:pPr>
        <w:rPr>
          <w:bCs/>
          <w:szCs w:val="22"/>
        </w:rPr>
      </w:pPr>
      <w:r>
        <w:rPr>
          <w:bCs/>
          <w:szCs w:val="22"/>
        </w:rPr>
        <w:t>Revised.</w:t>
      </w:r>
    </w:p>
    <w:p w14:paraId="250B9532" w14:textId="48676B71" w:rsidR="00631775" w:rsidRDefault="00631775">
      <w:pPr>
        <w:rPr>
          <w:bCs/>
          <w:szCs w:val="22"/>
        </w:rPr>
      </w:pPr>
    </w:p>
    <w:p w14:paraId="4291A471" w14:textId="0C6F368A" w:rsidR="00631775" w:rsidRDefault="00631775">
      <w:pPr>
        <w:rPr>
          <w:bCs/>
          <w:szCs w:val="22"/>
        </w:rPr>
      </w:pPr>
      <w:r>
        <w:rPr>
          <w:bCs/>
          <w:szCs w:val="22"/>
        </w:rPr>
        <w:t xml:space="preserve">At the cited location (P680.44 and P680.28): </w:t>
      </w:r>
      <w:r w:rsidRPr="00631775">
        <w:rPr>
          <w:bCs/>
          <w:szCs w:val="22"/>
        </w:rPr>
        <w:t>Change "</w:t>
      </w:r>
      <w:proofErr w:type="spellStart"/>
      <w:r w:rsidRPr="00631775">
        <w:rPr>
          <w:bCs/>
          <w:szCs w:val="22"/>
        </w:rPr>
        <w:t>ContactVerificationSignal</w:t>
      </w:r>
      <w:proofErr w:type="spellEnd"/>
      <w:r w:rsidRPr="00631775">
        <w:rPr>
          <w:bCs/>
          <w:szCs w:val="22"/>
        </w:rPr>
        <w:t>" to "Map ID" in the parameter list and parameter table. Replace “Contact Verification Signal element” with “Integer”.  In the parameter table's Description column, replace the text with, "Map ID is set to the Map ID of the recently transmitted WSM, which is being verified."</w:t>
      </w:r>
    </w:p>
    <w:p w14:paraId="7EE8AB8B" w14:textId="3F09E098" w:rsidR="00631775" w:rsidRDefault="00631775">
      <w:pPr>
        <w:rPr>
          <w:bCs/>
          <w:szCs w:val="22"/>
        </w:rPr>
      </w:pPr>
    </w:p>
    <w:p w14:paraId="78F9ECAD" w14:textId="7FB3DE5E" w:rsidR="00631775" w:rsidRDefault="00631775">
      <w:pPr>
        <w:rPr>
          <w:bCs/>
          <w:szCs w:val="22"/>
        </w:rPr>
      </w:pPr>
      <w:r>
        <w:rPr>
          <w:bCs/>
          <w:szCs w:val="22"/>
        </w:rPr>
        <w:t xml:space="preserve">At P681.17 and P681.34: </w:t>
      </w:r>
      <w:r w:rsidRPr="00631775">
        <w:rPr>
          <w:bCs/>
          <w:szCs w:val="22"/>
        </w:rPr>
        <w:t>Change "</w:t>
      </w:r>
      <w:proofErr w:type="spellStart"/>
      <w:r w:rsidRPr="00631775">
        <w:rPr>
          <w:bCs/>
          <w:szCs w:val="22"/>
        </w:rPr>
        <w:t>ContactVerificationSignal</w:t>
      </w:r>
      <w:proofErr w:type="spellEnd"/>
      <w:r w:rsidRPr="00631775">
        <w:rPr>
          <w:bCs/>
          <w:szCs w:val="22"/>
        </w:rPr>
        <w:t>" to "Map ID" in the parameter list and parameter table. Replace “Contact Verification Signal element” with “Integer”.  In the parameter table's Description column, replace the text with, "Map ID field is the Map ID of the received Contact Verification Signal frame, and identifies the WSM that is being verified."</w:t>
      </w:r>
    </w:p>
    <w:p w14:paraId="3266CAAA" w14:textId="2C79A1D1" w:rsidR="00631775" w:rsidRDefault="00631775">
      <w:pPr>
        <w:rPr>
          <w:bCs/>
          <w:szCs w:val="22"/>
        </w:rPr>
      </w:pPr>
    </w:p>
    <w:p w14:paraId="5141A265" w14:textId="465BC7C3" w:rsidR="00631775" w:rsidRDefault="0091711B">
      <w:pPr>
        <w:rPr>
          <w:bCs/>
          <w:szCs w:val="22"/>
        </w:rPr>
      </w:pPr>
      <w:r>
        <w:rPr>
          <w:bCs/>
          <w:szCs w:val="22"/>
        </w:rPr>
        <w:t>At P683.26 (MLME-</w:t>
      </w:r>
      <w:proofErr w:type="spellStart"/>
      <w:r>
        <w:rPr>
          <w:bCs/>
          <w:szCs w:val="22"/>
        </w:rPr>
        <w:t>GDDENABLEMENT.confirm</w:t>
      </w:r>
      <w:proofErr w:type="spellEnd"/>
      <w:r>
        <w:rPr>
          <w:bCs/>
          <w:szCs w:val="22"/>
        </w:rPr>
        <w:t>) change “WSM element” to “Tuple of WSM Type and WSM Information”.  Same thing at P685.23 (MLME-</w:t>
      </w:r>
      <w:proofErr w:type="spellStart"/>
      <w:r>
        <w:rPr>
          <w:bCs/>
          <w:szCs w:val="22"/>
        </w:rPr>
        <w:t>GDDENABLEMENT.response</w:t>
      </w:r>
      <w:proofErr w:type="spellEnd"/>
      <w:r>
        <w:rPr>
          <w:bCs/>
          <w:szCs w:val="22"/>
        </w:rPr>
        <w:t>).</w:t>
      </w:r>
    </w:p>
    <w:p w14:paraId="4A0B5F7A" w14:textId="315AAAC8" w:rsidR="0091711B" w:rsidRDefault="0091711B">
      <w:pPr>
        <w:rPr>
          <w:bCs/>
          <w:szCs w:val="22"/>
        </w:rPr>
      </w:pPr>
    </w:p>
    <w:p w14:paraId="7E567DDD" w14:textId="77777777" w:rsidR="0091711B" w:rsidRPr="003C74B4" w:rsidRDefault="0091711B">
      <w:pPr>
        <w:rPr>
          <w:bCs/>
          <w:szCs w:val="22"/>
        </w:rPr>
      </w:pPr>
    </w:p>
    <w:p w14:paraId="7E666E4A" w14:textId="77777777" w:rsidR="00E47099" w:rsidRDefault="00CC539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47099" w14:paraId="06C6E882"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3AA20764"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5026091"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73F8153"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5147A9"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B36F7A1"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47099" w:rsidRPr="00DE7477" w14:paraId="4CA296A5" w14:textId="77777777" w:rsidTr="003C15FC">
        <w:trPr>
          <w:trHeight w:val="765"/>
        </w:trPr>
        <w:tc>
          <w:tcPr>
            <w:tcW w:w="738" w:type="dxa"/>
          </w:tcPr>
          <w:p w14:paraId="17D27103" w14:textId="77777777" w:rsidR="00E47099" w:rsidRDefault="00E47099"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7F4632E3" w14:textId="77777777" w:rsidR="00E47099" w:rsidRDefault="00E47099"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431B3483" w14:textId="77777777" w:rsidR="00E47099" w:rsidRDefault="00E47099" w:rsidP="003C15FC">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05BA5DC9"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After the first </w:t>
            </w:r>
            <w:proofErr w:type="spellStart"/>
            <w:r w:rsidRPr="00AE7C3B">
              <w:rPr>
                <w:rFonts w:ascii="Arial" w:eastAsia="Times New Roman" w:hAnsi="Arial" w:cs="Arial"/>
                <w:color w:val="000000"/>
                <w:sz w:val="20"/>
                <w:lang w:val="en-US"/>
              </w:rPr>
              <w:t>senence</w:t>
            </w:r>
            <w:proofErr w:type="spellEnd"/>
            <w:r w:rsidRPr="00AE7C3B">
              <w:rPr>
                <w:rFonts w:ascii="Arial" w:eastAsia="Times New Roman" w:hAnsi="Arial" w:cs="Arial"/>
                <w:color w:val="000000"/>
                <w:sz w:val="20"/>
                <w:lang w:val="en-US"/>
              </w:rPr>
              <w:t>, this NOTE no longer seems necessary/useful in the Definitions, and further, seems to be mostly talking about MSDUs and A-MSDUs, not MMPDUs.</w:t>
            </w:r>
          </w:p>
        </w:tc>
        <w:tc>
          <w:tcPr>
            <w:tcW w:w="3600" w:type="dxa"/>
          </w:tcPr>
          <w:p w14:paraId="59AC937A"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Confirm this material is stated in normative text, and delete it from here.  (Or move it somewhere normative, if it is missing.)</w:t>
            </w:r>
          </w:p>
        </w:tc>
      </w:tr>
    </w:tbl>
    <w:p w14:paraId="0CEA9560" w14:textId="147A244A" w:rsidR="00CC5391" w:rsidRDefault="00CC5391">
      <w:pPr>
        <w:rPr>
          <w:bCs/>
          <w:szCs w:val="22"/>
        </w:rPr>
      </w:pPr>
    </w:p>
    <w:p w14:paraId="2CCEF763" w14:textId="66F92D7A" w:rsidR="00E47099" w:rsidRDefault="00E47099">
      <w:pPr>
        <w:rPr>
          <w:bCs/>
          <w:szCs w:val="22"/>
          <w:u w:val="single"/>
        </w:rPr>
      </w:pPr>
      <w:r>
        <w:rPr>
          <w:bCs/>
          <w:szCs w:val="22"/>
          <w:u w:val="single"/>
        </w:rPr>
        <w:t>Discussion:</w:t>
      </w:r>
    </w:p>
    <w:p w14:paraId="00527E9C" w14:textId="77CFDF9D" w:rsidR="00E47099" w:rsidRPr="00E47099" w:rsidRDefault="00E47099">
      <w:pPr>
        <w:rPr>
          <w:bCs/>
          <w:szCs w:val="22"/>
        </w:rPr>
      </w:pPr>
    </w:p>
    <w:p w14:paraId="7CC28C09" w14:textId="1FEEEF07" w:rsidR="00E47099" w:rsidRPr="00E47099" w:rsidRDefault="00E47099">
      <w:pPr>
        <w:rPr>
          <w:bCs/>
          <w:noProof/>
          <w:szCs w:val="22"/>
          <w:bdr w:val="single" w:sz="8" w:space="0" w:color="auto" w:shadow="1"/>
        </w:rPr>
      </w:pPr>
      <w:r w:rsidRPr="00E47099">
        <w:rPr>
          <w:bCs/>
          <w:noProof/>
          <w:szCs w:val="22"/>
          <w:bdr w:val="single" w:sz="8" w:space="0" w:color="auto" w:shadow="1"/>
        </w:rPr>
        <w:drawing>
          <wp:inline distT="0" distB="0" distL="0" distR="0" wp14:anchorId="67C7EA37" wp14:editId="094B119A">
            <wp:extent cx="6400800" cy="18002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800225"/>
                    </a:xfrm>
                    <a:prstGeom prst="rect">
                      <a:avLst/>
                    </a:prstGeom>
                    <a:noFill/>
                    <a:ln>
                      <a:noFill/>
                    </a:ln>
                  </pic:spPr>
                </pic:pic>
              </a:graphicData>
            </a:graphic>
          </wp:inline>
        </w:drawing>
      </w:r>
    </w:p>
    <w:p w14:paraId="17E9D443" w14:textId="1B8EEBCE" w:rsidR="00E47099" w:rsidRDefault="00E47099">
      <w:pPr>
        <w:rPr>
          <w:bCs/>
          <w:szCs w:val="22"/>
        </w:rPr>
      </w:pPr>
    </w:p>
    <w:p w14:paraId="54F8FAE7" w14:textId="087BF454" w:rsidR="00E47099" w:rsidRDefault="00E47099">
      <w:pPr>
        <w:rPr>
          <w:bCs/>
          <w:szCs w:val="22"/>
        </w:rPr>
      </w:pPr>
      <w:r>
        <w:rPr>
          <w:bCs/>
          <w:szCs w:val="22"/>
        </w:rPr>
        <w:t xml:space="preserve">In the definition of MMPDU, it is useful to the reader to make the relationship between an MMPDU and an MSDU, as having similar roles in the architectural stack.  Beyond that, the rest of these details are </w:t>
      </w:r>
      <w:proofErr w:type="spellStart"/>
      <w:r>
        <w:rPr>
          <w:bCs/>
          <w:szCs w:val="22"/>
        </w:rPr>
        <w:t>behavior</w:t>
      </w:r>
      <w:proofErr w:type="spellEnd"/>
      <w:r>
        <w:rPr>
          <w:bCs/>
          <w:szCs w:val="22"/>
        </w:rPr>
        <w:t xml:space="preserve"> constraints on the PDU structures, are stated elsewhere in normative text, and don’t add to the reader’s understanding of the MMPDU concept.</w:t>
      </w:r>
    </w:p>
    <w:p w14:paraId="1658FEDB" w14:textId="6F35C959" w:rsidR="00E47099" w:rsidRDefault="00E47099">
      <w:pPr>
        <w:rPr>
          <w:bCs/>
          <w:szCs w:val="22"/>
        </w:rPr>
      </w:pPr>
    </w:p>
    <w:p w14:paraId="7D7A3CD9" w14:textId="03D76C3A" w:rsidR="00E47099" w:rsidRDefault="00E47099">
      <w:pPr>
        <w:rPr>
          <w:bCs/>
          <w:szCs w:val="22"/>
        </w:rPr>
      </w:pPr>
      <w:r>
        <w:rPr>
          <w:bCs/>
          <w:szCs w:val="22"/>
        </w:rPr>
        <w:t>That an MSDU or MMPSU is transmitted in one or more MPDUs, and of the appropriate type, is clearly stated elsewhere.</w:t>
      </w:r>
    </w:p>
    <w:p w14:paraId="7A5FA5DD" w14:textId="426B0359" w:rsidR="00E47099" w:rsidRDefault="00E47099">
      <w:pPr>
        <w:rPr>
          <w:bCs/>
          <w:szCs w:val="22"/>
        </w:rPr>
      </w:pPr>
    </w:p>
    <w:p w14:paraId="1E6C551C" w14:textId="2C0081AE" w:rsidR="00E47099" w:rsidRDefault="00E47099">
      <w:pPr>
        <w:rPr>
          <w:bCs/>
          <w:szCs w:val="22"/>
        </w:rPr>
      </w:pPr>
      <w:r>
        <w:rPr>
          <w:bCs/>
          <w:szCs w:val="22"/>
        </w:rPr>
        <w:t>That an MSDU can be carried in an A-MSDU is here:</w:t>
      </w:r>
    </w:p>
    <w:p w14:paraId="2A7BBD64" w14:textId="681D5C40" w:rsidR="00E47099" w:rsidRDefault="00E47099">
      <w:pPr>
        <w:rPr>
          <w:bCs/>
          <w:szCs w:val="22"/>
        </w:rPr>
      </w:pPr>
    </w:p>
    <w:p w14:paraId="4968E28F" w14:textId="654CA5F7" w:rsidR="00E47099" w:rsidRPr="00E47099" w:rsidRDefault="00E47099">
      <w:pPr>
        <w:rPr>
          <w:bCs/>
          <w:noProof/>
          <w:szCs w:val="22"/>
          <w:bdr w:val="single" w:sz="8" w:space="0" w:color="auto" w:shadow="1"/>
        </w:rPr>
      </w:pPr>
      <w:r w:rsidRPr="00E47099">
        <w:rPr>
          <w:bCs/>
          <w:noProof/>
          <w:szCs w:val="22"/>
          <w:bdr w:val="single" w:sz="8" w:space="0" w:color="auto" w:shadow="1"/>
        </w:rPr>
        <w:drawing>
          <wp:inline distT="0" distB="0" distL="0" distR="0" wp14:anchorId="32E79343" wp14:editId="3A658FDB">
            <wp:extent cx="6400800" cy="16954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695450"/>
                    </a:xfrm>
                    <a:prstGeom prst="rect">
                      <a:avLst/>
                    </a:prstGeom>
                    <a:noFill/>
                    <a:ln>
                      <a:noFill/>
                    </a:ln>
                  </pic:spPr>
                </pic:pic>
              </a:graphicData>
            </a:graphic>
          </wp:inline>
        </w:drawing>
      </w:r>
    </w:p>
    <w:p w14:paraId="0631FBDF" w14:textId="7449DF01" w:rsidR="00E47099" w:rsidRDefault="00E47099">
      <w:pPr>
        <w:rPr>
          <w:bCs/>
          <w:szCs w:val="22"/>
        </w:rPr>
      </w:pPr>
    </w:p>
    <w:p w14:paraId="50FD1C3A" w14:textId="3BC8375B" w:rsidR="00E47099" w:rsidRDefault="000D53DF">
      <w:pPr>
        <w:rPr>
          <w:bCs/>
          <w:szCs w:val="22"/>
        </w:rPr>
      </w:pPr>
      <w:r>
        <w:rPr>
          <w:bCs/>
          <w:szCs w:val="22"/>
        </w:rPr>
        <w:t>That an A-MSDU is transmitted in one MPDU is here, in that this text does not talk about fragmenting A-MSDUs:</w:t>
      </w:r>
    </w:p>
    <w:p w14:paraId="7D1DCE33" w14:textId="7B7C6E23" w:rsidR="000D53DF" w:rsidRDefault="000D53DF">
      <w:pPr>
        <w:rPr>
          <w:bCs/>
          <w:szCs w:val="22"/>
        </w:rPr>
      </w:pPr>
    </w:p>
    <w:p w14:paraId="6F9A3F68" w14:textId="630552B5" w:rsidR="000D53DF" w:rsidRPr="000D53DF" w:rsidRDefault="000D53DF">
      <w:pPr>
        <w:rPr>
          <w:bCs/>
          <w:noProof/>
          <w:szCs w:val="22"/>
          <w:bdr w:val="single" w:sz="8" w:space="0" w:color="auto" w:shadow="1"/>
        </w:rPr>
      </w:pPr>
      <w:r w:rsidRPr="000D53DF">
        <w:rPr>
          <w:bCs/>
          <w:noProof/>
          <w:szCs w:val="22"/>
          <w:bdr w:val="single" w:sz="8" w:space="0" w:color="auto" w:shadow="1"/>
        </w:rPr>
        <w:drawing>
          <wp:inline distT="0" distB="0" distL="0" distR="0" wp14:anchorId="5AC30C16" wp14:editId="29815E24">
            <wp:extent cx="6400800" cy="8096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09625"/>
                    </a:xfrm>
                    <a:prstGeom prst="rect">
                      <a:avLst/>
                    </a:prstGeom>
                    <a:noFill/>
                    <a:ln>
                      <a:noFill/>
                    </a:ln>
                  </pic:spPr>
                </pic:pic>
              </a:graphicData>
            </a:graphic>
          </wp:inline>
        </w:drawing>
      </w:r>
    </w:p>
    <w:p w14:paraId="7F867C0D" w14:textId="0B007DD2" w:rsidR="00E47099" w:rsidRDefault="00E47099">
      <w:pPr>
        <w:rPr>
          <w:bCs/>
          <w:szCs w:val="22"/>
        </w:rPr>
      </w:pPr>
    </w:p>
    <w:p w14:paraId="2CE79A03" w14:textId="031B16E9" w:rsidR="000D53DF" w:rsidRDefault="000D53DF">
      <w:pPr>
        <w:rPr>
          <w:bCs/>
          <w:szCs w:val="22"/>
        </w:rPr>
      </w:pPr>
      <w:r>
        <w:rPr>
          <w:bCs/>
          <w:szCs w:val="22"/>
        </w:rPr>
        <w:lastRenderedPageBreak/>
        <w:t xml:space="preserve">That an MSDU, A-MSDU, or A-MPDU can be carried in an A-MPDU </w:t>
      </w:r>
      <w:r w:rsidR="00901460">
        <w:rPr>
          <w:bCs/>
          <w:szCs w:val="22"/>
        </w:rPr>
        <w:t xml:space="preserve">follows from the </w:t>
      </w:r>
      <w:r w:rsidR="00F5222C">
        <w:rPr>
          <w:bCs/>
          <w:szCs w:val="22"/>
        </w:rPr>
        <w:t>rule that an A-MPDU consists of a sequence of A-MPDU subframes that contain an MPDU or a sequence of MPDUs (in the DMG case).  So, anything that can be in an MPDU can be in an A-MPDU, and thus this derives from the above.</w:t>
      </w:r>
    </w:p>
    <w:p w14:paraId="7412B76E" w14:textId="0D13EEB3" w:rsidR="000D53DF" w:rsidRDefault="000D53DF">
      <w:pPr>
        <w:rPr>
          <w:bCs/>
          <w:szCs w:val="22"/>
        </w:rPr>
      </w:pPr>
    </w:p>
    <w:p w14:paraId="50B906B1" w14:textId="71103667" w:rsidR="000D53DF" w:rsidRDefault="00F5222C">
      <w:pPr>
        <w:rPr>
          <w:bCs/>
          <w:szCs w:val="22"/>
        </w:rPr>
      </w:pPr>
      <w:r>
        <w:rPr>
          <w:bCs/>
          <w:szCs w:val="22"/>
        </w:rPr>
        <w:t>So, these are all stated in normative text elsewhere.</w:t>
      </w:r>
    </w:p>
    <w:p w14:paraId="48254C4A" w14:textId="77777777" w:rsidR="000D53DF" w:rsidRDefault="000D53DF">
      <w:pPr>
        <w:rPr>
          <w:bCs/>
          <w:szCs w:val="22"/>
        </w:rPr>
      </w:pPr>
    </w:p>
    <w:p w14:paraId="5918A627" w14:textId="4E1CAE96" w:rsidR="00E47099" w:rsidRDefault="00E47099">
      <w:pPr>
        <w:rPr>
          <w:bCs/>
          <w:szCs w:val="22"/>
        </w:rPr>
      </w:pPr>
      <w:r w:rsidRPr="000D098E">
        <w:rPr>
          <w:bCs/>
          <w:szCs w:val="22"/>
          <w:highlight w:val="yellow"/>
          <w:u w:val="single"/>
        </w:rPr>
        <w:t>Proposed Resolution:</w:t>
      </w:r>
    </w:p>
    <w:p w14:paraId="3D6292A6" w14:textId="09A0C233" w:rsidR="00E47099" w:rsidRDefault="00E47099">
      <w:pPr>
        <w:rPr>
          <w:bCs/>
          <w:szCs w:val="22"/>
        </w:rPr>
      </w:pPr>
    </w:p>
    <w:p w14:paraId="1A9B9D65" w14:textId="77777777" w:rsidR="00E47099" w:rsidRDefault="00E47099">
      <w:pPr>
        <w:rPr>
          <w:bCs/>
          <w:szCs w:val="22"/>
        </w:rPr>
      </w:pPr>
      <w:r>
        <w:rPr>
          <w:bCs/>
          <w:szCs w:val="22"/>
        </w:rPr>
        <w:t>Revised.</w:t>
      </w:r>
    </w:p>
    <w:p w14:paraId="00E5BC78" w14:textId="77777777" w:rsidR="00E47099" w:rsidRDefault="00E47099">
      <w:pPr>
        <w:rPr>
          <w:bCs/>
          <w:szCs w:val="22"/>
        </w:rPr>
      </w:pPr>
    </w:p>
    <w:p w14:paraId="7746D479" w14:textId="6486CF7B" w:rsidR="00E47099" w:rsidRPr="00E47099" w:rsidRDefault="00F5222C">
      <w:pPr>
        <w:rPr>
          <w:bCs/>
          <w:szCs w:val="22"/>
        </w:rPr>
      </w:pPr>
      <w:r>
        <w:rPr>
          <w:bCs/>
          <w:szCs w:val="22"/>
        </w:rPr>
        <w:t>After the first sentence of the NOTE at P187.37, d</w:t>
      </w:r>
      <w:r>
        <w:rPr>
          <w:bCs/>
          <w:szCs w:val="22"/>
        </w:rPr>
        <w:t>elete the rest of the NOTE</w:t>
      </w:r>
      <w:r>
        <w:rPr>
          <w:bCs/>
          <w:szCs w:val="22"/>
        </w:rPr>
        <w:t>.</w:t>
      </w:r>
    </w:p>
    <w:p w14:paraId="155706B2" w14:textId="77777777" w:rsidR="00E47099" w:rsidRPr="00E47099" w:rsidRDefault="00E47099">
      <w:pPr>
        <w:rPr>
          <w:bCs/>
          <w:szCs w:val="22"/>
        </w:rPr>
      </w:pPr>
    </w:p>
    <w:p w14:paraId="463E7B9F" w14:textId="77777777" w:rsidR="000D098E" w:rsidRDefault="00E47099">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D098E" w14:paraId="5948E550"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66196B23" w14:textId="77777777" w:rsidR="000D098E" w:rsidRDefault="000D098E"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82FF886" w14:textId="77777777" w:rsidR="000D098E" w:rsidRDefault="000D098E"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35E3293" w14:textId="77777777" w:rsidR="000D098E" w:rsidRDefault="000D098E"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C72205" w14:textId="77777777" w:rsidR="000D098E" w:rsidRDefault="000D098E"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570F3E2" w14:textId="77777777" w:rsidR="000D098E" w:rsidRDefault="000D098E"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0D098E" w:rsidRPr="00DE7477" w14:paraId="142BA7B6" w14:textId="77777777" w:rsidTr="003C15FC">
        <w:trPr>
          <w:trHeight w:val="765"/>
        </w:trPr>
        <w:tc>
          <w:tcPr>
            <w:tcW w:w="738" w:type="dxa"/>
          </w:tcPr>
          <w:p w14:paraId="5C922173" w14:textId="77777777" w:rsidR="000D098E" w:rsidRDefault="000D098E"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4419</w:t>
            </w:r>
          </w:p>
        </w:tc>
        <w:tc>
          <w:tcPr>
            <w:tcW w:w="990" w:type="dxa"/>
          </w:tcPr>
          <w:p w14:paraId="6D1A2E7D" w14:textId="77777777" w:rsidR="000D098E" w:rsidRDefault="000D098E"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165.21</w:t>
            </w:r>
          </w:p>
        </w:tc>
        <w:tc>
          <w:tcPr>
            <w:tcW w:w="1080" w:type="dxa"/>
          </w:tcPr>
          <w:p w14:paraId="207658F7" w14:textId="77777777" w:rsidR="000D098E" w:rsidRDefault="000D098E" w:rsidP="003C15FC">
            <w:pPr>
              <w:rPr>
                <w:rFonts w:ascii="Arial" w:eastAsia="Times New Roman" w:hAnsi="Arial" w:cs="Arial"/>
                <w:color w:val="000000"/>
                <w:sz w:val="20"/>
                <w:lang w:val="en-US"/>
              </w:rPr>
            </w:pPr>
            <w:r>
              <w:rPr>
                <w:rFonts w:ascii="Arial" w:eastAsia="Times New Roman" w:hAnsi="Arial" w:cs="Arial"/>
                <w:color w:val="000000"/>
                <w:sz w:val="20"/>
                <w:lang w:val="en-US"/>
              </w:rPr>
              <w:t>3.1</w:t>
            </w:r>
          </w:p>
        </w:tc>
        <w:tc>
          <w:tcPr>
            <w:tcW w:w="3600" w:type="dxa"/>
          </w:tcPr>
          <w:p w14:paraId="773FB067" w14:textId="77777777" w:rsidR="000D098E" w:rsidRPr="00421B3E" w:rsidRDefault="000D098E" w:rsidP="003C15FC">
            <w:pPr>
              <w:rPr>
                <w:rFonts w:ascii="Arial" w:eastAsia="Times New Roman" w:hAnsi="Arial" w:cs="Arial"/>
                <w:color w:val="000000"/>
                <w:sz w:val="20"/>
                <w:lang w:val="en-US"/>
              </w:rPr>
            </w:pPr>
            <w:r w:rsidRPr="00503BFC">
              <w:rPr>
                <w:rFonts w:ascii="Arial" w:eastAsia="Times New Roman" w:hAnsi="Arial" w:cs="Arial"/>
                <w:color w:val="000000"/>
                <w:sz w:val="20"/>
                <w:lang w:val="en-US"/>
              </w:rPr>
              <w:t>(CID 2488 follow-up) The "mesh STA" definition suggests a STA that implements mesh but is currently operating in an IBSS or infrastructure BSS or PBSS is a "mesh STA".  I suspect that's not how "mesh STA" is actually used; rather, it's actually used to mean "is starting/joining or has started/joined an MBSS".  However, 4.3.21.4 says "Accordingly, a mesh STA is not a member of an IBSS or an infrastructure BSS.", which prima facie contradicts the definition</w:t>
            </w:r>
          </w:p>
        </w:tc>
        <w:tc>
          <w:tcPr>
            <w:tcW w:w="3600" w:type="dxa"/>
          </w:tcPr>
          <w:p w14:paraId="615F53DB" w14:textId="77777777" w:rsidR="000D098E" w:rsidRDefault="000D098E" w:rsidP="003C15FC">
            <w:pPr>
              <w:rPr>
                <w:rFonts w:ascii="Arial" w:eastAsia="Times New Roman" w:hAnsi="Arial" w:cs="Arial"/>
                <w:color w:val="000000"/>
                <w:sz w:val="20"/>
                <w:lang w:val="en-US"/>
              </w:rPr>
            </w:pPr>
            <w:r w:rsidRPr="00503BFC">
              <w:rPr>
                <w:rFonts w:ascii="Arial" w:eastAsia="Times New Roman" w:hAnsi="Arial" w:cs="Arial"/>
                <w:color w:val="000000"/>
                <w:sz w:val="20"/>
                <w:lang w:val="en-US"/>
              </w:rPr>
              <w:t>Change the definition of mesh STA to "A quality-of-service (QoS) STA that is starting or joining, or has started or joined, a mesh  basic  service  set (MBSS)."</w:t>
            </w:r>
          </w:p>
          <w:p w14:paraId="14FEF5E2" w14:textId="3EF3FEF7" w:rsidR="000D098E" w:rsidRPr="00421B3E" w:rsidRDefault="000D098E" w:rsidP="003C15FC">
            <w:pPr>
              <w:rPr>
                <w:rFonts w:ascii="Arial" w:eastAsia="Times New Roman" w:hAnsi="Arial" w:cs="Arial"/>
                <w:color w:val="000000"/>
                <w:sz w:val="20"/>
                <w:lang w:val="en-US"/>
              </w:rPr>
            </w:pPr>
          </w:p>
        </w:tc>
      </w:tr>
    </w:tbl>
    <w:p w14:paraId="45464926" w14:textId="69CDA4F7" w:rsidR="00E47099" w:rsidRDefault="00E47099">
      <w:pPr>
        <w:rPr>
          <w:bCs/>
          <w:szCs w:val="22"/>
        </w:rPr>
      </w:pPr>
    </w:p>
    <w:p w14:paraId="113E8C3F" w14:textId="62F6C501" w:rsidR="000D098E" w:rsidRDefault="000D098E">
      <w:pPr>
        <w:rPr>
          <w:bCs/>
          <w:szCs w:val="22"/>
        </w:rPr>
      </w:pPr>
      <w:r>
        <w:rPr>
          <w:bCs/>
          <w:szCs w:val="22"/>
          <w:u w:val="single"/>
        </w:rPr>
        <w:t>Discussion:</w:t>
      </w:r>
    </w:p>
    <w:p w14:paraId="2FF093E7" w14:textId="06E8A6B0" w:rsidR="000D098E" w:rsidRDefault="000D098E">
      <w:pPr>
        <w:rPr>
          <w:bCs/>
          <w:szCs w:val="22"/>
        </w:rPr>
      </w:pPr>
    </w:p>
    <w:p w14:paraId="264F6F21" w14:textId="516377A8" w:rsidR="00C026E0" w:rsidRPr="00C026E0" w:rsidRDefault="00C026E0">
      <w:pPr>
        <w:rPr>
          <w:bCs/>
          <w:noProof/>
          <w:szCs w:val="22"/>
          <w:bdr w:val="single" w:sz="8" w:space="0" w:color="auto" w:shadow="1"/>
        </w:rPr>
      </w:pPr>
      <w:r w:rsidRPr="00C026E0">
        <w:rPr>
          <w:bCs/>
          <w:noProof/>
          <w:szCs w:val="22"/>
          <w:bdr w:val="single" w:sz="8" w:space="0" w:color="auto" w:shadow="1"/>
        </w:rPr>
        <w:drawing>
          <wp:inline distT="0" distB="0" distL="0" distR="0" wp14:anchorId="1BF0817A" wp14:editId="7CBF4914">
            <wp:extent cx="6400800" cy="32385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97EFD18" w14:textId="77777777" w:rsidR="00C026E0" w:rsidRDefault="00C026E0">
      <w:pPr>
        <w:rPr>
          <w:bCs/>
          <w:szCs w:val="22"/>
        </w:rPr>
      </w:pPr>
    </w:p>
    <w:p w14:paraId="5EF3A66E" w14:textId="5EF1E54D" w:rsidR="000D098E" w:rsidRDefault="000D098E" w:rsidP="000D098E">
      <w:pPr>
        <w:rPr>
          <w:rFonts w:ascii="Arial" w:eastAsia="Times New Roman" w:hAnsi="Arial" w:cs="Arial"/>
          <w:color w:val="000000"/>
          <w:sz w:val="20"/>
          <w:lang w:val="en-US"/>
        </w:rPr>
      </w:pPr>
      <w:r>
        <w:rPr>
          <w:rFonts w:ascii="Arial" w:eastAsia="Times New Roman" w:hAnsi="Arial" w:cs="Arial"/>
          <w:color w:val="000000"/>
          <w:sz w:val="20"/>
          <w:lang w:val="en-US"/>
        </w:rPr>
        <w:t>Ad hoc notes</w:t>
      </w:r>
      <w:r w:rsidR="00C026E0">
        <w:rPr>
          <w:rFonts w:ascii="Arial" w:eastAsia="Times New Roman" w:hAnsi="Arial" w:cs="Arial"/>
          <w:color w:val="000000"/>
          <w:sz w:val="20"/>
          <w:lang w:val="en-US"/>
        </w:rPr>
        <w:t xml:space="preserve"> (from database, from teleconferences)</w:t>
      </w:r>
      <w:r>
        <w:rPr>
          <w:rFonts w:ascii="Arial" w:eastAsia="Times New Roman" w:hAnsi="Arial" w:cs="Arial"/>
          <w:color w:val="000000"/>
          <w:sz w:val="20"/>
          <w:lang w:val="en-US"/>
        </w:rPr>
        <w:t>:</w:t>
      </w:r>
    </w:p>
    <w:p w14:paraId="76EF7525" w14:textId="77777777" w:rsidR="000D098E" w:rsidRDefault="000D098E" w:rsidP="000D098E">
      <w:pPr>
        <w:rPr>
          <w:rFonts w:ascii="Arial" w:eastAsia="Times New Roman" w:hAnsi="Arial" w:cs="Arial"/>
          <w:color w:val="000000"/>
          <w:sz w:val="20"/>
          <w:lang w:val="en-US"/>
        </w:rPr>
      </w:pPr>
    </w:p>
    <w:p w14:paraId="4444BE2D" w14:textId="779934B7" w:rsidR="000D098E" w:rsidRPr="000D098E" w:rsidRDefault="000D098E" w:rsidP="000D098E">
      <w:pPr>
        <w:pStyle w:val="ListParagraph"/>
        <w:numPr>
          <w:ilvl w:val="0"/>
          <w:numId w:val="50"/>
        </w:numPr>
        <w:rPr>
          <w:rFonts w:ascii="Arial" w:eastAsia="Times New Roman" w:hAnsi="Arial" w:cs="Arial"/>
          <w:color w:val="000000"/>
          <w:sz w:val="20"/>
          <w:lang w:val="en-US"/>
        </w:rPr>
      </w:pPr>
      <w:r w:rsidRPr="000D098E">
        <w:rPr>
          <w:rFonts w:ascii="Arial" w:eastAsia="Times New Roman" w:hAnsi="Arial" w:cs="Arial"/>
          <w:color w:val="000000"/>
          <w:sz w:val="20"/>
          <w:lang w:val="en-US"/>
        </w:rPr>
        <w:t>GEN: 2020-04-29 21:48:37Z - status set to: Submission Required - Mark Hamilton will bring proposed reso</w:t>
      </w:r>
      <w:r>
        <w:rPr>
          <w:rFonts w:ascii="Arial" w:eastAsia="Times New Roman" w:hAnsi="Arial" w:cs="Arial"/>
          <w:color w:val="000000"/>
          <w:sz w:val="20"/>
          <w:lang w:val="en-US"/>
        </w:rPr>
        <w:t>l</w:t>
      </w:r>
      <w:r w:rsidRPr="000D098E">
        <w:rPr>
          <w:rFonts w:ascii="Arial" w:eastAsia="Times New Roman" w:hAnsi="Arial" w:cs="Arial"/>
          <w:color w:val="000000"/>
          <w:sz w:val="20"/>
          <w:lang w:val="en-US"/>
        </w:rPr>
        <w:t>ution or rejection words.</w:t>
      </w:r>
    </w:p>
    <w:p w14:paraId="1C4093A0" w14:textId="07378295" w:rsidR="000D098E" w:rsidRPr="000D098E" w:rsidRDefault="000D098E" w:rsidP="000D098E">
      <w:pPr>
        <w:pStyle w:val="ListParagraph"/>
        <w:numPr>
          <w:ilvl w:val="0"/>
          <w:numId w:val="50"/>
        </w:numPr>
        <w:rPr>
          <w:rFonts w:ascii="Arial" w:eastAsia="Times New Roman" w:hAnsi="Arial" w:cs="Arial"/>
          <w:color w:val="000000"/>
          <w:sz w:val="20"/>
          <w:lang w:val="en-US"/>
        </w:rPr>
      </w:pPr>
      <w:r w:rsidRPr="000D098E">
        <w:rPr>
          <w:rFonts w:ascii="Arial" w:eastAsia="Times New Roman" w:hAnsi="Arial" w:cs="Arial"/>
          <w:color w:val="000000"/>
          <w:sz w:val="20"/>
          <w:lang w:val="en-US"/>
        </w:rPr>
        <w:t>GEN: 2020-04-29 21:44:47Z - discussion: We chose to think of an instance of a STA as the current state, configuration, etc. of the implementation.  If the STA "stops" and "restarts" with a differ</w:t>
      </w:r>
      <w:r>
        <w:rPr>
          <w:rFonts w:ascii="Arial" w:eastAsia="Times New Roman" w:hAnsi="Arial" w:cs="Arial"/>
          <w:color w:val="000000"/>
          <w:sz w:val="20"/>
          <w:lang w:val="en-US"/>
        </w:rPr>
        <w:t>e</w:t>
      </w:r>
      <w:r w:rsidRPr="000D098E">
        <w:rPr>
          <w:rFonts w:ascii="Arial" w:eastAsia="Times New Roman" w:hAnsi="Arial" w:cs="Arial"/>
          <w:color w:val="000000"/>
          <w:sz w:val="20"/>
          <w:lang w:val="en-US"/>
        </w:rPr>
        <w:t>nt set of capabilities, configuration, etc., that is a new instance (by our convention).  It is the instance that "implements" something - not the image on disk/ROM/etc.</w:t>
      </w:r>
    </w:p>
    <w:p w14:paraId="746C1B57" w14:textId="77777777" w:rsidR="000D098E" w:rsidRPr="00503BFC" w:rsidRDefault="000D098E" w:rsidP="000D098E">
      <w:pPr>
        <w:rPr>
          <w:rFonts w:ascii="Arial" w:eastAsia="Times New Roman" w:hAnsi="Arial" w:cs="Arial"/>
          <w:color w:val="000000"/>
          <w:sz w:val="20"/>
          <w:lang w:val="en-US"/>
        </w:rPr>
      </w:pPr>
    </w:p>
    <w:p w14:paraId="7261DDFA" w14:textId="77777777" w:rsidR="000D098E" w:rsidRPr="000D098E" w:rsidRDefault="000D098E" w:rsidP="000D098E">
      <w:pPr>
        <w:pStyle w:val="ListParagraph"/>
        <w:numPr>
          <w:ilvl w:val="0"/>
          <w:numId w:val="50"/>
        </w:numPr>
        <w:rPr>
          <w:rFonts w:ascii="Arial" w:eastAsia="Times New Roman" w:hAnsi="Arial" w:cs="Arial"/>
          <w:color w:val="000000"/>
          <w:sz w:val="20"/>
          <w:lang w:val="en-US"/>
        </w:rPr>
      </w:pPr>
      <w:r w:rsidRPr="000D098E">
        <w:rPr>
          <w:rFonts w:ascii="Arial" w:eastAsia="Times New Roman" w:hAnsi="Arial" w:cs="Arial"/>
          <w:color w:val="000000"/>
          <w:sz w:val="20"/>
          <w:lang w:val="en-US"/>
        </w:rPr>
        <w:t>Proposed rejection #2: The CID was discussed at length and no consensus was determined.</w:t>
      </w:r>
    </w:p>
    <w:p w14:paraId="2F8DA5F3" w14:textId="77777777" w:rsidR="000D098E" w:rsidRPr="00503BFC" w:rsidRDefault="000D098E" w:rsidP="000D098E">
      <w:pPr>
        <w:rPr>
          <w:rFonts w:ascii="Arial" w:eastAsia="Times New Roman" w:hAnsi="Arial" w:cs="Arial"/>
          <w:color w:val="000000"/>
          <w:sz w:val="20"/>
          <w:lang w:val="en-US"/>
        </w:rPr>
      </w:pPr>
    </w:p>
    <w:p w14:paraId="682424EE" w14:textId="77777777" w:rsidR="000D098E" w:rsidRPr="000D098E" w:rsidRDefault="000D098E" w:rsidP="000D098E">
      <w:pPr>
        <w:pStyle w:val="ListParagraph"/>
        <w:numPr>
          <w:ilvl w:val="0"/>
          <w:numId w:val="50"/>
        </w:numPr>
        <w:rPr>
          <w:rFonts w:ascii="Arial" w:eastAsia="Times New Roman" w:hAnsi="Arial" w:cs="Arial"/>
          <w:color w:val="000000"/>
          <w:sz w:val="20"/>
          <w:lang w:val="en-US"/>
        </w:rPr>
      </w:pPr>
      <w:r w:rsidRPr="000D098E">
        <w:rPr>
          <w:rFonts w:ascii="Arial" w:eastAsia="Times New Roman" w:hAnsi="Arial" w:cs="Arial"/>
          <w:color w:val="000000"/>
          <w:sz w:val="20"/>
          <w:lang w:val="en-US"/>
        </w:rPr>
        <w:t xml:space="preserve">GEN: 2020-04-24 14:41:10Z - Proposed Rejection </w:t>
      </w:r>
    </w:p>
    <w:p w14:paraId="4DA9AD81" w14:textId="77777777" w:rsidR="000D098E" w:rsidRPr="000D098E" w:rsidRDefault="000D098E" w:rsidP="000D098E">
      <w:pPr>
        <w:pStyle w:val="ListParagraph"/>
        <w:numPr>
          <w:ilvl w:val="0"/>
          <w:numId w:val="50"/>
        </w:numPr>
        <w:rPr>
          <w:rFonts w:ascii="Arial" w:eastAsia="Times New Roman" w:hAnsi="Arial" w:cs="Arial"/>
          <w:color w:val="000000"/>
          <w:sz w:val="20"/>
          <w:lang w:val="en-US"/>
        </w:rPr>
      </w:pPr>
      <w:r w:rsidRPr="000D098E">
        <w:rPr>
          <w:rFonts w:ascii="Arial" w:eastAsia="Times New Roman" w:hAnsi="Arial" w:cs="Arial"/>
          <w:color w:val="000000"/>
          <w:sz w:val="20"/>
          <w:lang w:val="en-US"/>
        </w:rPr>
        <w:t>Proposed Resolution: Reject; A Mesh STA is a Mesh STA even before it starts or join. A Mesh STA can</w:t>
      </w:r>
    </w:p>
    <w:p w14:paraId="01720F0D" w14:textId="77777777" w:rsidR="000D098E" w:rsidRPr="000D098E" w:rsidRDefault="000D098E" w:rsidP="000D098E">
      <w:pPr>
        <w:pStyle w:val="ListParagraph"/>
        <w:numPr>
          <w:ilvl w:val="0"/>
          <w:numId w:val="50"/>
        </w:numPr>
        <w:rPr>
          <w:rFonts w:ascii="Arial" w:eastAsia="Times New Roman" w:hAnsi="Arial" w:cs="Arial"/>
          <w:color w:val="000000"/>
          <w:sz w:val="20"/>
          <w:lang w:val="en-US"/>
        </w:rPr>
      </w:pPr>
      <w:r w:rsidRPr="000D098E">
        <w:rPr>
          <w:rFonts w:ascii="Arial" w:eastAsia="Times New Roman" w:hAnsi="Arial" w:cs="Arial"/>
          <w:color w:val="000000"/>
          <w:sz w:val="20"/>
          <w:lang w:val="en-US"/>
        </w:rPr>
        <w:t>start discovery procedures. There is a general convention to describe a STA that implements or</w:t>
      </w:r>
    </w:p>
    <w:p w14:paraId="0FB80964" w14:textId="77777777" w:rsidR="000D098E" w:rsidRPr="000D098E" w:rsidRDefault="000D098E" w:rsidP="000D098E">
      <w:pPr>
        <w:pStyle w:val="ListParagraph"/>
        <w:numPr>
          <w:ilvl w:val="0"/>
          <w:numId w:val="50"/>
        </w:numPr>
        <w:rPr>
          <w:rFonts w:ascii="Arial" w:eastAsia="Times New Roman" w:hAnsi="Arial" w:cs="Arial"/>
          <w:color w:val="000000"/>
          <w:sz w:val="20"/>
          <w:lang w:val="en-US"/>
        </w:rPr>
      </w:pPr>
      <w:r w:rsidRPr="000D098E">
        <w:rPr>
          <w:rFonts w:ascii="Arial" w:eastAsia="Times New Roman" w:hAnsi="Arial" w:cs="Arial"/>
          <w:color w:val="000000"/>
          <w:sz w:val="20"/>
          <w:lang w:val="en-US"/>
        </w:rPr>
        <w:t>activates. The wording of this definition is consistent with other STA definitions.</w:t>
      </w:r>
    </w:p>
    <w:p w14:paraId="224D067E" w14:textId="77777777" w:rsidR="000D098E" w:rsidRPr="00503BFC" w:rsidRDefault="000D098E" w:rsidP="000D098E">
      <w:pPr>
        <w:rPr>
          <w:rFonts w:ascii="Arial" w:eastAsia="Times New Roman" w:hAnsi="Arial" w:cs="Arial"/>
          <w:color w:val="000000"/>
          <w:sz w:val="20"/>
          <w:lang w:val="en-US"/>
        </w:rPr>
      </w:pPr>
    </w:p>
    <w:p w14:paraId="7FFEC17C" w14:textId="77777777" w:rsidR="000D098E" w:rsidRPr="000D098E" w:rsidRDefault="000D098E" w:rsidP="000D098E">
      <w:pPr>
        <w:pStyle w:val="ListParagraph"/>
        <w:numPr>
          <w:ilvl w:val="0"/>
          <w:numId w:val="50"/>
        </w:numPr>
        <w:rPr>
          <w:rFonts w:ascii="Arial" w:eastAsia="Times New Roman" w:hAnsi="Arial" w:cs="Arial"/>
          <w:color w:val="000000"/>
          <w:sz w:val="20"/>
          <w:lang w:val="en-US"/>
        </w:rPr>
      </w:pPr>
      <w:r w:rsidRPr="000D098E">
        <w:rPr>
          <w:rFonts w:ascii="Arial" w:eastAsia="Times New Roman" w:hAnsi="Arial" w:cs="Arial"/>
          <w:color w:val="000000"/>
          <w:sz w:val="20"/>
          <w:lang w:val="en-US"/>
        </w:rPr>
        <w:t>GEN: 2020-04-15 22:01:54Z - more discussion needed.</w:t>
      </w:r>
    </w:p>
    <w:p w14:paraId="6B51B2F5" w14:textId="77777777" w:rsidR="000D098E" w:rsidRPr="000D098E" w:rsidRDefault="000D098E" w:rsidP="000D098E">
      <w:pPr>
        <w:pStyle w:val="ListParagraph"/>
        <w:numPr>
          <w:ilvl w:val="0"/>
          <w:numId w:val="50"/>
        </w:numPr>
        <w:rPr>
          <w:rFonts w:ascii="Arial" w:eastAsia="Times New Roman" w:hAnsi="Arial" w:cs="Arial"/>
          <w:color w:val="000000"/>
          <w:sz w:val="20"/>
          <w:lang w:val="en-US"/>
        </w:rPr>
      </w:pPr>
      <w:r w:rsidRPr="000D098E">
        <w:rPr>
          <w:rFonts w:ascii="Arial" w:eastAsia="Times New Roman" w:hAnsi="Arial" w:cs="Arial"/>
          <w:color w:val="000000"/>
          <w:sz w:val="20"/>
          <w:lang w:val="en-US"/>
        </w:rPr>
        <w:t>GEN: 2020-03-29 02:17:49Z - status set to: Review</w:t>
      </w:r>
    </w:p>
    <w:p w14:paraId="709CD6C3" w14:textId="4B883F39" w:rsidR="000D098E" w:rsidRPr="000D098E" w:rsidRDefault="000D098E" w:rsidP="000D098E">
      <w:pPr>
        <w:pStyle w:val="ListParagraph"/>
        <w:numPr>
          <w:ilvl w:val="0"/>
          <w:numId w:val="50"/>
        </w:numPr>
        <w:rPr>
          <w:bCs/>
          <w:szCs w:val="22"/>
        </w:rPr>
      </w:pPr>
      <w:r w:rsidRPr="000D098E">
        <w:rPr>
          <w:rFonts w:ascii="Arial" w:eastAsia="Times New Roman" w:hAnsi="Arial" w:cs="Arial"/>
          <w:color w:val="000000"/>
          <w:sz w:val="20"/>
          <w:lang w:val="en-US"/>
        </w:rPr>
        <w:t>Proposed reso</w:t>
      </w:r>
      <w:r>
        <w:rPr>
          <w:rFonts w:ascii="Arial" w:eastAsia="Times New Roman" w:hAnsi="Arial" w:cs="Arial"/>
          <w:color w:val="000000"/>
          <w:sz w:val="20"/>
          <w:lang w:val="en-US"/>
        </w:rPr>
        <w:t>l</w:t>
      </w:r>
      <w:r w:rsidRPr="000D098E">
        <w:rPr>
          <w:rFonts w:ascii="Arial" w:eastAsia="Times New Roman" w:hAnsi="Arial" w:cs="Arial"/>
          <w:color w:val="000000"/>
          <w:sz w:val="20"/>
          <w:lang w:val="en-US"/>
        </w:rPr>
        <w:t>ution: Accept</w:t>
      </w:r>
    </w:p>
    <w:p w14:paraId="1D450F70" w14:textId="44EE5987" w:rsidR="000D098E" w:rsidRDefault="000D098E">
      <w:pPr>
        <w:rPr>
          <w:bCs/>
          <w:szCs w:val="22"/>
        </w:rPr>
      </w:pPr>
    </w:p>
    <w:p w14:paraId="06ED787F" w14:textId="1666D093" w:rsidR="000D098E" w:rsidRDefault="000D098E">
      <w:pPr>
        <w:rPr>
          <w:bCs/>
          <w:szCs w:val="22"/>
        </w:rPr>
      </w:pPr>
      <w:r>
        <w:rPr>
          <w:bCs/>
          <w:szCs w:val="22"/>
        </w:rPr>
        <w:t>The definition of STA (station) is:</w:t>
      </w:r>
    </w:p>
    <w:p w14:paraId="015C4231" w14:textId="4B63FA69" w:rsidR="000D098E" w:rsidRDefault="000D098E">
      <w:pPr>
        <w:rPr>
          <w:bCs/>
          <w:szCs w:val="22"/>
        </w:rPr>
      </w:pPr>
    </w:p>
    <w:p w14:paraId="558A7938" w14:textId="14DBB5B5" w:rsidR="000D098E" w:rsidRPr="000D098E" w:rsidRDefault="000D098E">
      <w:pPr>
        <w:rPr>
          <w:bCs/>
          <w:noProof/>
          <w:szCs w:val="22"/>
          <w:bdr w:val="single" w:sz="8" w:space="0" w:color="auto" w:shadow="1"/>
        </w:rPr>
      </w:pPr>
      <w:r w:rsidRPr="000D098E">
        <w:rPr>
          <w:bCs/>
          <w:noProof/>
          <w:szCs w:val="22"/>
          <w:bdr w:val="single" w:sz="8" w:space="0" w:color="auto" w:shadow="1"/>
        </w:rPr>
        <w:drawing>
          <wp:inline distT="0" distB="0" distL="0" distR="0" wp14:anchorId="24F2F41B" wp14:editId="43B83B87">
            <wp:extent cx="6400800" cy="4762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76250"/>
                    </a:xfrm>
                    <a:prstGeom prst="rect">
                      <a:avLst/>
                    </a:prstGeom>
                    <a:noFill/>
                    <a:ln>
                      <a:noFill/>
                    </a:ln>
                  </pic:spPr>
                </pic:pic>
              </a:graphicData>
            </a:graphic>
          </wp:inline>
        </w:drawing>
      </w:r>
    </w:p>
    <w:p w14:paraId="4BD68CE3" w14:textId="0374A92C" w:rsidR="000D098E" w:rsidRDefault="000D098E">
      <w:pPr>
        <w:rPr>
          <w:bCs/>
          <w:szCs w:val="22"/>
        </w:rPr>
      </w:pPr>
    </w:p>
    <w:p w14:paraId="2D8AB302" w14:textId="32014122" w:rsidR="000D098E" w:rsidRDefault="000D098E">
      <w:pPr>
        <w:rPr>
          <w:bCs/>
          <w:szCs w:val="22"/>
        </w:rPr>
      </w:pPr>
      <w:r>
        <w:rPr>
          <w:bCs/>
          <w:szCs w:val="22"/>
        </w:rPr>
        <w:t>It should be especially noted that this definition focuses on the concept of an _instance_ of the MAC/PHY.  Our convention has been to interpret this to mean a particular configuration of an implementation, as it has been instantiated.  That is, some implementations that can support many different configurations is anticipated, but a given instance of such an implementation will have a set of capabilities configured which are self-consistent.  For example, a given STA instance cannot be both an AP and a non-AP STA at the same time.</w:t>
      </w:r>
    </w:p>
    <w:p w14:paraId="752C8586" w14:textId="480B4D28" w:rsidR="000D098E" w:rsidRDefault="000D098E">
      <w:pPr>
        <w:rPr>
          <w:bCs/>
          <w:szCs w:val="22"/>
        </w:rPr>
      </w:pPr>
    </w:p>
    <w:p w14:paraId="749BCB86" w14:textId="76B00C03" w:rsidR="000D098E" w:rsidRDefault="000D098E">
      <w:pPr>
        <w:rPr>
          <w:bCs/>
          <w:szCs w:val="22"/>
        </w:rPr>
      </w:pPr>
      <w:r>
        <w:rPr>
          <w:bCs/>
          <w:szCs w:val="22"/>
        </w:rPr>
        <w:t xml:space="preserve">Similarly, a given STA instance either is </w:t>
      </w:r>
      <w:r w:rsidR="00C026E0">
        <w:rPr>
          <w:bCs/>
          <w:szCs w:val="22"/>
        </w:rPr>
        <w:t>configured to operate as a mesh STA or not, but cannot be both mesh and some other STA that could join an IBSS or infrastructure BSS.</w:t>
      </w:r>
    </w:p>
    <w:p w14:paraId="5AC9C5A0" w14:textId="09AF72C1" w:rsidR="00C026E0" w:rsidRDefault="00C026E0">
      <w:pPr>
        <w:rPr>
          <w:bCs/>
          <w:szCs w:val="22"/>
        </w:rPr>
      </w:pPr>
    </w:p>
    <w:p w14:paraId="2AD2119C" w14:textId="08CA03C3" w:rsidR="00C026E0" w:rsidRDefault="00C026E0">
      <w:pPr>
        <w:rPr>
          <w:bCs/>
          <w:szCs w:val="22"/>
        </w:rPr>
      </w:pPr>
      <w:r w:rsidRPr="00C026E0">
        <w:rPr>
          <w:bCs/>
          <w:szCs w:val="22"/>
          <w:highlight w:val="yellow"/>
          <w:u w:val="single"/>
        </w:rPr>
        <w:t>Proposed Resolution:</w:t>
      </w:r>
    </w:p>
    <w:p w14:paraId="29C96B13" w14:textId="2F1D938A" w:rsidR="00C026E0" w:rsidRDefault="00C026E0">
      <w:pPr>
        <w:rPr>
          <w:bCs/>
          <w:szCs w:val="22"/>
        </w:rPr>
      </w:pPr>
    </w:p>
    <w:p w14:paraId="1CB1F498" w14:textId="710FD208" w:rsidR="00C026E0" w:rsidRPr="00C026E0" w:rsidRDefault="00C026E0">
      <w:pPr>
        <w:rPr>
          <w:bCs/>
          <w:szCs w:val="22"/>
        </w:rPr>
      </w:pPr>
      <w:r>
        <w:rPr>
          <w:bCs/>
          <w:szCs w:val="22"/>
        </w:rPr>
        <w:t xml:space="preserve">Rejected.  A given STA, which is an instance of a MAC/PHY per the clause 3 definition, must be configured to be operating as a mesh STA or not a mesh STA.  That the implementation could be instantiated with different configurations is beyond the scope of the standard – within the scope of the standard, we consider only configured instances, which are operating as a clear type of STA.  </w:t>
      </w:r>
    </w:p>
    <w:p w14:paraId="79D023F6" w14:textId="77777777" w:rsidR="000D098E" w:rsidRPr="000D098E" w:rsidRDefault="000D098E">
      <w:pPr>
        <w:rPr>
          <w:bCs/>
          <w:szCs w:val="22"/>
        </w:rPr>
      </w:pPr>
    </w:p>
    <w:p w14:paraId="2D585B60" w14:textId="77777777" w:rsidR="00E27C85" w:rsidRDefault="000D098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27C85" w14:paraId="28407DC0"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31B6383C" w14:textId="77777777" w:rsidR="00E27C85" w:rsidRDefault="00E27C85"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6981EC7" w14:textId="77777777" w:rsidR="00E27C85" w:rsidRDefault="00E27C85"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E18EFD" w14:textId="77777777" w:rsidR="00E27C85" w:rsidRDefault="00E27C85"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C373974" w14:textId="77777777" w:rsidR="00E27C85" w:rsidRDefault="00E27C85"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DA40429" w14:textId="77777777" w:rsidR="00E27C85" w:rsidRDefault="00E27C85"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27C85" w:rsidRPr="00DE7477" w14:paraId="3978DF7E" w14:textId="77777777" w:rsidTr="003C15FC">
        <w:trPr>
          <w:trHeight w:val="765"/>
        </w:trPr>
        <w:tc>
          <w:tcPr>
            <w:tcW w:w="738" w:type="dxa"/>
          </w:tcPr>
          <w:p w14:paraId="4D24F4F5" w14:textId="77777777" w:rsidR="00E27C85" w:rsidRDefault="00E27C85"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1DD63C6A" w14:textId="77777777" w:rsidR="00E27C85" w:rsidRDefault="00E27C85"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3ED86714" w14:textId="77777777" w:rsidR="00E27C85" w:rsidRDefault="00E27C85" w:rsidP="003C15FC">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0EF7496E"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3FC8A84C"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0FED5350"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1EA1E687"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441580F1"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0800645D" w14:textId="77777777" w:rsidR="00E27C85" w:rsidRPr="00503BFC"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1216E9DA"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Delete the referenced table row; also in the table in 6.3.31.3.2.  Delete "The neighbor report contents are derived from</w:t>
            </w:r>
          </w:p>
          <w:p w14:paraId="14160E2A"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r w:rsidRPr="00C64A9B">
              <w:rPr>
                <w:rFonts w:ascii="Arial" w:eastAsia="Times New Roman" w:hAnsi="Arial" w:cs="Arial"/>
                <w:color w:val="000000"/>
                <w:sz w:val="20"/>
                <w:lang w:val="en-US"/>
              </w:rPr>
              <w:t xml:space="preserve"> primitive." in 11.10.10.1 and "The  Reduced  Neighbor  Report  element</w:t>
            </w:r>
          </w:p>
          <w:p w14:paraId="2D2A1D0D"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contents may be derived from 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p>
          <w:p w14:paraId="43A9539D" w14:textId="77777777" w:rsidR="00E27C85"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primitive." in 11.50 and "The Neighbor Report Response frame includes a list Neighbor Report elements one for each neighbor." in 11.10.10.3</w:t>
            </w:r>
          </w:p>
          <w:p w14:paraId="4CAA39D1" w14:textId="3773BA24" w:rsidR="00E27C85" w:rsidRPr="00503BFC" w:rsidRDefault="00E27C85" w:rsidP="003C15FC">
            <w:pPr>
              <w:rPr>
                <w:rFonts w:ascii="Arial" w:eastAsia="Times New Roman" w:hAnsi="Arial" w:cs="Arial"/>
                <w:color w:val="000000"/>
                <w:sz w:val="20"/>
                <w:lang w:val="en-US"/>
              </w:rPr>
            </w:pPr>
          </w:p>
        </w:tc>
      </w:tr>
    </w:tbl>
    <w:p w14:paraId="673CB29F" w14:textId="0C6A32F9" w:rsidR="00E27C85" w:rsidRDefault="00E27C85">
      <w:pPr>
        <w:rPr>
          <w:bCs/>
          <w:szCs w:val="22"/>
        </w:rPr>
      </w:pPr>
    </w:p>
    <w:p w14:paraId="61323F17" w14:textId="774991CF" w:rsidR="00E27C85" w:rsidRDefault="00E27C85">
      <w:pPr>
        <w:rPr>
          <w:bCs/>
          <w:szCs w:val="22"/>
        </w:rPr>
      </w:pPr>
      <w:r>
        <w:rPr>
          <w:bCs/>
          <w:szCs w:val="22"/>
          <w:u w:val="single"/>
        </w:rPr>
        <w:t>Discussion:</w:t>
      </w:r>
    </w:p>
    <w:p w14:paraId="5C6BBCBD" w14:textId="2C349952" w:rsidR="00E27C85" w:rsidRDefault="00E27C85">
      <w:pPr>
        <w:rPr>
          <w:bCs/>
          <w:szCs w:val="22"/>
        </w:rPr>
      </w:pPr>
    </w:p>
    <w:p w14:paraId="6237B497" w14:textId="77777777" w:rsidR="00E27C85" w:rsidRPr="00E27C85" w:rsidRDefault="00E27C85" w:rsidP="00E27C85">
      <w:pPr>
        <w:rPr>
          <w:bCs/>
          <w:noProof/>
          <w:szCs w:val="22"/>
          <w:bdr w:val="single" w:sz="8" w:space="0" w:color="auto" w:shadow="1"/>
        </w:rPr>
      </w:pPr>
      <w:r w:rsidRPr="00E27C85">
        <w:rPr>
          <w:bCs/>
          <w:noProof/>
          <w:szCs w:val="22"/>
          <w:bdr w:val="single" w:sz="8" w:space="0" w:color="auto" w:shadow="1"/>
        </w:rPr>
        <w:drawing>
          <wp:inline distT="0" distB="0" distL="0" distR="0" wp14:anchorId="48509B99" wp14:editId="576E1C30">
            <wp:extent cx="6400800"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0E17F64D" w14:textId="77777777" w:rsidR="00E27C85" w:rsidRPr="00E27C85" w:rsidRDefault="00E27C85" w:rsidP="00E27C85">
      <w:pPr>
        <w:rPr>
          <w:bCs/>
          <w:noProof/>
          <w:szCs w:val="22"/>
          <w:bdr w:val="single" w:sz="8" w:space="0" w:color="auto" w:shadow="1"/>
        </w:rPr>
      </w:pPr>
      <w:r w:rsidRPr="00E27C85">
        <w:rPr>
          <w:bCs/>
          <w:noProof/>
          <w:szCs w:val="22"/>
          <w:bdr w:val="single" w:sz="8" w:space="0" w:color="auto" w:shadow="1"/>
        </w:rPr>
        <w:drawing>
          <wp:inline distT="0" distB="0" distL="0" distR="0" wp14:anchorId="363C54F3" wp14:editId="4393BD40">
            <wp:extent cx="6400800" cy="4076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076700"/>
                    </a:xfrm>
                    <a:prstGeom prst="rect">
                      <a:avLst/>
                    </a:prstGeom>
                    <a:noFill/>
                    <a:ln>
                      <a:noFill/>
                    </a:ln>
                  </pic:spPr>
                </pic:pic>
              </a:graphicData>
            </a:graphic>
          </wp:inline>
        </w:drawing>
      </w:r>
    </w:p>
    <w:p w14:paraId="78EA9F86" w14:textId="2D8FB0CA" w:rsidR="00E27C85" w:rsidRDefault="00E27C85">
      <w:pPr>
        <w:rPr>
          <w:bCs/>
          <w:szCs w:val="22"/>
        </w:rPr>
      </w:pPr>
    </w:p>
    <w:p w14:paraId="63048AB2" w14:textId="02BE5AD6" w:rsidR="00E27C85" w:rsidRDefault="009D7A9D">
      <w:pPr>
        <w:rPr>
          <w:bCs/>
          <w:szCs w:val="22"/>
        </w:rPr>
      </w:pPr>
      <w:r>
        <w:rPr>
          <w:bCs/>
          <w:szCs w:val="22"/>
        </w:rPr>
        <w:t xml:space="preserve">This comment is referring to the .request primitive for the </w:t>
      </w:r>
      <w:proofErr w:type="spellStart"/>
      <w:r>
        <w:rPr>
          <w:bCs/>
          <w:szCs w:val="22"/>
        </w:rPr>
        <w:t>Neighbor</w:t>
      </w:r>
      <w:proofErr w:type="spellEnd"/>
      <w:r>
        <w:rPr>
          <w:bCs/>
          <w:szCs w:val="22"/>
        </w:rPr>
        <w:t xml:space="preserve"> Report Response frame.  This primitive generates the response to a </w:t>
      </w:r>
      <w:proofErr w:type="spellStart"/>
      <w:r>
        <w:rPr>
          <w:bCs/>
          <w:szCs w:val="22"/>
        </w:rPr>
        <w:t>Neighbor</w:t>
      </w:r>
      <w:proofErr w:type="spellEnd"/>
      <w:r>
        <w:rPr>
          <w:bCs/>
          <w:szCs w:val="22"/>
        </w:rPr>
        <w:t xml:space="preserve"> Report Request.  Clearly, the </w:t>
      </w:r>
      <w:proofErr w:type="spellStart"/>
      <w:r>
        <w:rPr>
          <w:bCs/>
          <w:szCs w:val="22"/>
        </w:rPr>
        <w:t>Neighbor</w:t>
      </w:r>
      <w:proofErr w:type="spellEnd"/>
      <w:r>
        <w:rPr>
          <w:bCs/>
          <w:szCs w:val="22"/>
        </w:rPr>
        <w:t xml:space="preserve"> Report Response needs to carry the </w:t>
      </w:r>
      <w:proofErr w:type="spellStart"/>
      <w:r>
        <w:rPr>
          <w:bCs/>
          <w:szCs w:val="22"/>
        </w:rPr>
        <w:t>neighboring</w:t>
      </w:r>
      <w:proofErr w:type="spellEnd"/>
      <w:r>
        <w:rPr>
          <w:bCs/>
          <w:szCs w:val="22"/>
        </w:rPr>
        <w:t xml:space="preserve"> AP information.  So, deleting this row is not appropriate.</w:t>
      </w:r>
    </w:p>
    <w:p w14:paraId="16E6DC22" w14:textId="3197C1A5" w:rsidR="009D7A9D" w:rsidRDefault="009D7A9D">
      <w:pPr>
        <w:rPr>
          <w:bCs/>
          <w:szCs w:val="22"/>
        </w:rPr>
      </w:pPr>
    </w:p>
    <w:p w14:paraId="25ECA0BF" w14:textId="20AD1634" w:rsidR="009D7A9D" w:rsidRDefault="009D7A9D">
      <w:pPr>
        <w:rPr>
          <w:bCs/>
          <w:szCs w:val="22"/>
        </w:rPr>
      </w:pPr>
      <w:r>
        <w:rPr>
          <w:bCs/>
          <w:szCs w:val="22"/>
        </w:rPr>
        <w:t>Note that the same issue (reference to “</w:t>
      </w:r>
      <w:proofErr w:type="spellStart"/>
      <w:r>
        <w:rPr>
          <w:bCs/>
          <w:szCs w:val="22"/>
        </w:rPr>
        <w:t>Neighbor</w:t>
      </w:r>
      <w:proofErr w:type="spellEnd"/>
      <w:r>
        <w:rPr>
          <w:bCs/>
          <w:szCs w:val="22"/>
        </w:rPr>
        <w:t xml:space="preserve"> List elements”) also occurs on the next page in the .indication primitive.</w:t>
      </w:r>
    </w:p>
    <w:p w14:paraId="67AF2D8E" w14:textId="5BAF7A4A" w:rsidR="00E27C85" w:rsidRDefault="00E27C85">
      <w:pPr>
        <w:rPr>
          <w:bCs/>
          <w:szCs w:val="22"/>
        </w:rPr>
      </w:pPr>
    </w:p>
    <w:p w14:paraId="75F34BB6" w14:textId="1617CCAC" w:rsidR="009D7A9D" w:rsidRDefault="009D7A9D">
      <w:pPr>
        <w:rPr>
          <w:bCs/>
          <w:szCs w:val="22"/>
        </w:rPr>
      </w:pPr>
      <w:r>
        <w:rPr>
          <w:bCs/>
          <w:szCs w:val="22"/>
        </w:rPr>
        <w:t xml:space="preserve">However, the commenter is correct that there is no </w:t>
      </w:r>
      <w:proofErr w:type="spellStart"/>
      <w:r>
        <w:rPr>
          <w:bCs/>
          <w:szCs w:val="22"/>
        </w:rPr>
        <w:t>Neighbor</w:t>
      </w:r>
      <w:proofErr w:type="spellEnd"/>
      <w:r>
        <w:rPr>
          <w:bCs/>
          <w:szCs w:val="22"/>
        </w:rPr>
        <w:t xml:space="preserve"> List element.  This appears to be a typo, and should reference the </w:t>
      </w:r>
      <w:proofErr w:type="spellStart"/>
      <w:r>
        <w:rPr>
          <w:bCs/>
          <w:szCs w:val="22"/>
        </w:rPr>
        <w:t>Neighbor</w:t>
      </w:r>
      <w:proofErr w:type="spellEnd"/>
      <w:r>
        <w:rPr>
          <w:bCs/>
          <w:szCs w:val="22"/>
        </w:rPr>
        <w:t xml:space="preserve"> Report element, as defined in 9.4.2.36.</w:t>
      </w:r>
    </w:p>
    <w:p w14:paraId="2A13ADCA" w14:textId="4FFEE6EA" w:rsidR="009D7A9D" w:rsidRDefault="009D7A9D">
      <w:pPr>
        <w:rPr>
          <w:bCs/>
          <w:szCs w:val="22"/>
        </w:rPr>
      </w:pPr>
    </w:p>
    <w:p w14:paraId="00ED7242" w14:textId="13BF29A2" w:rsidR="009D7A9D" w:rsidRDefault="00B93981">
      <w:pPr>
        <w:rPr>
          <w:bCs/>
          <w:szCs w:val="22"/>
        </w:rPr>
      </w:pPr>
      <w:r>
        <w:rPr>
          <w:bCs/>
          <w:szCs w:val="22"/>
        </w:rPr>
        <w:t>Examining t</w:t>
      </w:r>
      <w:r w:rsidR="009D7A9D">
        <w:rPr>
          <w:bCs/>
          <w:szCs w:val="22"/>
        </w:rPr>
        <w:t xml:space="preserve">he </w:t>
      </w:r>
      <w:r>
        <w:rPr>
          <w:bCs/>
          <w:szCs w:val="22"/>
        </w:rPr>
        <w:t>other locations cited in the Proposed Changes we find:</w:t>
      </w:r>
    </w:p>
    <w:p w14:paraId="25D534EB" w14:textId="7F5BEBFE" w:rsidR="00B93981" w:rsidRDefault="00B93981">
      <w:pPr>
        <w:rPr>
          <w:bCs/>
          <w:szCs w:val="22"/>
        </w:rPr>
      </w:pPr>
    </w:p>
    <w:p w14:paraId="04795A33" w14:textId="38672940" w:rsidR="00B93981" w:rsidRPr="00B93981" w:rsidRDefault="00B93981">
      <w:pPr>
        <w:rPr>
          <w:bCs/>
          <w:noProof/>
          <w:szCs w:val="22"/>
          <w:bdr w:val="single" w:sz="8" w:space="0" w:color="auto" w:shadow="1"/>
        </w:rPr>
      </w:pPr>
      <w:r w:rsidRPr="00B93981">
        <w:rPr>
          <w:bCs/>
          <w:noProof/>
          <w:szCs w:val="22"/>
          <w:bdr w:val="single" w:sz="8" w:space="0" w:color="auto" w:shadow="1"/>
        </w:rPr>
        <w:drawing>
          <wp:inline distT="0" distB="0" distL="0" distR="0" wp14:anchorId="519360C1" wp14:editId="27E28724">
            <wp:extent cx="6400800" cy="1104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104900"/>
                    </a:xfrm>
                    <a:prstGeom prst="rect">
                      <a:avLst/>
                    </a:prstGeom>
                    <a:noFill/>
                    <a:ln>
                      <a:noFill/>
                    </a:ln>
                  </pic:spPr>
                </pic:pic>
              </a:graphicData>
            </a:graphic>
          </wp:inline>
        </w:drawing>
      </w:r>
    </w:p>
    <w:p w14:paraId="2C0AA88D" w14:textId="368BA9F9" w:rsidR="009D7A9D" w:rsidRDefault="00B93981">
      <w:pPr>
        <w:rPr>
          <w:bCs/>
          <w:szCs w:val="22"/>
        </w:rPr>
      </w:pPr>
      <w:r>
        <w:rPr>
          <w:bCs/>
          <w:szCs w:val="22"/>
        </w:rPr>
        <w:t xml:space="preserve">In this location, there is nothing wrong with the reference to the </w:t>
      </w:r>
      <w:proofErr w:type="spellStart"/>
      <w:r>
        <w:rPr>
          <w:bCs/>
          <w:szCs w:val="22"/>
        </w:rPr>
        <w:t>NeighborListSet</w:t>
      </w:r>
      <w:proofErr w:type="spellEnd"/>
      <w:r>
        <w:rPr>
          <w:bCs/>
          <w:szCs w:val="22"/>
        </w:rPr>
        <w:t xml:space="preserve"> parameter (once that parameter is fixed, per above).  And the location in 11.50 is similar.</w:t>
      </w:r>
    </w:p>
    <w:p w14:paraId="27048E79" w14:textId="74DA89B3" w:rsidR="00B93981" w:rsidRDefault="00B93981">
      <w:pPr>
        <w:rPr>
          <w:bCs/>
          <w:szCs w:val="22"/>
        </w:rPr>
      </w:pPr>
    </w:p>
    <w:p w14:paraId="7EE19EBF" w14:textId="3093F601" w:rsidR="00B93981" w:rsidRDefault="00B93981">
      <w:pPr>
        <w:rPr>
          <w:bCs/>
          <w:szCs w:val="22"/>
        </w:rPr>
      </w:pPr>
    </w:p>
    <w:p w14:paraId="37515E81" w14:textId="1C6A9DB4" w:rsidR="00B93981" w:rsidRDefault="00B93981">
      <w:pPr>
        <w:rPr>
          <w:bCs/>
          <w:szCs w:val="22"/>
        </w:rPr>
      </w:pPr>
      <w:r>
        <w:rPr>
          <w:bCs/>
          <w:szCs w:val="22"/>
        </w:rPr>
        <w:t>The only issue with the location in 11.10.10.3 is a missing “of”</w:t>
      </w:r>
      <w:r w:rsidR="00A43BDB">
        <w:rPr>
          <w:bCs/>
          <w:szCs w:val="22"/>
        </w:rPr>
        <w:t xml:space="preserve"> (P2315.49)</w:t>
      </w:r>
      <w:r>
        <w:rPr>
          <w:bCs/>
          <w:szCs w:val="22"/>
        </w:rPr>
        <w:t>:</w:t>
      </w:r>
    </w:p>
    <w:p w14:paraId="4240A730" w14:textId="3CA65E4C" w:rsidR="00B93981" w:rsidRPr="00B93981" w:rsidRDefault="00B93981">
      <w:pPr>
        <w:rPr>
          <w:bCs/>
          <w:noProof/>
          <w:szCs w:val="22"/>
          <w:bdr w:val="single" w:sz="8" w:space="0" w:color="auto" w:shadow="1"/>
        </w:rPr>
      </w:pPr>
      <w:r w:rsidRPr="00B93981">
        <w:rPr>
          <w:bCs/>
          <w:noProof/>
          <w:szCs w:val="22"/>
          <w:bdr w:val="single" w:sz="8" w:space="0" w:color="auto" w:shadow="1"/>
        </w:rPr>
        <w:drawing>
          <wp:inline distT="0" distB="0" distL="0" distR="0" wp14:anchorId="77E6A9F5" wp14:editId="628957FE">
            <wp:extent cx="6400800" cy="3714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71475"/>
                    </a:xfrm>
                    <a:prstGeom prst="rect">
                      <a:avLst/>
                    </a:prstGeom>
                    <a:noFill/>
                    <a:ln>
                      <a:noFill/>
                    </a:ln>
                  </pic:spPr>
                </pic:pic>
              </a:graphicData>
            </a:graphic>
          </wp:inline>
        </w:drawing>
      </w:r>
    </w:p>
    <w:p w14:paraId="557C4C25" w14:textId="5470F091" w:rsidR="00B93981" w:rsidRDefault="00B93981">
      <w:pPr>
        <w:rPr>
          <w:bCs/>
          <w:szCs w:val="22"/>
        </w:rPr>
      </w:pPr>
      <w:r>
        <w:rPr>
          <w:bCs/>
          <w:szCs w:val="22"/>
        </w:rPr>
        <w:t xml:space="preserve">The phrase should be “list _of_ </w:t>
      </w:r>
      <w:proofErr w:type="spellStart"/>
      <w:r>
        <w:rPr>
          <w:bCs/>
          <w:szCs w:val="22"/>
        </w:rPr>
        <w:t>Neighbor</w:t>
      </w:r>
      <w:proofErr w:type="spellEnd"/>
      <w:r>
        <w:rPr>
          <w:bCs/>
          <w:szCs w:val="22"/>
        </w:rPr>
        <w:t xml:space="preserve"> Report elements”</w:t>
      </w:r>
    </w:p>
    <w:p w14:paraId="317B3291" w14:textId="77777777" w:rsidR="00B93981" w:rsidRDefault="00B93981">
      <w:pPr>
        <w:rPr>
          <w:bCs/>
          <w:szCs w:val="22"/>
        </w:rPr>
      </w:pPr>
    </w:p>
    <w:p w14:paraId="3A267991" w14:textId="0BC9D407" w:rsidR="00B93981" w:rsidRDefault="00B93981">
      <w:pPr>
        <w:rPr>
          <w:bCs/>
          <w:szCs w:val="22"/>
        </w:rPr>
      </w:pPr>
    </w:p>
    <w:p w14:paraId="58D7D2DA" w14:textId="2E4ADD84" w:rsidR="00B93981" w:rsidRDefault="00B93981">
      <w:pPr>
        <w:rPr>
          <w:bCs/>
          <w:szCs w:val="22"/>
        </w:rPr>
      </w:pPr>
      <w:r>
        <w:rPr>
          <w:bCs/>
          <w:szCs w:val="22"/>
        </w:rPr>
        <w:t xml:space="preserve">However, there are three other locations that use the </w:t>
      </w:r>
      <w:r w:rsidR="00A43BDB">
        <w:rPr>
          <w:bCs/>
          <w:szCs w:val="22"/>
        </w:rPr>
        <w:t>phrase</w:t>
      </w:r>
      <w:r>
        <w:rPr>
          <w:bCs/>
          <w:szCs w:val="22"/>
        </w:rPr>
        <w:t xml:space="preserve"> “</w:t>
      </w:r>
      <w:proofErr w:type="spellStart"/>
      <w:r w:rsidR="00A43BDB">
        <w:rPr>
          <w:bCs/>
          <w:szCs w:val="22"/>
        </w:rPr>
        <w:t>n</w:t>
      </w:r>
      <w:r>
        <w:rPr>
          <w:bCs/>
          <w:szCs w:val="22"/>
        </w:rPr>
        <w:t>eighbor</w:t>
      </w:r>
      <w:proofErr w:type="spellEnd"/>
      <w:r>
        <w:rPr>
          <w:bCs/>
          <w:szCs w:val="22"/>
        </w:rPr>
        <w:t xml:space="preserve"> </w:t>
      </w:r>
      <w:r w:rsidR="00A43BDB">
        <w:rPr>
          <w:bCs/>
          <w:szCs w:val="22"/>
        </w:rPr>
        <w:t>l</w:t>
      </w:r>
      <w:r>
        <w:rPr>
          <w:bCs/>
          <w:szCs w:val="22"/>
        </w:rPr>
        <w:t xml:space="preserve">ist”, and these </w:t>
      </w:r>
      <w:r w:rsidR="00A43BDB">
        <w:rPr>
          <w:bCs/>
          <w:szCs w:val="22"/>
        </w:rPr>
        <w:t xml:space="preserve">could be clarified.  These occur in the context of the </w:t>
      </w:r>
      <w:proofErr w:type="spellStart"/>
      <w:r w:rsidR="00A43BDB">
        <w:rPr>
          <w:bCs/>
          <w:szCs w:val="22"/>
        </w:rPr>
        <w:t>Neighbor</w:t>
      </w:r>
      <w:proofErr w:type="spellEnd"/>
      <w:r w:rsidR="00A43BDB">
        <w:rPr>
          <w:bCs/>
          <w:szCs w:val="22"/>
        </w:rPr>
        <w:t xml:space="preserve"> Report Request frame and its primitives:</w:t>
      </w:r>
    </w:p>
    <w:p w14:paraId="0920E999" w14:textId="4EAE417D" w:rsidR="00A43BDB" w:rsidRDefault="00A43BDB">
      <w:pPr>
        <w:rPr>
          <w:bCs/>
          <w:szCs w:val="22"/>
        </w:rPr>
      </w:pPr>
    </w:p>
    <w:p w14:paraId="0E132703" w14:textId="6D7D2E18" w:rsidR="00A43BDB" w:rsidRDefault="00A43BDB">
      <w:pPr>
        <w:rPr>
          <w:bCs/>
          <w:szCs w:val="22"/>
        </w:rPr>
      </w:pPr>
      <w:r>
        <w:rPr>
          <w:bCs/>
          <w:szCs w:val="22"/>
        </w:rPr>
        <w:t>At P1526.33 (</w:t>
      </w:r>
      <w:proofErr w:type="spellStart"/>
      <w:r>
        <w:rPr>
          <w:bCs/>
          <w:szCs w:val="22"/>
        </w:rPr>
        <w:t>Neighbor</w:t>
      </w:r>
      <w:proofErr w:type="spellEnd"/>
      <w:r>
        <w:rPr>
          <w:bCs/>
          <w:szCs w:val="22"/>
        </w:rPr>
        <w:t xml:space="preserve"> Report Request frame format):</w:t>
      </w:r>
    </w:p>
    <w:p w14:paraId="523F0D3B" w14:textId="47B5AE62" w:rsidR="00A43BDB" w:rsidRPr="00A43BDB" w:rsidRDefault="00A43BDB">
      <w:pPr>
        <w:rPr>
          <w:bCs/>
          <w:noProof/>
          <w:szCs w:val="22"/>
          <w:bdr w:val="single" w:sz="8" w:space="0" w:color="auto" w:shadow="1"/>
        </w:rPr>
      </w:pPr>
      <w:r w:rsidRPr="00A43BDB">
        <w:rPr>
          <w:bCs/>
          <w:noProof/>
          <w:szCs w:val="22"/>
          <w:bdr w:val="single" w:sz="8" w:space="0" w:color="auto" w:shadow="1"/>
        </w:rPr>
        <w:drawing>
          <wp:inline distT="0" distB="0" distL="0" distR="0" wp14:anchorId="2AFC98A0" wp14:editId="6FC084DB">
            <wp:extent cx="6400800" cy="6953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161408B6" w14:textId="705A93B2" w:rsidR="00B93981" w:rsidRDefault="00B93981">
      <w:pPr>
        <w:rPr>
          <w:bCs/>
          <w:szCs w:val="22"/>
        </w:rPr>
      </w:pPr>
    </w:p>
    <w:p w14:paraId="5DE107CD" w14:textId="0BCF6463" w:rsidR="00A43BDB" w:rsidRDefault="00A43BDB">
      <w:pPr>
        <w:rPr>
          <w:bCs/>
          <w:szCs w:val="22"/>
        </w:rPr>
      </w:pPr>
      <w:r>
        <w:rPr>
          <w:bCs/>
          <w:szCs w:val="22"/>
        </w:rPr>
        <w:t>At P455.5 (</w:t>
      </w:r>
      <w:proofErr w:type="spellStart"/>
      <w:r>
        <w:rPr>
          <w:bCs/>
          <w:szCs w:val="22"/>
        </w:rPr>
        <w:t>Neighbor</w:t>
      </w:r>
      <w:proofErr w:type="spellEnd"/>
      <w:r>
        <w:rPr>
          <w:bCs/>
          <w:szCs w:val="22"/>
        </w:rPr>
        <w:t xml:space="preserve"> Report Request .request) and P455.63 (</w:t>
      </w:r>
      <w:proofErr w:type="spellStart"/>
      <w:r>
        <w:rPr>
          <w:bCs/>
          <w:szCs w:val="22"/>
        </w:rPr>
        <w:t>Neighbor</w:t>
      </w:r>
      <w:proofErr w:type="spellEnd"/>
      <w:r>
        <w:rPr>
          <w:bCs/>
          <w:szCs w:val="22"/>
        </w:rPr>
        <w:t xml:space="preserve"> Report Request .indication):</w:t>
      </w:r>
    </w:p>
    <w:p w14:paraId="582DA89F" w14:textId="6F549DF4" w:rsidR="00A43BDB" w:rsidRPr="00A43BDB" w:rsidRDefault="00A43BDB">
      <w:pPr>
        <w:rPr>
          <w:bCs/>
          <w:noProof/>
          <w:szCs w:val="22"/>
          <w:bdr w:val="single" w:sz="8" w:space="0" w:color="auto" w:shadow="1"/>
        </w:rPr>
      </w:pPr>
      <w:r w:rsidRPr="00A43BDB">
        <w:rPr>
          <w:bCs/>
          <w:noProof/>
          <w:szCs w:val="22"/>
          <w:bdr w:val="single" w:sz="8" w:space="0" w:color="auto" w:shadow="1"/>
        </w:rPr>
        <w:drawing>
          <wp:inline distT="0" distB="0" distL="0" distR="0" wp14:anchorId="1F7312C5" wp14:editId="46135946">
            <wp:extent cx="6400800" cy="4762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76250"/>
                    </a:xfrm>
                    <a:prstGeom prst="rect">
                      <a:avLst/>
                    </a:prstGeom>
                    <a:noFill/>
                    <a:ln>
                      <a:noFill/>
                    </a:ln>
                  </pic:spPr>
                </pic:pic>
              </a:graphicData>
            </a:graphic>
          </wp:inline>
        </w:drawing>
      </w:r>
    </w:p>
    <w:p w14:paraId="6FA55973" w14:textId="06445CB4" w:rsidR="00B93981" w:rsidRDefault="00B93981">
      <w:pPr>
        <w:rPr>
          <w:bCs/>
          <w:szCs w:val="22"/>
        </w:rPr>
      </w:pPr>
    </w:p>
    <w:p w14:paraId="07A5138D" w14:textId="1C46AD39" w:rsidR="00A43BDB" w:rsidRDefault="00A43BDB">
      <w:pPr>
        <w:rPr>
          <w:bCs/>
          <w:szCs w:val="22"/>
        </w:rPr>
      </w:pPr>
      <w:r>
        <w:rPr>
          <w:bCs/>
          <w:szCs w:val="22"/>
        </w:rPr>
        <w:t xml:space="preserve">In the above locations, “neighbor list” would be more clear as “list of </w:t>
      </w:r>
      <w:proofErr w:type="spellStart"/>
      <w:r>
        <w:rPr>
          <w:bCs/>
          <w:szCs w:val="22"/>
        </w:rPr>
        <w:t>neighbor</w:t>
      </w:r>
      <w:proofErr w:type="spellEnd"/>
      <w:r>
        <w:rPr>
          <w:bCs/>
          <w:szCs w:val="22"/>
        </w:rPr>
        <w:t xml:space="preserve"> reports”.</w:t>
      </w:r>
    </w:p>
    <w:p w14:paraId="17ADEC06" w14:textId="77777777" w:rsidR="00A43BDB" w:rsidRDefault="00A43BDB">
      <w:pPr>
        <w:rPr>
          <w:bCs/>
          <w:szCs w:val="22"/>
        </w:rPr>
      </w:pPr>
    </w:p>
    <w:p w14:paraId="4B2C38B3" w14:textId="1D053F03" w:rsidR="009D7A9D" w:rsidRDefault="009D7A9D">
      <w:pPr>
        <w:rPr>
          <w:bCs/>
          <w:szCs w:val="22"/>
        </w:rPr>
      </w:pPr>
      <w:r w:rsidRPr="00A43BDB">
        <w:rPr>
          <w:bCs/>
          <w:szCs w:val="22"/>
          <w:highlight w:val="yellow"/>
          <w:u w:val="single"/>
        </w:rPr>
        <w:t>Proposed Resolution:</w:t>
      </w:r>
    </w:p>
    <w:p w14:paraId="6D4F1327" w14:textId="0D9EC0CC" w:rsidR="009D7A9D" w:rsidRDefault="009D7A9D">
      <w:pPr>
        <w:rPr>
          <w:bCs/>
          <w:szCs w:val="22"/>
        </w:rPr>
      </w:pPr>
    </w:p>
    <w:p w14:paraId="1E570EE1" w14:textId="3DB2C946" w:rsidR="009D7A9D" w:rsidRDefault="009D7A9D">
      <w:pPr>
        <w:rPr>
          <w:bCs/>
          <w:szCs w:val="22"/>
        </w:rPr>
      </w:pPr>
      <w:r>
        <w:rPr>
          <w:bCs/>
          <w:szCs w:val="22"/>
        </w:rPr>
        <w:t>Change “</w:t>
      </w:r>
      <w:proofErr w:type="spellStart"/>
      <w:r>
        <w:rPr>
          <w:bCs/>
          <w:szCs w:val="22"/>
        </w:rPr>
        <w:t>Neighbor</w:t>
      </w:r>
      <w:proofErr w:type="spellEnd"/>
      <w:r>
        <w:rPr>
          <w:bCs/>
          <w:szCs w:val="22"/>
        </w:rPr>
        <w:t xml:space="preserve"> List elements” to “</w:t>
      </w:r>
      <w:proofErr w:type="spellStart"/>
      <w:r>
        <w:rPr>
          <w:bCs/>
          <w:szCs w:val="22"/>
        </w:rPr>
        <w:t>Neighbor</w:t>
      </w:r>
      <w:proofErr w:type="spellEnd"/>
      <w:r>
        <w:rPr>
          <w:bCs/>
          <w:szCs w:val="22"/>
        </w:rPr>
        <w:t xml:space="preserve"> Report elements” at P457.18 (2x) and at P458.17 (2x).</w:t>
      </w:r>
    </w:p>
    <w:p w14:paraId="0EE0590D" w14:textId="4FC4FA4C" w:rsidR="00A43BDB" w:rsidRDefault="00A43BDB">
      <w:pPr>
        <w:rPr>
          <w:bCs/>
          <w:szCs w:val="22"/>
        </w:rPr>
      </w:pPr>
    </w:p>
    <w:p w14:paraId="52C326C0" w14:textId="1F9D0D9B" w:rsidR="00A43BDB" w:rsidRDefault="00A43BDB">
      <w:pPr>
        <w:rPr>
          <w:bCs/>
          <w:szCs w:val="22"/>
        </w:rPr>
      </w:pPr>
      <w:r>
        <w:rPr>
          <w:bCs/>
          <w:szCs w:val="22"/>
        </w:rPr>
        <w:t xml:space="preserve">At P2315.49, insert “of” (to become “list _of_ </w:t>
      </w:r>
      <w:proofErr w:type="spellStart"/>
      <w:r>
        <w:rPr>
          <w:bCs/>
          <w:szCs w:val="22"/>
        </w:rPr>
        <w:t>Neighbor</w:t>
      </w:r>
      <w:proofErr w:type="spellEnd"/>
      <w:r>
        <w:rPr>
          <w:bCs/>
          <w:szCs w:val="22"/>
        </w:rPr>
        <w:t xml:space="preserve"> Report elements”).</w:t>
      </w:r>
    </w:p>
    <w:p w14:paraId="1FE52E1C" w14:textId="3626AA69" w:rsidR="009D7A9D" w:rsidRDefault="009D7A9D">
      <w:pPr>
        <w:rPr>
          <w:bCs/>
          <w:szCs w:val="22"/>
        </w:rPr>
      </w:pPr>
    </w:p>
    <w:p w14:paraId="04644781" w14:textId="42F6C2F8" w:rsidR="009D7A9D" w:rsidRPr="009D7A9D" w:rsidRDefault="00A43BDB">
      <w:pPr>
        <w:rPr>
          <w:bCs/>
          <w:szCs w:val="22"/>
        </w:rPr>
      </w:pPr>
      <w:r>
        <w:rPr>
          <w:bCs/>
          <w:szCs w:val="22"/>
        </w:rPr>
        <w:t xml:space="preserve">At P1526.33, P455.5 and P455.63, change “neighbor list” to “list of </w:t>
      </w:r>
      <w:proofErr w:type="spellStart"/>
      <w:r>
        <w:rPr>
          <w:bCs/>
          <w:szCs w:val="22"/>
        </w:rPr>
        <w:t>neighbor</w:t>
      </w:r>
      <w:proofErr w:type="spellEnd"/>
      <w:r>
        <w:rPr>
          <w:bCs/>
          <w:szCs w:val="22"/>
        </w:rPr>
        <w:t xml:space="preserve"> reports”</w:t>
      </w:r>
    </w:p>
    <w:p w14:paraId="2768CEFD" w14:textId="77777777" w:rsidR="00E27C85" w:rsidRPr="00E27C85" w:rsidRDefault="00E27C85">
      <w:pPr>
        <w:rPr>
          <w:bCs/>
          <w:szCs w:val="22"/>
        </w:rPr>
      </w:pPr>
    </w:p>
    <w:p w14:paraId="7F3A7BE1" w14:textId="7AD98AAF" w:rsidR="00E27C85" w:rsidRDefault="00E27C85">
      <w:pPr>
        <w:rPr>
          <w:bCs/>
          <w:szCs w:val="22"/>
        </w:rPr>
      </w:pPr>
      <w:r>
        <w:rPr>
          <w:bCs/>
          <w:szCs w:val="22"/>
        </w:rPr>
        <w:br w:type="page"/>
      </w:r>
    </w:p>
    <w:p w14:paraId="06AA666C" w14:textId="77777777" w:rsidR="00F974CC" w:rsidRPr="00F974CC" w:rsidRDefault="00F974CC" w:rsidP="001325F6">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p w14:paraId="11C8BF44" w14:textId="2DA2991A" w:rsidR="00EF4D4B" w:rsidRDefault="00EF4D4B"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A02" w14:paraId="5EEC86C3"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4FD3F4D8" w14:textId="77777777" w:rsidR="00B70A02" w:rsidRDefault="00B70A02"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164E1B5" w14:textId="77777777" w:rsidR="00B70A02" w:rsidRDefault="00B70A02"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338B0F" w14:textId="77777777" w:rsidR="00B70A02" w:rsidRDefault="00B70A02"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26AA207" w14:textId="77777777" w:rsidR="00B70A02" w:rsidRDefault="00B70A02"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D6CFBE" w14:textId="77777777" w:rsidR="00B70A02" w:rsidRDefault="00B70A02"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A02" w:rsidRPr="00DE7477" w14:paraId="0A79ACD6" w14:textId="77777777" w:rsidTr="003C15FC">
        <w:trPr>
          <w:trHeight w:val="765"/>
        </w:trPr>
        <w:tc>
          <w:tcPr>
            <w:tcW w:w="738" w:type="dxa"/>
          </w:tcPr>
          <w:p w14:paraId="32FABF68"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588DC715"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521B4359"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7AF39B8C"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8.3.5.6.2 says "The required PHY parameters are listed in 8.3.4.3 (PHY SAP service primitives parameters)." But, 8.3.4.3 just says "A set of parameters" for PHY-</w:t>
            </w:r>
            <w:proofErr w:type="spellStart"/>
            <w:r w:rsidRPr="00233EF1">
              <w:rPr>
                <w:rFonts w:ascii="Arial" w:eastAsia="Times New Roman" w:hAnsi="Arial" w:cs="Arial"/>
                <w:color w:val="000000"/>
                <w:sz w:val="20"/>
                <w:lang w:val="en-US"/>
              </w:rPr>
              <w:t>TXSTART.confirm</w:t>
            </w:r>
            <w:proofErr w:type="spellEnd"/>
            <w:r w:rsidRPr="00233EF1">
              <w:rPr>
                <w:rFonts w:ascii="Arial" w:eastAsia="Times New Roman" w:hAnsi="Arial" w:cs="Arial"/>
                <w:color w:val="000000"/>
                <w:sz w:val="20"/>
                <w:lang w:val="en-US"/>
              </w:rPr>
              <w:t xml:space="preserve"> (and .request).</w:t>
            </w:r>
          </w:p>
        </w:tc>
        <w:tc>
          <w:tcPr>
            <w:tcW w:w="3600" w:type="dxa"/>
          </w:tcPr>
          <w:p w14:paraId="6EA3517A"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B70A02" w:rsidRPr="00DE7477" w14:paraId="23B1BD7D" w14:textId="77777777" w:rsidTr="003C15FC">
        <w:trPr>
          <w:trHeight w:val="765"/>
        </w:trPr>
        <w:tc>
          <w:tcPr>
            <w:tcW w:w="738" w:type="dxa"/>
          </w:tcPr>
          <w:p w14:paraId="78E8366D"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7F7CE5A3"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758289BC"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BEAE450"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6D45A401"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B70A02" w:rsidRPr="00DE7477" w14:paraId="60A77CA6" w14:textId="77777777" w:rsidTr="003C15FC">
        <w:trPr>
          <w:trHeight w:val="765"/>
        </w:trPr>
        <w:tc>
          <w:tcPr>
            <w:tcW w:w="738" w:type="dxa"/>
          </w:tcPr>
          <w:p w14:paraId="74BF3973"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70BF732"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51173445"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23D259E"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7ED8DD1C"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bl>
    <w:p w14:paraId="1465D86E" w14:textId="77777777" w:rsidR="00B70A02" w:rsidRDefault="00B70A02" w:rsidP="00B70A02">
      <w:pPr>
        <w:rPr>
          <w:bCs/>
          <w:szCs w:val="22"/>
        </w:rPr>
      </w:pPr>
    </w:p>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6696633C"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004CD" w14:paraId="41B226E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D7EB3"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052720A"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EDE1BE"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1FA1662"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23977B5"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004CD" w:rsidRPr="00DE7477" w14:paraId="58184ED3" w14:textId="77777777" w:rsidTr="001004CD">
        <w:trPr>
          <w:trHeight w:val="1020"/>
        </w:trPr>
        <w:tc>
          <w:tcPr>
            <w:tcW w:w="738" w:type="dxa"/>
            <w:hideMark/>
          </w:tcPr>
          <w:p w14:paraId="6A8A748E"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5CA65E3A"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579AD76"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58007244"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42C71D9"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3794C8F3" w14:textId="77777777" w:rsidR="001004CD" w:rsidRDefault="001004CD" w:rsidP="001004CD">
      <w:pPr>
        <w:rPr>
          <w:bCs/>
          <w:szCs w:val="22"/>
        </w:rPr>
      </w:pPr>
    </w:p>
    <w:p w14:paraId="61EDD303" w14:textId="77777777" w:rsidR="001004CD" w:rsidRDefault="001004CD" w:rsidP="001004CD">
      <w:pPr>
        <w:rPr>
          <w:bCs/>
          <w:szCs w:val="22"/>
        </w:rPr>
      </w:pPr>
      <w:r>
        <w:rPr>
          <w:bCs/>
          <w:szCs w:val="22"/>
          <w:u w:val="single"/>
        </w:rPr>
        <w:t>Discussion:</w:t>
      </w:r>
    </w:p>
    <w:p w14:paraId="7BC517E4" w14:textId="77777777" w:rsidR="001004CD" w:rsidRDefault="001004CD" w:rsidP="001004CD">
      <w:pPr>
        <w:rPr>
          <w:bCs/>
          <w:szCs w:val="22"/>
        </w:rPr>
      </w:pPr>
    </w:p>
    <w:p w14:paraId="5332850E" w14:textId="77777777" w:rsidR="001004CD" w:rsidRDefault="001004CD" w:rsidP="001004CD">
      <w:pPr>
        <w:rPr>
          <w:bCs/>
          <w:szCs w:val="22"/>
        </w:rPr>
      </w:pPr>
      <w:r>
        <w:rPr>
          <w:bCs/>
          <w:szCs w:val="22"/>
        </w:rPr>
        <w:t xml:space="preserve">The comment is in reference to the GTK </w:t>
      </w:r>
      <w:proofErr w:type="spellStart"/>
      <w:r>
        <w:rPr>
          <w:bCs/>
          <w:szCs w:val="22"/>
        </w:rPr>
        <w:t>subelement</w:t>
      </w:r>
      <w:proofErr w:type="spellEnd"/>
      <w:r>
        <w:rPr>
          <w:bCs/>
          <w:szCs w:val="22"/>
        </w:rPr>
        <w:t xml:space="preserve">, one of the optional </w:t>
      </w:r>
      <w:proofErr w:type="spellStart"/>
      <w:r>
        <w:rPr>
          <w:bCs/>
          <w:szCs w:val="22"/>
        </w:rPr>
        <w:t>subelements</w:t>
      </w:r>
      <w:proofErr w:type="spellEnd"/>
      <w:r>
        <w:rPr>
          <w:bCs/>
          <w:szCs w:val="22"/>
        </w:rPr>
        <w:t xml:space="preserve"> of the Fast BSS Transition element.</w:t>
      </w:r>
    </w:p>
    <w:p w14:paraId="54275469" w14:textId="77777777" w:rsidR="001004CD" w:rsidRDefault="001004CD" w:rsidP="001004CD">
      <w:pPr>
        <w:rPr>
          <w:bCs/>
          <w:szCs w:val="22"/>
        </w:rPr>
      </w:pPr>
    </w:p>
    <w:p w14:paraId="03DE1052"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1D04ABB" wp14:editId="5ECFE19E">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7924DAE6" w14:textId="77777777" w:rsidR="001004CD" w:rsidRDefault="001004CD" w:rsidP="001004CD">
      <w:pPr>
        <w:rPr>
          <w:bCs/>
          <w:szCs w:val="22"/>
        </w:rPr>
      </w:pPr>
    </w:p>
    <w:p w14:paraId="15EEA3D7" w14:textId="77777777" w:rsidR="001004C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680F43A3" wp14:editId="2CA2AADE">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7F10335D" w14:textId="77777777" w:rsidR="001004CD" w:rsidRDefault="001004CD" w:rsidP="001004CD">
      <w:pPr>
        <w:rPr>
          <w:bCs/>
          <w:noProof/>
          <w:szCs w:val="22"/>
          <w:bdr w:val="single" w:sz="8" w:space="0" w:color="auto" w:shadow="1"/>
        </w:rPr>
      </w:pPr>
    </w:p>
    <w:p w14:paraId="2B8F62D5" w14:textId="77777777" w:rsidR="001004CD" w:rsidRPr="00B4207E" w:rsidRDefault="001004CD" w:rsidP="001004CD">
      <w:pPr>
        <w:rPr>
          <w:bCs/>
          <w:szCs w:val="22"/>
        </w:rPr>
      </w:pPr>
      <w:r w:rsidRPr="00B4207E">
        <w:rPr>
          <w:bCs/>
          <w:szCs w:val="22"/>
        </w:rPr>
        <w:t xml:space="preserve">Per </w:t>
      </w:r>
      <w:r>
        <w:rPr>
          <w:bCs/>
          <w:szCs w:val="22"/>
        </w:rPr>
        <w:t xml:space="preserve">clause 13.8.5 referenced in the cited sentence, the GTK is “encrypted using KEK or KEK2 and the NIST AES key wrap algorithm.”  </w:t>
      </w:r>
    </w:p>
    <w:p w14:paraId="36CF5C85" w14:textId="77777777" w:rsidR="001004CD" w:rsidRDefault="001004CD" w:rsidP="001004CD">
      <w:pPr>
        <w:rPr>
          <w:bCs/>
          <w:szCs w:val="22"/>
        </w:rPr>
      </w:pPr>
    </w:p>
    <w:p w14:paraId="4C1D3DAC"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781DAA4" wp14:editId="4BADB72B">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18D3C3C8" w14:textId="77777777" w:rsidR="001004CD" w:rsidRDefault="001004CD" w:rsidP="001004CD">
      <w:pPr>
        <w:rPr>
          <w:bCs/>
          <w:szCs w:val="22"/>
        </w:rPr>
      </w:pPr>
    </w:p>
    <w:p w14:paraId="0F0A9066" w14:textId="77777777" w:rsidR="001004CD" w:rsidRDefault="001004CD" w:rsidP="001004CD">
      <w:pPr>
        <w:rPr>
          <w:bCs/>
          <w:szCs w:val="22"/>
        </w:rPr>
      </w:pPr>
      <w:r w:rsidRPr="00026FE0">
        <w:rPr>
          <w:bCs/>
          <w:szCs w:val="22"/>
        </w:rPr>
        <w:t>So, the 13.8.5 text does describe the process as both encryption and wrapping.  .</w:t>
      </w:r>
    </w:p>
    <w:p w14:paraId="23524A23" w14:textId="77777777" w:rsidR="001004CD" w:rsidRDefault="001004CD" w:rsidP="001004CD">
      <w:pPr>
        <w:rPr>
          <w:bCs/>
          <w:szCs w:val="22"/>
        </w:rPr>
      </w:pPr>
    </w:p>
    <w:p w14:paraId="26F2D338" w14:textId="77777777" w:rsidR="001004CD" w:rsidRDefault="001004CD" w:rsidP="001004CD">
      <w:pPr>
        <w:rPr>
          <w:bCs/>
          <w:szCs w:val="22"/>
        </w:rPr>
      </w:pPr>
      <w:r w:rsidRPr="001004CD">
        <w:rPr>
          <w:bCs/>
          <w:szCs w:val="22"/>
        </w:rPr>
        <w:t>Update after June 3 telecon:</w:t>
      </w:r>
    </w:p>
    <w:p w14:paraId="4C9DCF27" w14:textId="77777777" w:rsidR="001004CD" w:rsidRDefault="001004CD" w:rsidP="001004CD">
      <w:pPr>
        <w:rPr>
          <w:bCs/>
          <w:szCs w:val="22"/>
        </w:rPr>
      </w:pPr>
    </w:p>
    <w:p w14:paraId="5D20F3C4" w14:textId="77777777" w:rsidR="001004CD" w:rsidRDefault="001004CD" w:rsidP="001004CD">
      <w:pPr>
        <w:rPr>
          <w:bCs/>
          <w:szCs w:val="22"/>
        </w:rPr>
      </w:pPr>
      <w:r>
        <w:rPr>
          <w:bCs/>
          <w:szCs w:val="22"/>
        </w:rPr>
        <w:t>Per off-line discussion, and investigation into the AES key wrap algorithm, the KEK or KEK2 are used as the keys for an encryption process (per RFCs 3394 and 5649), and this process is how the key is wrapped.  So, encryption and wrapping are the same thing.</w:t>
      </w:r>
    </w:p>
    <w:p w14:paraId="543495EC" w14:textId="77777777" w:rsidR="001004CD" w:rsidRDefault="001004CD" w:rsidP="001004CD">
      <w:pPr>
        <w:rPr>
          <w:bCs/>
          <w:szCs w:val="22"/>
        </w:rPr>
      </w:pPr>
    </w:p>
    <w:p w14:paraId="006851E9" w14:textId="77777777" w:rsidR="001004CD" w:rsidRDefault="001004CD" w:rsidP="001004CD">
      <w:r>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3D1AFC96" w14:textId="77777777" w:rsidR="001004CD" w:rsidRDefault="001004CD" w:rsidP="001004CD"/>
    <w:p w14:paraId="4F58CF06" w14:textId="77777777" w:rsidR="001004CD" w:rsidRDefault="001004CD" w:rsidP="001004CD">
      <w:r>
        <w:t>There is similar usage of the “encrypted” wording in the description of the Authenticator state machine:</w:t>
      </w:r>
    </w:p>
    <w:p w14:paraId="1D0AFAD0" w14:textId="77777777" w:rsidR="001004CD" w:rsidRDefault="001004CD" w:rsidP="001004CD"/>
    <w:p w14:paraId="4944CB0A"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6258D48B" wp14:editId="04DED63B">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6F2E116D" w14:textId="77777777" w:rsidR="001004CD" w:rsidRDefault="001004CD" w:rsidP="001004CD"/>
    <w:p w14:paraId="555F77C9"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73CD40F7" wp14:editId="24423207">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4A833728" w14:textId="77777777" w:rsidR="001004CD" w:rsidRDefault="001004CD" w:rsidP="001004CD">
      <w:pPr>
        <w:rPr>
          <w:bCs/>
          <w:szCs w:val="22"/>
        </w:rPr>
      </w:pPr>
    </w:p>
    <w:p w14:paraId="26E7CAE8" w14:textId="77777777" w:rsidR="001004CD" w:rsidRDefault="001004CD" w:rsidP="001004CD">
      <w:pPr>
        <w:rPr>
          <w:bCs/>
          <w:szCs w:val="22"/>
        </w:rPr>
      </w:pPr>
      <w:r>
        <w:rPr>
          <w:bCs/>
          <w:szCs w:val="22"/>
        </w:rPr>
        <w:t>We also need to consider the usage of “Encrypted” in Figures 4-32 and 4-33:</w:t>
      </w:r>
    </w:p>
    <w:p w14:paraId="255FE3CD" w14:textId="77777777" w:rsidR="001004CD" w:rsidRPr="0051526B" w:rsidRDefault="001004CD" w:rsidP="001004CD">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1A85F868" wp14:editId="20977AA9">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AB2E7D1" w14:textId="77777777" w:rsidR="001004CD" w:rsidRDefault="001004CD" w:rsidP="001004CD">
      <w:pPr>
        <w:rPr>
          <w:bCs/>
          <w:szCs w:val="22"/>
        </w:rPr>
      </w:pPr>
    </w:p>
    <w:p w14:paraId="6C742D8A" w14:textId="77777777" w:rsidR="001004CD" w:rsidRPr="00661AF4" w:rsidRDefault="001004CD" w:rsidP="001004CD">
      <w:pPr>
        <w:rPr>
          <w:bCs/>
          <w:noProof/>
          <w:szCs w:val="22"/>
          <w:bdr w:val="single" w:sz="8" w:space="0" w:color="auto" w:shadow="1"/>
        </w:rPr>
      </w:pPr>
      <w:r w:rsidRPr="00661AF4">
        <w:rPr>
          <w:bCs/>
          <w:noProof/>
          <w:szCs w:val="22"/>
          <w:bdr w:val="single" w:sz="8" w:space="0" w:color="auto" w:shadow="1"/>
        </w:rPr>
        <w:drawing>
          <wp:inline distT="0" distB="0" distL="0" distR="0" wp14:anchorId="6E4966CE" wp14:editId="10F9DCA2">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4004078F" w14:textId="77777777" w:rsidR="001004CD" w:rsidRDefault="001004CD" w:rsidP="001004CD">
      <w:pPr>
        <w:rPr>
          <w:bCs/>
          <w:szCs w:val="22"/>
        </w:rPr>
      </w:pPr>
    </w:p>
    <w:p w14:paraId="75A2DFAC" w14:textId="77777777" w:rsidR="001004CD" w:rsidRDefault="001004CD" w:rsidP="001004CD">
      <w:pPr>
        <w:rPr>
          <w:bCs/>
          <w:szCs w:val="22"/>
        </w:rPr>
      </w:pPr>
      <w:r>
        <w:rPr>
          <w:bCs/>
          <w:szCs w:val="22"/>
        </w:rPr>
        <w:t xml:space="preserve">While we’re at it, why does Figure 4-32 have a box around it, but Figure 4-33 does not?  </w:t>
      </w:r>
    </w:p>
    <w:p w14:paraId="046BCAD1" w14:textId="77777777" w:rsidR="001004CD" w:rsidRDefault="001004CD" w:rsidP="001004CD">
      <w:pPr>
        <w:rPr>
          <w:bCs/>
          <w:szCs w:val="22"/>
        </w:rPr>
      </w:pPr>
    </w:p>
    <w:p w14:paraId="365054D2" w14:textId="77777777" w:rsidR="001004CD" w:rsidRDefault="001004CD" w:rsidP="001004CD">
      <w:pPr>
        <w:rPr>
          <w:bCs/>
          <w:szCs w:val="22"/>
        </w:rPr>
      </w:pPr>
      <w:r>
        <w:rPr>
          <w:bCs/>
          <w:szCs w:val="22"/>
        </w:rPr>
        <w:t>And, why does the EAPOL-Key carry an “Encrypted(GTK, IGTK, BIGTK)” in Figure 4-32, but it carries “Encrypted GTK, Encrypted IGTK, Encrypted BIGTK” in Figure 4-33?</w:t>
      </w:r>
    </w:p>
    <w:p w14:paraId="42D2CC2A" w14:textId="77777777" w:rsidR="001004CD" w:rsidRDefault="001004CD" w:rsidP="001004CD">
      <w:pPr>
        <w:rPr>
          <w:bCs/>
          <w:szCs w:val="22"/>
        </w:rPr>
      </w:pPr>
    </w:p>
    <w:p w14:paraId="2BEF32DD" w14:textId="77777777" w:rsidR="001004CD" w:rsidRDefault="001004CD" w:rsidP="001004CD">
      <w:pPr>
        <w:rPr>
          <w:bCs/>
          <w:szCs w:val="22"/>
        </w:rPr>
      </w:pPr>
      <w:r w:rsidRPr="009517C5">
        <w:rPr>
          <w:bCs/>
          <w:szCs w:val="22"/>
          <w:highlight w:val="green"/>
          <w:u w:val="single"/>
        </w:rPr>
        <w:lastRenderedPageBreak/>
        <w:t>Proposed Resolution:</w:t>
      </w:r>
    </w:p>
    <w:p w14:paraId="127F0654" w14:textId="77777777" w:rsidR="001004CD" w:rsidRDefault="001004CD" w:rsidP="001004CD">
      <w:pPr>
        <w:rPr>
          <w:bCs/>
          <w:szCs w:val="22"/>
        </w:rPr>
      </w:pPr>
    </w:p>
    <w:p w14:paraId="2E228747" w14:textId="77777777" w:rsidR="001004CD" w:rsidRDefault="001004CD" w:rsidP="001004CD">
      <w:pPr>
        <w:rPr>
          <w:bCs/>
          <w:szCs w:val="22"/>
        </w:rPr>
      </w:pPr>
      <w:r>
        <w:rPr>
          <w:bCs/>
          <w:szCs w:val="22"/>
        </w:rPr>
        <w:t>Revised.</w:t>
      </w:r>
    </w:p>
    <w:p w14:paraId="7DAC828F" w14:textId="77777777" w:rsidR="001004CD" w:rsidRDefault="001004CD" w:rsidP="001004CD">
      <w:pPr>
        <w:rPr>
          <w:bCs/>
          <w:szCs w:val="22"/>
        </w:rPr>
      </w:pPr>
    </w:p>
    <w:p w14:paraId="5E19AAFF"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19C1ED01" w14:textId="77777777" w:rsidR="001004CD" w:rsidRDefault="001004CD" w:rsidP="001004CD">
      <w:pPr>
        <w:rPr>
          <w:bCs/>
          <w:szCs w:val="22"/>
        </w:rPr>
      </w:pPr>
    </w:p>
    <w:p w14:paraId="3FADF636" w14:textId="77777777" w:rsidR="001004CD" w:rsidRDefault="001004CD" w:rsidP="001004CD">
      <w:pPr>
        <w:rPr>
          <w:bCs/>
          <w:szCs w:val="22"/>
        </w:rPr>
      </w:pPr>
      <w:r>
        <w:rPr>
          <w:bCs/>
          <w:szCs w:val="22"/>
        </w:rPr>
        <w:t>Similarly, replace “Encrypted” with “Wrapped” in Figures 4-32 and 4-33.</w:t>
      </w:r>
    </w:p>
    <w:p w14:paraId="0FCB4DF6" w14:textId="77777777" w:rsidR="001004CD" w:rsidRDefault="001004CD" w:rsidP="001004CD">
      <w:pPr>
        <w:rPr>
          <w:bCs/>
          <w:szCs w:val="22"/>
        </w:rPr>
      </w:pPr>
    </w:p>
    <w:p w14:paraId="057A8FC4" w14:textId="77777777" w:rsidR="001004CD" w:rsidRDefault="001004CD" w:rsidP="001004CD">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49EA0AEC" w14:textId="77777777" w:rsidR="001004CD" w:rsidRDefault="001004CD" w:rsidP="001004CD">
      <w:pPr>
        <w:rPr>
          <w:bCs/>
          <w:szCs w:val="22"/>
        </w:rPr>
      </w:pPr>
    </w:p>
    <w:p w14:paraId="32B1ECD5" w14:textId="77777777" w:rsidR="001004CD" w:rsidRDefault="001004CD" w:rsidP="001004CD">
      <w:pPr>
        <w:rPr>
          <w:bCs/>
          <w:szCs w:val="22"/>
        </w:rPr>
      </w:pPr>
      <w:r>
        <w:rPr>
          <w:bCs/>
          <w:szCs w:val="22"/>
        </w:rPr>
        <w:t>At P2668.7 and P2668.10, change “key-wrap” to “key wrap”</w:t>
      </w:r>
    </w:p>
    <w:p w14:paraId="6ED76CD6" w14:textId="77777777" w:rsidR="001004CD" w:rsidRDefault="001004CD" w:rsidP="001004CD">
      <w:pPr>
        <w:rPr>
          <w:bCs/>
          <w:szCs w:val="22"/>
        </w:rPr>
      </w:pPr>
    </w:p>
    <w:p w14:paraId="59773631" w14:textId="77777777" w:rsidR="001004CD" w:rsidRDefault="001004CD" w:rsidP="001004CD">
      <w:pPr>
        <w:rPr>
          <w:bCs/>
          <w:szCs w:val="22"/>
        </w:rPr>
      </w:pPr>
      <w:r w:rsidRPr="001004CD">
        <w:rPr>
          <w:bCs/>
          <w:szCs w:val="22"/>
        </w:rPr>
        <w:t>Since agreement on the June 10 telecon:</w:t>
      </w:r>
    </w:p>
    <w:p w14:paraId="4D66D7BB" w14:textId="77777777" w:rsidR="001004CD" w:rsidRDefault="001004CD" w:rsidP="001004CD">
      <w:pPr>
        <w:rPr>
          <w:bCs/>
          <w:szCs w:val="22"/>
        </w:rPr>
      </w:pPr>
    </w:p>
    <w:p w14:paraId="7D6F0A48" w14:textId="77777777" w:rsidR="001004CD" w:rsidRPr="0081371F" w:rsidRDefault="001004CD" w:rsidP="001004CD">
      <w:pPr>
        <w:pStyle w:val="ListParagraph"/>
        <w:numPr>
          <w:ilvl w:val="0"/>
          <w:numId w:val="48"/>
        </w:numPr>
        <w:rPr>
          <w:bCs/>
          <w:szCs w:val="22"/>
        </w:rPr>
      </w:pPr>
      <w:r>
        <w:t>If you check out table 12-10, AKMs 00-0F-AC:14-17 use AES-SIV</w:t>
      </w:r>
    </w:p>
    <w:p w14:paraId="27EA54D5" w14:textId="77777777" w:rsidR="001004CD" w:rsidRPr="004C5428" w:rsidRDefault="001004CD" w:rsidP="001004CD">
      <w:pPr>
        <w:pStyle w:val="ListParagraph"/>
        <w:numPr>
          <w:ilvl w:val="0"/>
          <w:numId w:val="48"/>
        </w:numPr>
        <w:rPr>
          <w:bCs/>
          <w:szCs w:val="22"/>
        </w:rPr>
      </w:pPr>
      <w:r>
        <w:t>There is no padding needed with AES-SIV.</w:t>
      </w:r>
    </w:p>
    <w:p w14:paraId="63C53FC6" w14:textId="77777777" w:rsidR="001004CD" w:rsidRDefault="001004CD" w:rsidP="001004CD">
      <w:pPr>
        <w:pStyle w:val="ListParagraph"/>
        <w:numPr>
          <w:ilvl w:val="0"/>
          <w:numId w:val="48"/>
        </w:numPr>
      </w:pPr>
      <w:r>
        <w:t>So, we now have wrapping algorithms other than “NIST AES Key Wrap”, and padding is conditional. The baseline text was wrong on this aspect.  This is now a technical change/fix.</w:t>
      </w:r>
    </w:p>
    <w:p w14:paraId="212C8B50" w14:textId="77777777" w:rsidR="001004CD" w:rsidRDefault="001004CD" w:rsidP="001004CD">
      <w:pPr>
        <w:rPr>
          <w:bCs/>
          <w:szCs w:val="22"/>
        </w:rPr>
      </w:pPr>
    </w:p>
    <w:p w14:paraId="44E9439E" w14:textId="77777777" w:rsidR="001004CD" w:rsidRDefault="001004CD" w:rsidP="001004CD">
      <w:pPr>
        <w:rPr>
          <w:bCs/>
          <w:szCs w:val="22"/>
        </w:rPr>
      </w:pPr>
      <w:r w:rsidRPr="005B73A0">
        <w:rPr>
          <w:bCs/>
          <w:szCs w:val="22"/>
          <w:highlight w:val="cyan"/>
          <w:u w:val="single"/>
        </w:rPr>
        <w:t>Proposed Resolution:</w:t>
      </w:r>
    </w:p>
    <w:p w14:paraId="43D3F025" w14:textId="77777777" w:rsidR="001004CD" w:rsidRDefault="001004CD" w:rsidP="001004CD">
      <w:pPr>
        <w:rPr>
          <w:bCs/>
          <w:szCs w:val="22"/>
        </w:rPr>
      </w:pPr>
    </w:p>
    <w:p w14:paraId="34B09CED" w14:textId="77777777" w:rsidR="001004CD" w:rsidRDefault="001004CD" w:rsidP="001004CD">
      <w:pPr>
        <w:rPr>
          <w:bCs/>
          <w:szCs w:val="22"/>
        </w:rPr>
      </w:pPr>
      <w:r>
        <w:rPr>
          <w:bCs/>
          <w:szCs w:val="22"/>
        </w:rPr>
        <w:t>Revised.</w:t>
      </w:r>
    </w:p>
    <w:p w14:paraId="7680EFA2" w14:textId="77777777" w:rsidR="001004CD" w:rsidRDefault="001004CD" w:rsidP="001004CD">
      <w:pPr>
        <w:rPr>
          <w:bCs/>
          <w:szCs w:val="22"/>
        </w:rPr>
      </w:pPr>
    </w:p>
    <w:p w14:paraId="4B761B41"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0D005AC4" w14:textId="77777777" w:rsidR="001004CD" w:rsidRDefault="001004CD" w:rsidP="001004CD">
      <w:pPr>
        <w:rPr>
          <w:bCs/>
          <w:szCs w:val="22"/>
        </w:rPr>
      </w:pPr>
    </w:p>
    <w:p w14:paraId="61A6D5FC" w14:textId="77777777" w:rsidR="001004CD" w:rsidRDefault="001004CD" w:rsidP="001004CD">
      <w:pPr>
        <w:rPr>
          <w:bCs/>
          <w:szCs w:val="22"/>
        </w:rPr>
      </w:pPr>
      <w:r>
        <w:rPr>
          <w:bCs/>
          <w:szCs w:val="22"/>
        </w:rPr>
        <w:t xml:space="preserve">Similarly, replace “Encrypted” with “Wrapped” in Figures </w:t>
      </w:r>
      <w:commentRangeStart w:id="3"/>
      <w:commentRangeStart w:id="4"/>
      <w:r>
        <w:rPr>
          <w:bCs/>
          <w:szCs w:val="22"/>
        </w:rPr>
        <w:t>4-32 and 4-33</w:t>
      </w:r>
      <w:commentRangeEnd w:id="3"/>
      <w:r>
        <w:rPr>
          <w:rStyle w:val="CommentReference"/>
        </w:rPr>
        <w:commentReference w:id="3"/>
      </w:r>
      <w:commentRangeEnd w:id="4"/>
      <w:r>
        <w:rPr>
          <w:rStyle w:val="CommentReference"/>
        </w:rPr>
        <w:commentReference w:id="4"/>
      </w:r>
      <w:r>
        <w:rPr>
          <w:bCs/>
          <w:szCs w:val="22"/>
        </w:rPr>
        <w:t>.</w:t>
      </w:r>
    </w:p>
    <w:p w14:paraId="586C1B02" w14:textId="77777777" w:rsidR="001004CD" w:rsidRDefault="001004CD" w:rsidP="001004CD">
      <w:pPr>
        <w:rPr>
          <w:bCs/>
          <w:szCs w:val="22"/>
        </w:rPr>
      </w:pPr>
    </w:p>
    <w:p w14:paraId="4654FC3C" w14:textId="77777777" w:rsidR="001004CD" w:rsidRDefault="001004CD" w:rsidP="001004CD">
      <w:pPr>
        <w:rPr>
          <w:bCs/>
          <w:szCs w:val="22"/>
        </w:rPr>
      </w:pPr>
      <w:r>
        <w:rPr>
          <w:bCs/>
          <w:szCs w:val="22"/>
        </w:rPr>
        <w:t xml:space="preserve">In 13.8.5 (P2748.59), change </w:t>
      </w:r>
    </w:p>
    <w:p w14:paraId="455D61D6" w14:textId="77777777" w:rsidR="001004CD" w:rsidRDefault="001004CD" w:rsidP="001004CD">
      <w:pPr>
        <w:rPr>
          <w:bCs/>
          <w:szCs w:val="22"/>
        </w:rPr>
      </w:pPr>
      <w:r>
        <w:rPr>
          <w:bCs/>
          <w:szCs w:val="22"/>
        </w:rPr>
        <w:t>“</w:t>
      </w:r>
      <w:r w:rsidRPr="004C5428">
        <w:rPr>
          <w:bCs/>
          <w:szCs w:val="22"/>
        </w:rPr>
        <w:t>If a GTK, an IGTK or a BIGTK(#2116) are included, (#102)the Key field of the</w:t>
      </w:r>
      <w:r>
        <w:rPr>
          <w:bCs/>
          <w:szCs w:val="22"/>
        </w:rPr>
        <w:t xml:space="preserve"> </w:t>
      </w:r>
      <w:proofErr w:type="spellStart"/>
      <w:r w:rsidRPr="004C5428">
        <w:rPr>
          <w:bCs/>
          <w:szCs w:val="22"/>
        </w:rPr>
        <w:t>subelement</w:t>
      </w:r>
      <w:proofErr w:type="spellEnd"/>
      <w:r w:rsidRPr="004C5428">
        <w:rPr>
          <w:bCs/>
          <w:szCs w:val="22"/>
        </w:rPr>
        <w:t xml:space="preserve"> shall be encrypted using KEK (#102)(when the negotiated AKM is 00-0F-AC:3, 00-0FAC:4, 00-0F-AC:9, or 00-0F-AC:13) or KEK2 (when the negotiated AKM is 00-0F-AC:16 or 00-0F-AC:17) and the NIST AES key wrap algorithm. The </w:t>
      </w:r>
      <w:commentRangeStart w:id="5"/>
      <w:commentRangeStart w:id="6"/>
      <w:r w:rsidRPr="004C5428">
        <w:rPr>
          <w:bCs/>
          <w:szCs w:val="22"/>
        </w:rPr>
        <w:t>Key field shall be padded before encrypting</w:t>
      </w:r>
      <w:r>
        <w:rPr>
          <w:bCs/>
          <w:szCs w:val="22"/>
        </w:rPr>
        <w:t xml:space="preserve"> </w:t>
      </w:r>
      <w:r w:rsidRPr="004C5428">
        <w:rPr>
          <w:bCs/>
          <w:szCs w:val="22"/>
        </w:rPr>
        <w:t>if the key length is less than 16 octets or if it is not a multiple of 8</w:t>
      </w:r>
      <w:commentRangeEnd w:id="5"/>
      <w:r>
        <w:rPr>
          <w:rStyle w:val="CommentReference"/>
        </w:rPr>
        <w:commentReference w:id="5"/>
      </w:r>
      <w:commentRangeEnd w:id="6"/>
      <w:r>
        <w:rPr>
          <w:rStyle w:val="CommentReference"/>
        </w:rPr>
        <w:commentReference w:id="6"/>
      </w:r>
      <w:r w:rsidRPr="004C5428">
        <w:rPr>
          <w:bCs/>
          <w:szCs w:val="22"/>
        </w:rPr>
        <w:t>.</w:t>
      </w:r>
      <w:r>
        <w:rPr>
          <w:bCs/>
          <w:szCs w:val="22"/>
        </w:rPr>
        <w:t>”</w:t>
      </w:r>
    </w:p>
    <w:p w14:paraId="2A7F38FE" w14:textId="77777777" w:rsidR="001004CD" w:rsidRDefault="001004CD" w:rsidP="001004CD">
      <w:pPr>
        <w:rPr>
          <w:bCs/>
          <w:szCs w:val="22"/>
        </w:rPr>
      </w:pPr>
      <w:r>
        <w:rPr>
          <w:bCs/>
          <w:szCs w:val="22"/>
        </w:rPr>
        <w:t xml:space="preserve">to </w:t>
      </w:r>
    </w:p>
    <w:p w14:paraId="6DBA317A" w14:textId="77777777" w:rsidR="001004CD" w:rsidRDefault="001004CD" w:rsidP="001004CD">
      <w:pPr>
        <w:rPr>
          <w:bCs/>
          <w:szCs w:val="22"/>
        </w:rPr>
      </w:pPr>
      <w:r w:rsidRPr="004C5428">
        <w:rPr>
          <w:bCs/>
          <w:szCs w:val="22"/>
        </w:rPr>
        <w:t xml:space="preserve">“If a GTK, an IGTK or a BIGTK are included, the Key field of the </w:t>
      </w:r>
      <w:proofErr w:type="spellStart"/>
      <w:r w:rsidRPr="004C5428">
        <w:rPr>
          <w:bCs/>
          <w:szCs w:val="22"/>
        </w:rPr>
        <w:t>subelement</w:t>
      </w:r>
      <w:proofErr w:type="spellEnd"/>
      <w:r w:rsidRPr="004C5428">
        <w:rPr>
          <w:bCs/>
          <w:szCs w:val="22"/>
        </w:rPr>
        <w:t xml:space="preserve"> shall be wrapped using KEK </w:t>
      </w:r>
      <w:commentRangeStart w:id="7"/>
      <w:r w:rsidRPr="004C5428">
        <w:rPr>
          <w:bCs/>
          <w:szCs w:val="22"/>
        </w:rPr>
        <w:t>and</w:t>
      </w:r>
      <w:commentRangeEnd w:id="7"/>
      <w:r>
        <w:rPr>
          <w:rStyle w:val="CommentReference"/>
        </w:rPr>
        <w:commentReference w:id="7"/>
      </w:r>
      <w:r w:rsidRPr="004C5428">
        <w:rPr>
          <w:bCs/>
          <w:szCs w:val="22"/>
        </w:rPr>
        <w:t>/or KEK2 and the appropriate key wrap algorithm, as specified in Table 12-10.”</w:t>
      </w:r>
    </w:p>
    <w:p w14:paraId="1B0900EB" w14:textId="77777777" w:rsidR="001004CD" w:rsidRDefault="001004CD" w:rsidP="001004CD">
      <w:pPr>
        <w:rPr>
          <w:bCs/>
          <w:szCs w:val="22"/>
        </w:rPr>
      </w:pPr>
    </w:p>
    <w:p w14:paraId="43750AEB" w14:textId="77777777" w:rsidR="001004CD" w:rsidRDefault="001004CD" w:rsidP="001004CD">
      <w:pPr>
        <w:rPr>
          <w:bCs/>
          <w:szCs w:val="22"/>
        </w:rPr>
      </w:pPr>
      <w:r>
        <w:rPr>
          <w:bCs/>
          <w:szCs w:val="22"/>
        </w:rPr>
        <w:t>At P2668.7 and P2668.10, change “key-wrap” to “key wrap”.</w:t>
      </w:r>
    </w:p>
    <w:p w14:paraId="7C30A126" w14:textId="77777777" w:rsidR="001004CD" w:rsidRPr="004C5428" w:rsidRDefault="001004CD" w:rsidP="001004CD">
      <w:pPr>
        <w:rPr>
          <w:bCs/>
          <w:szCs w:val="22"/>
        </w:rPr>
      </w:pPr>
    </w:p>
    <w:p w14:paraId="70A32F74" w14:textId="77777777" w:rsidR="001004CD" w:rsidRDefault="001004CD" w:rsidP="001004CD">
      <w:pPr>
        <w:rPr>
          <w:bCs/>
          <w:szCs w:val="22"/>
        </w:rPr>
      </w:pPr>
    </w:p>
    <w:p w14:paraId="3269EE08" w14:textId="3F6070B3" w:rsidR="001004CD" w:rsidRDefault="001004CD" w:rsidP="001004CD">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lastRenderedPageBreak/>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 xml:space="preserve">Table 9-94 says that the Multiple MAC Sublayers element is Extensible.  However, there appears to be no indication of the number of </w:t>
      </w:r>
      <w:proofErr w:type="spellStart"/>
      <w:r>
        <w:rPr>
          <w:bCs/>
          <w:szCs w:val="22"/>
        </w:rPr>
        <w:t>Inferface</w:t>
      </w:r>
      <w:proofErr w:type="spellEnd"/>
      <w:r>
        <w:rPr>
          <w:bCs/>
          <w:szCs w:val="22"/>
        </w:rPr>
        <w:t xml:space="preserv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Shifting consideration to the response primitives, it can be seen that the MLME-(RE)ASSOCIATE request, indication and confirm primitives have an MMS parameter.  However, the MLME-(RE)</w:t>
      </w:r>
      <w:proofErr w:type="spellStart"/>
      <w:r>
        <w:rPr>
          <w:bCs/>
          <w:szCs w:val="22"/>
        </w:rPr>
        <w:t>ASSOCIATE.response</w:t>
      </w:r>
      <w:proofErr w:type="spellEnd"/>
      <w:r>
        <w:rPr>
          <w:bCs/>
          <w:szCs w:val="22"/>
        </w:rPr>
        <w:t xml:space="preserv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In subclause 6.3.7.5.2 (Semantics of the [MLME-</w:t>
      </w:r>
      <w:proofErr w:type="spellStart"/>
      <w:r>
        <w:rPr>
          <w:bCs/>
          <w:szCs w:val="22"/>
        </w:rPr>
        <w:t>ASSOCIATE.response</w:t>
      </w:r>
      <w:proofErr w:type="spellEnd"/>
      <w:r>
        <w:rPr>
          <w:bCs/>
          <w:szCs w:val="22"/>
        </w:rPr>
        <w:t>] service primitive) add a parameter in the parameter list: “MMS”, before the “</w:t>
      </w:r>
      <w:proofErr w:type="spellStart"/>
      <w:r>
        <w:rPr>
          <w:bCs/>
          <w:szCs w:val="22"/>
        </w:rPr>
        <w:t>FILSHLPContainer</w:t>
      </w:r>
      <w:proofErr w:type="spellEnd"/>
      <w:r>
        <w:rPr>
          <w:bCs/>
          <w:szCs w:val="22"/>
        </w:rPr>
        <w:t>” parameter.  Add a row in the parameter description table before the “</w:t>
      </w:r>
      <w:proofErr w:type="spellStart"/>
      <w:r>
        <w:rPr>
          <w:bCs/>
          <w:szCs w:val="22"/>
        </w:rPr>
        <w:t>FILSHLPContainer</w:t>
      </w:r>
      <w:proofErr w:type="spellEnd"/>
      <w:r>
        <w:rPr>
          <w:bCs/>
          <w:szCs w:val="22"/>
        </w:rPr>
        <w:t xml:space="preserve">”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Name=”MMS”,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Type=”Multiple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Valid range=”As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Description=”Specifies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6.3.7.5.2 (Semantics of the [MLME-</w:t>
      </w:r>
      <w:proofErr w:type="spellStart"/>
      <w:r w:rsidRPr="00862C56">
        <w:rPr>
          <w:bCs/>
          <w:szCs w:val="22"/>
        </w:rPr>
        <w:t>ASSOCIATE.response</w:t>
      </w:r>
      <w:proofErr w:type="spellEnd"/>
      <w:r w:rsidRPr="00862C56">
        <w:rPr>
          <w:bCs/>
          <w:szCs w:val="22"/>
        </w:rPr>
        <w:t xml:space="preserve">] service primitive), </w:t>
      </w:r>
    </w:p>
    <w:p w14:paraId="0130DB92" w14:textId="77777777" w:rsidR="00397CBC" w:rsidRDefault="00397CBC" w:rsidP="00397CBC">
      <w:pPr>
        <w:pStyle w:val="ListParagraph"/>
        <w:numPr>
          <w:ilvl w:val="0"/>
          <w:numId w:val="44"/>
        </w:numPr>
        <w:rPr>
          <w:bCs/>
          <w:szCs w:val="22"/>
        </w:rPr>
      </w:pPr>
      <w:r w:rsidRPr="00862C56">
        <w:rPr>
          <w:bCs/>
          <w:szCs w:val="22"/>
        </w:rPr>
        <w:t>6.3.7.3.2 (Semantics of the [MLME-</w:t>
      </w:r>
      <w:proofErr w:type="spellStart"/>
      <w:r w:rsidRPr="00862C56">
        <w:rPr>
          <w:bCs/>
          <w:szCs w:val="22"/>
        </w:rPr>
        <w:t>ASSOCIATE.confirm</w:t>
      </w:r>
      <w:proofErr w:type="spellEnd"/>
      <w:r w:rsidRPr="00862C56">
        <w:rPr>
          <w:bCs/>
          <w:szCs w:val="22"/>
        </w:rPr>
        <w:t xml:space="preserve">] service primitive), </w:t>
      </w:r>
    </w:p>
    <w:p w14:paraId="4A6414E7" w14:textId="77777777" w:rsidR="00397CBC" w:rsidRDefault="00397CBC" w:rsidP="00397CBC">
      <w:pPr>
        <w:pStyle w:val="ListParagraph"/>
        <w:numPr>
          <w:ilvl w:val="0"/>
          <w:numId w:val="44"/>
        </w:numPr>
        <w:rPr>
          <w:bCs/>
          <w:szCs w:val="22"/>
        </w:rPr>
      </w:pPr>
      <w:r w:rsidRPr="00862C56">
        <w:rPr>
          <w:bCs/>
          <w:szCs w:val="22"/>
        </w:rPr>
        <w:t>6.3.8.5.2 (Semantics of the [MLME-</w:t>
      </w:r>
      <w:proofErr w:type="spellStart"/>
      <w:r w:rsidRPr="00862C56">
        <w:rPr>
          <w:bCs/>
          <w:szCs w:val="22"/>
        </w:rPr>
        <w:t>REASSOCIATE.response</w:t>
      </w:r>
      <w:proofErr w:type="spellEnd"/>
      <w:r w:rsidRPr="00862C56">
        <w:rPr>
          <w:bCs/>
          <w:szCs w:val="22"/>
        </w:rPr>
        <w:t xml:space="preserv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w:t>
      </w:r>
      <w:proofErr w:type="spellStart"/>
      <w:r w:rsidRPr="00862C56">
        <w:rPr>
          <w:bCs/>
          <w:szCs w:val="22"/>
        </w:rPr>
        <w:t>REASSOCIATE.confirm</w:t>
      </w:r>
      <w:proofErr w:type="spellEnd"/>
      <w:r w:rsidRPr="00862C56">
        <w:rPr>
          <w:bCs/>
          <w:szCs w:val="22"/>
        </w:rPr>
        <w:t>]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w:t>
      </w:r>
      <w:proofErr w:type="spellStart"/>
      <w:r w:rsidRPr="00862C56">
        <w:rPr>
          <w:bCs/>
          <w:szCs w:val="22"/>
        </w:rPr>
        <w:t>AIDAnnouncement</w:t>
      </w:r>
      <w:proofErr w:type="spellEnd"/>
      <w:r w:rsidRPr="00862C56">
        <w:rPr>
          <w:bCs/>
          <w:szCs w:val="22"/>
        </w:rPr>
        <w:t>” immediately before the “</w:t>
      </w:r>
      <w:proofErr w:type="spellStart"/>
      <w:r w:rsidRPr="00862C56">
        <w:rPr>
          <w:bCs/>
          <w:szCs w:val="22"/>
        </w:rPr>
        <w:t>VendorSpecificInfo</w:t>
      </w:r>
      <w:proofErr w:type="spellEnd"/>
      <w:r w:rsidRPr="00862C56">
        <w:rPr>
          <w:bCs/>
          <w:szCs w:val="22"/>
        </w:rPr>
        <w:t>”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w:t>
      </w:r>
      <w:proofErr w:type="spellStart"/>
      <w:r>
        <w:rPr>
          <w:bCs/>
          <w:szCs w:val="22"/>
        </w:rPr>
        <w:t>VendorSpecificInfo</w:t>
      </w:r>
      <w:proofErr w:type="spellEnd"/>
      <w:r>
        <w:rPr>
          <w:bCs/>
          <w:szCs w:val="22"/>
        </w:rPr>
        <w:t xml:space="preserve"> row: </w:t>
      </w:r>
    </w:p>
    <w:p w14:paraId="147385A8" w14:textId="77777777" w:rsidR="00397CBC" w:rsidRDefault="00397CBC" w:rsidP="00397CBC">
      <w:pPr>
        <w:pStyle w:val="ListParagraph"/>
        <w:numPr>
          <w:ilvl w:val="2"/>
          <w:numId w:val="44"/>
        </w:numPr>
        <w:rPr>
          <w:bCs/>
          <w:szCs w:val="22"/>
        </w:rPr>
      </w:pPr>
      <w:r>
        <w:rPr>
          <w:bCs/>
          <w:szCs w:val="22"/>
        </w:rPr>
        <w:t>Name=“</w:t>
      </w:r>
      <w:proofErr w:type="spellStart"/>
      <w:r>
        <w:rPr>
          <w:bCs/>
          <w:szCs w:val="22"/>
        </w:rPr>
        <w:t>AIDAnnouncement</w:t>
      </w:r>
      <w:proofErr w:type="spellEnd"/>
      <w:r>
        <w:rPr>
          <w:bCs/>
          <w:szCs w:val="22"/>
        </w:rPr>
        <w:t xml:space="preserve">”, </w:t>
      </w:r>
    </w:p>
    <w:p w14:paraId="2EDB2884" w14:textId="77777777" w:rsidR="00397CBC" w:rsidRDefault="00397CBC" w:rsidP="00397CBC">
      <w:pPr>
        <w:pStyle w:val="ListParagraph"/>
        <w:numPr>
          <w:ilvl w:val="2"/>
          <w:numId w:val="44"/>
        </w:numPr>
        <w:rPr>
          <w:bCs/>
          <w:szCs w:val="22"/>
        </w:rPr>
      </w:pPr>
      <w:r>
        <w:rPr>
          <w:bCs/>
          <w:szCs w:val="22"/>
        </w:rPr>
        <w:t xml:space="preserve">Type=”AID Announcement element”, </w:t>
      </w:r>
    </w:p>
    <w:p w14:paraId="28AE296B" w14:textId="77777777" w:rsidR="00397CBC" w:rsidRDefault="00397CBC" w:rsidP="00397CBC">
      <w:pPr>
        <w:pStyle w:val="ListParagraph"/>
        <w:numPr>
          <w:ilvl w:val="2"/>
          <w:numId w:val="44"/>
        </w:numPr>
        <w:rPr>
          <w:bCs/>
          <w:szCs w:val="22"/>
        </w:rPr>
      </w:pPr>
      <w:r>
        <w:rPr>
          <w:bCs/>
          <w:szCs w:val="22"/>
        </w:rPr>
        <w:t xml:space="preserve">Valid range=”As defined in 9.4.2.208”, </w:t>
      </w:r>
    </w:p>
    <w:p w14:paraId="3C77C311" w14:textId="77777777" w:rsidR="00397CBC" w:rsidRPr="00862C56" w:rsidRDefault="00397CBC" w:rsidP="00397CBC">
      <w:pPr>
        <w:pStyle w:val="ListParagraph"/>
        <w:numPr>
          <w:ilvl w:val="2"/>
          <w:numId w:val="44"/>
        </w:numPr>
        <w:rPr>
          <w:bCs/>
          <w:szCs w:val="22"/>
        </w:rPr>
      </w:pPr>
      <w:r>
        <w:rPr>
          <w:bCs/>
          <w:szCs w:val="22"/>
        </w:rPr>
        <w:t xml:space="preserve">Description=”Specifies the mapping from MAC Address(es) to assigned AID(s) for all of the STAs included in the MMS element.  </w:t>
      </w:r>
      <w:r w:rsidRPr="00C610C4">
        <w:rPr>
          <w:bCs/>
          <w:szCs w:val="22"/>
        </w:rPr>
        <w:t>The parameter is present if dot11MultipleMACActivated is true</w:t>
      </w:r>
      <w:r>
        <w:rPr>
          <w:bCs/>
          <w:szCs w:val="22"/>
        </w:rPr>
        <w:t>, the corresponding MLME-[RE]</w:t>
      </w:r>
      <w:proofErr w:type="spellStart"/>
      <w:r>
        <w:rPr>
          <w:bCs/>
          <w:szCs w:val="22"/>
        </w:rPr>
        <w:t>ASSOCIATE.indication</w:t>
      </w:r>
      <w:proofErr w:type="spellEnd"/>
      <w:r>
        <w:rPr>
          <w:bCs/>
          <w:szCs w:val="22"/>
        </w:rPr>
        <w:t xml:space="preserve">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Information=”AID Announcement”</w:t>
      </w:r>
    </w:p>
    <w:p w14:paraId="39D94C60" w14:textId="77777777" w:rsidR="00397CBC" w:rsidRPr="00927F79" w:rsidRDefault="00397CBC" w:rsidP="00397CBC">
      <w:pPr>
        <w:pStyle w:val="ListParagraph"/>
        <w:numPr>
          <w:ilvl w:val="0"/>
          <w:numId w:val="44"/>
        </w:numPr>
        <w:rPr>
          <w:bCs/>
          <w:szCs w:val="22"/>
        </w:rPr>
      </w:pPr>
      <w:r>
        <w:rPr>
          <w:bCs/>
          <w:szCs w:val="22"/>
        </w:rPr>
        <w:t xml:space="preserve">Notes=”The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8" w:name="_Hlk41391567"/>
      <w:r>
        <w:rPr>
          <w:bCs/>
          <w:szCs w:val="22"/>
        </w:rPr>
        <w:t xml:space="preserve">In subclause 11.3.5.3, bullet (m),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ASSOCIATION.response</w:t>
      </w:r>
      <w:proofErr w:type="spellEnd"/>
      <w:r>
        <w:rPr>
          <w:bCs/>
          <w:szCs w:val="22"/>
        </w:rPr>
        <w:t xml:space="preserve"> primitive indicating the AID assignments.”</w:t>
      </w:r>
    </w:p>
    <w:bookmarkEnd w:id="8"/>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 xml:space="preserve">In subclause 11.3.5.5, bullet (k),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REASSOCIATION.response</w:t>
      </w:r>
      <w:proofErr w:type="spellEnd"/>
      <w:r>
        <w:rPr>
          <w:bCs/>
          <w:szCs w:val="22"/>
        </w:rPr>
        <w:t xml:space="preserv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proofErr w:type="spellStart"/>
      <w:r w:rsidRPr="00C665D4">
        <w:rPr>
          <w:bCs/>
          <w:color w:val="000000" w:themeColor="text1"/>
          <w:szCs w:val="22"/>
          <w:highlight w:val="red"/>
        </w:rPr>
        <w:t>xxxxxxxxxx</w:t>
      </w:r>
      <w:proofErr w:type="spellEnd"/>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proofErr w:type="spellStart"/>
      <w:r w:rsidRPr="00C665D4">
        <w:rPr>
          <w:bCs/>
          <w:color w:val="000000" w:themeColor="text1"/>
          <w:szCs w:val="22"/>
          <w:highlight w:val="red"/>
        </w:rPr>
        <w:t>xxxxxxxxxx</w:t>
      </w:r>
      <w:proofErr w:type="spellEnd"/>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proofErr w:type="spellStart"/>
      <w:r w:rsidRPr="00C665D4">
        <w:rPr>
          <w:bCs/>
          <w:color w:val="000000" w:themeColor="text1"/>
          <w:szCs w:val="22"/>
          <w:highlight w:val="red"/>
        </w:rPr>
        <w:t>xxxxxxxxxx</w:t>
      </w:r>
      <w:proofErr w:type="spellEnd"/>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proofErr w:type="spellStart"/>
      <w:r w:rsidRPr="00E735A6">
        <w:rPr>
          <w:bCs/>
          <w:szCs w:val="22"/>
          <w:highlight w:val="red"/>
        </w:rPr>
        <w:t>xxxxxx</w:t>
      </w:r>
      <w:proofErr w:type="spellEnd"/>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proofErr w:type="spellStart"/>
      <w:r>
        <w:rPr>
          <w:bCs/>
          <w:szCs w:val="22"/>
          <w:u w:val="single"/>
        </w:rPr>
        <w:t>Disucssion</w:t>
      </w:r>
      <w:proofErr w:type="spellEnd"/>
      <w:r>
        <w:rPr>
          <w:bCs/>
          <w:szCs w:val="22"/>
          <w:u w:val="single"/>
        </w:rPr>
        <w:t>:</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proofErr w:type="spellStart"/>
      <w:r w:rsidRPr="00647FC6">
        <w:rPr>
          <w:bCs/>
          <w:szCs w:val="22"/>
          <w:highlight w:val="red"/>
        </w:rPr>
        <w:t>xxxxxx</w:t>
      </w:r>
      <w:proofErr w:type="spellEnd"/>
    </w:p>
    <w:p w14:paraId="63D76D90" w14:textId="2AE3A180" w:rsidR="00397CBC" w:rsidRDefault="00397CBC" w:rsidP="00397CBC">
      <w:pPr>
        <w:rPr>
          <w:bCs/>
          <w:szCs w:val="22"/>
        </w:rPr>
      </w:pPr>
    </w:p>
    <w:p w14:paraId="6D0F1D31" w14:textId="77777777" w:rsidR="009809A6" w:rsidRDefault="00647FC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809A6" w14:paraId="7A772680"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7DFE100"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2C7B51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BD39B"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371B263"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BD5219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809A6" w:rsidRPr="00DE7477" w14:paraId="1CDB5859" w14:textId="77777777" w:rsidTr="001546E8">
        <w:trPr>
          <w:trHeight w:val="510"/>
        </w:trPr>
        <w:tc>
          <w:tcPr>
            <w:tcW w:w="738" w:type="dxa"/>
            <w:hideMark/>
          </w:tcPr>
          <w:p w14:paraId="480CEB9E"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32B7F4A0"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56306B00"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A85C6C7"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92789BA"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9809A6" w:rsidRPr="00DE7477" w14:paraId="381AEE28" w14:textId="77777777" w:rsidTr="001546E8">
        <w:trPr>
          <w:trHeight w:val="623"/>
        </w:trPr>
        <w:tc>
          <w:tcPr>
            <w:tcW w:w="738" w:type="dxa"/>
            <w:hideMark/>
          </w:tcPr>
          <w:p w14:paraId="30886AFD"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7C7D3E67"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BCFF518"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23FA8757"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5D26E48D"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5D91584" w14:textId="77777777" w:rsidR="009809A6" w:rsidRDefault="009809A6" w:rsidP="009809A6">
      <w:pPr>
        <w:rPr>
          <w:bCs/>
          <w:szCs w:val="22"/>
        </w:rPr>
      </w:pPr>
    </w:p>
    <w:p w14:paraId="141B31DD" w14:textId="77777777" w:rsidR="009809A6" w:rsidRDefault="009809A6" w:rsidP="009809A6">
      <w:pPr>
        <w:rPr>
          <w:bCs/>
          <w:szCs w:val="22"/>
        </w:rPr>
      </w:pPr>
      <w:r>
        <w:rPr>
          <w:bCs/>
          <w:szCs w:val="22"/>
          <w:u w:val="single"/>
        </w:rPr>
        <w:t>Discussion:</w:t>
      </w:r>
    </w:p>
    <w:p w14:paraId="725494A5" w14:textId="77777777" w:rsidR="009809A6" w:rsidRDefault="009809A6" w:rsidP="009809A6">
      <w:pPr>
        <w:rPr>
          <w:bCs/>
          <w:szCs w:val="22"/>
        </w:rPr>
      </w:pPr>
    </w:p>
    <w:p w14:paraId="31D761F9" w14:textId="77777777" w:rsidR="009809A6" w:rsidRPr="001A1B4F" w:rsidRDefault="009809A6" w:rsidP="009809A6">
      <w:pPr>
        <w:rPr>
          <w:bCs/>
          <w:noProof/>
          <w:szCs w:val="22"/>
          <w:bdr w:val="single" w:sz="8" w:space="0" w:color="auto" w:shadow="1"/>
        </w:rPr>
      </w:pPr>
      <w:r w:rsidRPr="001A1B4F">
        <w:rPr>
          <w:bCs/>
          <w:noProof/>
          <w:szCs w:val="22"/>
          <w:bdr w:val="single" w:sz="8" w:space="0" w:color="auto" w:shadow="1"/>
        </w:rPr>
        <w:drawing>
          <wp:inline distT="0" distB="0" distL="0" distR="0" wp14:anchorId="6333EB53" wp14:editId="59D7C9A9">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ED653D1" w14:textId="77777777" w:rsidR="009809A6" w:rsidRPr="001A1B4F" w:rsidRDefault="009809A6" w:rsidP="009809A6">
      <w:pPr>
        <w:rPr>
          <w:bCs/>
          <w:noProof/>
          <w:szCs w:val="22"/>
          <w:bdr w:val="single" w:sz="8" w:space="0" w:color="auto" w:shadow="1"/>
        </w:rPr>
      </w:pPr>
      <w:r>
        <w:rPr>
          <w:bCs/>
          <w:noProof/>
          <w:szCs w:val="22"/>
        </w:rPr>
        <mc:AlternateContent>
          <mc:Choice Requires="wpi">
            <w:drawing>
              <wp:anchor distT="0" distB="0" distL="114300" distR="114300" simplePos="0" relativeHeight="251691008" behindDoc="0" locked="0" layoutInCell="1" allowOverlap="1" wp14:anchorId="4660318F" wp14:editId="735A1AA1">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38">
                      <w14:nvContentPartPr>
                        <w14:cNvContentPartPr/>
                      </w14:nvContentPartPr>
                      <w14:xfrm>
                        <a:off x="0" y="0"/>
                        <a:ext cx="902880" cy="41760"/>
                      </w14:xfrm>
                    </w14:contentPart>
                  </a:graphicData>
                </a:graphic>
              </wp:anchor>
            </w:drawing>
          </mc:Choice>
          <mc:Fallback>
            <w:pict>
              <v:shapetype w14:anchorId="11F6A4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3" o:spid="_x0000_s1026" type="#_x0000_t75" style="position:absolute;margin-left:380.9pt;margin-top:156.95pt;width:79.6pt;height:20.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39" o:title=""/>
              </v:shape>
            </w:pict>
          </mc:Fallback>
        </mc:AlternateContent>
      </w:r>
      <w:r w:rsidRPr="001A1B4F">
        <w:rPr>
          <w:bCs/>
          <w:noProof/>
          <w:szCs w:val="22"/>
          <w:bdr w:val="single" w:sz="8" w:space="0" w:color="auto" w:shadow="1"/>
        </w:rPr>
        <w:drawing>
          <wp:inline distT="0" distB="0" distL="0" distR="0" wp14:anchorId="62BC90F7" wp14:editId="771244F2">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F5A41E7" w14:textId="77777777" w:rsidR="009809A6" w:rsidRDefault="009809A6" w:rsidP="009809A6">
      <w:pPr>
        <w:rPr>
          <w:bCs/>
          <w:szCs w:val="22"/>
        </w:rPr>
      </w:pPr>
    </w:p>
    <w:p w14:paraId="749F37F8" w14:textId="77777777" w:rsidR="009809A6" w:rsidRDefault="009809A6" w:rsidP="009809A6">
      <w:pPr>
        <w:rPr>
          <w:bCs/>
          <w:szCs w:val="22"/>
        </w:rPr>
      </w:pPr>
      <w:r>
        <w:rPr>
          <w:bCs/>
          <w:szCs w:val="22"/>
        </w:rPr>
        <w:t>The concept/phrase “conditionally present” does not appear anywhere else in a clause 9 table – there are a couple uses within the text.</w:t>
      </w:r>
    </w:p>
    <w:p w14:paraId="1B332B71" w14:textId="77777777" w:rsidR="009809A6" w:rsidRDefault="009809A6" w:rsidP="009809A6">
      <w:pPr>
        <w:rPr>
          <w:bCs/>
          <w:szCs w:val="22"/>
        </w:rPr>
      </w:pPr>
    </w:p>
    <w:p w14:paraId="15165BC1" w14:textId="77777777" w:rsidR="009809A6" w:rsidRDefault="009809A6" w:rsidP="009809A6">
      <w:pPr>
        <w:rPr>
          <w:bCs/>
          <w:szCs w:val="22"/>
        </w:rPr>
      </w:pPr>
      <w:r>
        <w:rPr>
          <w:bCs/>
          <w:szCs w:val="22"/>
        </w:rPr>
        <w:t>Agree with the commenter.</w:t>
      </w:r>
    </w:p>
    <w:p w14:paraId="15CABC74" w14:textId="77777777" w:rsidR="009809A6" w:rsidRDefault="009809A6" w:rsidP="009809A6">
      <w:pPr>
        <w:rPr>
          <w:bCs/>
          <w:szCs w:val="22"/>
        </w:rPr>
      </w:pPr>
    </w:p>
    <w:p w14:paraId="1DAC709B" w14:textId="77777777" w:rsidR="009809A6" w:rsidRDefault="009809A6" w:rsidP="009809A6">
      <w:pPr>
        <w:rPr>
          <w:bCs/>
          <w:szCs w:val="22"/>
        </w:rPr>
      </w:pPr>
      <w:r w:rsidRPr="00D65A96">
        <w:rPr>
          <w:bCs/>
          <w:szCs w:val="22"/>
          <w:highlight w:val="green"/>
          <w:u w:val="single"/>
        </w:rPr>
        <w:t>Proposed Resolution:</w:t>
      </w:r>
    </w:p>
    <w:p w14:paraId="7B68A234" w14:textId="77777777" w:rsidR="009809A6" w:rsidRDefault="009809A6" w:rsidP="009809A6">
      <w:pPr>
        <w:rPr>
          <w:bCs/>
          <w:szCs w:val="22"/>
        </w:rPr>
      </w:pPr>
    </w:p>
    <w:p w14:paraId="02ACA247" w14:textId="07012B03" w:rsidR="009809A6" w:rsidRDefault="009809A6" w:rsidP="009809A6">
      <w:pPr>
        <w:rPr>
          <w:bCs/>
          <w:szCs w:val="22"/>
        </w:rPr>
      </w:pPr>
      <w:r>
        <w:rPr>
          <w:bCs/>
          <w:szCs w:val="22"/>
        </w:rPr>
        <w:t>Accepted.</w:t>
      </w:r>
      <w:r w:rsidRPr="009809A6">
        <w:rPr>
          <w:bCs/>
          <w:szCs w:val="22"/>
        </w:rPr>
        <w:t xml:space="preserve"> </w:t>
      </w:r>
      <w:r>
        <w:rPr>
          <w:bCs/>
          <w:szCs w:val="22"/>
        </w:rPr>
        <w:t xml:space="preserve"> (CID 4652)</w:t>
      </w:r>
    </w:p>
    <w:p w14:paraId="52734ED4" w14:textId="77777777" w:rsidR="009809A6" w:rsidRDefault="009809A6" w:rsidP="009809A6">
      <w:pPr>
        <w:rPr>
          <w:bCs/>
          <w:szCs w:val="22"/>
        </w:rPr>
      </w:pPr>
    </w:p>
    <w:p w14:paraId="565BFE14" w14:textId="33DA22BC" w:rsidR="009809A6" w:rsidRDefault="009809A6" w:rsidP="009809A6">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222F2480" w14:textId="77777777" w:rsidR="009809A6" w:rsidRDefault="009809A6" w:rsidP="009809A6">
      <w:pPr>
        <w:rPr>
          <w:bCs/>
          <w:szCs w:val="22"/>
        </w:rPr>
      </w:pPr>
    </w:p>
    <w:p w14:paraId="0598172C" w14:textId="77777777" w:rsidR="009809A6" w:rsidRPr="00852E21" w:rsidRDefault="009809A6" w:rsidP="009809A6">
      <w:pPr>
        <w:rPr>
          <w:bCs/>
          <w:noProof/>
          <w:szCs w:val="22"/>
          <w:bdr w:val="single" w:sz="8" w:space="0" w:color="auto" w:shadow="1"/>
        </w:rPr>
      </w:pPr>
      <w:r w:rsidRPr="00852E21">
        <w:rPr>
          <w:bCs/>
          <w:noProof/>
          <w:szCs w:val="22"/>
          <w:bdr w:val="single" w:sz="8" w:space="0" w:color="auto" w:shadow="1"/>
        </w:rPr>
        <w:drawing>
          <wp:inline distT="0" distB="0" distL="0" distR="0" wp14:anchorId="6A2A65BF" wp14:editId="778E317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36BDB034" w14:textId="77777777" w:rsidR="009809A6" w:rsidRDefault="009809A6" w:rsidP="009809A6">
      <w:pPr>
        <w:rPr>
          <w:bCs/>
          <w:szCs w:val="22"/>
        </w:rPr>
      </w:pPr>
    </w:p>
    <w:p w14:paraId="261D7DBB" w14:textId="77777777" w:rsidR="009809A6" w:rsidRDefault="009809A6" w:rsidP="009809A6">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546D234F" w14:textId="77777777" w:rsidR="009809A6" w:rsidRDefault="009809A6" w:rsidP="009809A6">
      <w:pPr>
        <w:rPr>
          <w:bCs/>
          <w:szCs w:val="22"/>
        </w:rPr>
      </w:pPr>
    </w:p>
    <w:p w14:paraId="79F06643" w14:textId="77777777" w:rsidR="009809A6" w:rsidRDefault="009809A6" w:rsidP="009809A6">
      <w:pPr>
        <w:rPr>
          <w:bCs/>
          <w:szCs w:val="22"/>
        </w:rPr>
      </w:pPr>
      <w:r>
        <w:rPr>
          <w:bCs/>
          <w:szCs w:val="22"/>
        </w:rPr>
        <w:lastRenderedPageBreak/>
        <w:t>Thus, it is correct/appropriate that “optionally present” is the correct phrase.</w:t>
      </w:r>
    </w:p>
    <w:p w14:paraId="16900D02" w14:textId="77777777" w:rsidR="009809A6" w:rsidRDefault="009809A6" w:rsidP="009809A6">
      <w:pPr>
        <w:rPr>
          <w:bCs/>
          <w:szCs w:val="22"/>
        </w:rPr>
      </w:pPr>
    </w:p>
    <w:p w14:paraId="2F4FB229" w14:textId="77777777" w:rsidR="009809A6" w:rsidRPr="00A64508" w:rsidRDefault="009809A6" w:rsidP="009809A6">
      <w:pPr>
        <w:rPr>
          <w:bCs/>
          <w:szCs w:val="22"/>
        </w:rPr>
      </w:pPr>
    </w:p>
    <w:p w14:paraId="1F729DB9" w14:textId="77777777" w:rsidR="009809A6" w:rsidRPr="00A64508" w:rsidRDefault="009809A6" w:rsidP="009809A6">
      <w:pPr>
        <w:rPr>
          <w:bCs/>
          <w:szCs w:val="22"/>
        </w:rPr>
      </w:pPr>
      <w:r w:rsidRPr="00B855B8">
        <w:rPr>
          <w:bCs/>
          <w:szCs w:val="22"/>
          <w:highlight w:val="green"/>
          <w:u w:val="single"/>
        </w:rPr>
        <w:t>Proposed Resolution:</w:t>
      </w:r>
    </w:p>
    <w:p w14:paraId="0B1978FC" w14:textId="77777777" w:rsidR="009809A6" w:rsidRPr="00A64508" w:rsidRDefault="009809A6" w:rsidP="009809A6">
      <w:pPr>
        <w:rPr>
          <w:bCs/>
          <w:szCs w:val="22"/>
        </w:rPr>
      </w:pPr>
    </w:p>
    <w:p w14:paraId="6B43068E" w14:textId="56B65E23" w:rsidR="009809A6" w:rsidRPr="00A64508" w:rsidRDefault="009809A6" w:rsidP="009809A6">
      <w:pPr>
        <w:rPr>
          <w:bCs/>
          <w:szCs w:val="22"/>
        </w:rPr>
      </w:pPr>
      <w:r w:rsidRPr="00B855B8">
        <w:rPr>
          <w:bCs/>
          <w:szCs w:val="22"/>
        </w:rPr>
        <w:t>Accepted.</w:t>
      </w:r>
      <w:r>
        <w:rPr>
          <w:bCs/>
          <w:szCs w:val="22"/>
        </w:rPr>
        <w:t xml:space="preserve">  (CID 4653)</w:t>
      </w:r>
    </w:p>
    <w:p w14:paraId="055F5978" w14:textId="77777777" w:rsidR="009809A6" w:rsidRDefault="009809A6" w:rsidP="009809A6">
      <w:pPr>
        <w:rPr>
          <w:bCs/>
          <w:szCs w:val="22"/>
        </w:rPr>
      </w:pPr>
    </w:p>
    <w:p w14:paraId="35F80904" w14:textId="77777777" w:rsidR="009809A6" w:rsidRDefault="009809A6" w:rsidP="009809A6">
      <w:pPr>
        <w:rPr>
          <w:bCs/>
          <w:szCs w:val="22"/>
        </w:rPr>
      </w:pPr>
      <w:r w:rsidRPr="00B855B8">
        <w:rPr>
          <w:bCs/>
          <w:szCs w:val="22"/>
        </w:rPr>
        <w:t>Also,</w:t>
      </w:r>
    </w:p>
    <w:p w14:paraId="077EAFAE" w14:textId="77777777" w:rsidR="009809A6" w:rsidRDefault="009809A6" w:rsidP="009809A6">
      <w:pPr>
        <w:rPr>
          <w:bCs/>
          <w:szCs w:val="22"/>
        </w:rPr>
      </w:pPr>
    </w:p>
    <w:p w14:paraId="222655CB" w14:textId="77777777" w:rsidR="009809A6" w:rsidRPr="00A62474" w:rsidRDefault="009809A6" w:rsidP="009809A6">
      <w:pPr>
        <w:rPr>
          <w:bCs/>
          <w:szCs w:val="22"/>
          <w:highlight w:val="green"/>
        </w:rPr>
      </w:pPr>
      <w:r w:rsidRPr="00A62474">
        <w:rPr>
          <w:bCs/>
          <w:szCs w:val="22"/>
          <w:highlight w:val="green"/>
        </w:rPr>
        <w:t>Revisit CID 4652, and change that resolution to:</w:t>
      </w:r>
    </w:p>
    <w:p w14:paraId="33B60D56" w14:textId="77777777" w:rsidR="009809A6" w:rsidRPr="00A64508" w:rsidRDefault="009809A6" w:rsidP="009809A6">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7823920F" w14:textId="77777777" w:rsidR="009809A6" w:rsidRPr="001A1B4F" w:rsidRDefault="009809A6" w:rsidP="009809A6">
      <w:pPr>
        <w:rPr>
          <w:bCs/>
          <w:szCs w:val="22"/>
        </w:rPr>
      </w:pPr>
    </w:p>
    <w:p w14:paraId="07A73C51" w14:textId="12EBE35D" w:rsidR="009809A6" w:rsidRDefault="009809A6" w:rsidP="009809A6">
      <w:pPr>
        <w:rPr>
          <w:bCs/>
          <w:szCs w:val="22"/>
        </w:rPr>
      </w:pPr>
    </w:p>
    <w:p w14:paraId="7E7E2C8A" w14:textId="781EC408" w:rsidR="009809A6" w:rsidRDefault="009809A6" w:rsidP="009809A6">
      <w:pPr>
        <w:rPr>
          <w:bCs/>
          <w:szCs w:val="22"/>
        </w:rPr>
      </w:pPr>
      <w:r w:rsidRPr="009809A6">
        <w:rPr>
          <w:bCs/>
          <w:szCs w:val="22"/>
          <w:highlight w:val="cyan"/>
        </w:rPr>
        <w:t>After off-line review/discussion with Jouni and Dan:</w:t>
      </w:r>
    </w:p>
    <w:p w14:paraId="4F5352BA" w14:textId="4A999218" w:rsidR="009809A6" w:rsidRDefault="009809A6" w:rsidP="009809A6">
      <w:pPr>
        <w:rPr>
          <w:bCs/>
          <w:szCs w:val="22"/>
        </w:rPr>
      </w:pPr>
    </w:p>
    <w:p w14:paraId="26200147" w14:textId="0ED08E97" w:rsidR="009809A6" w:rsidRDefault="009809A6" w:rsidP="009809A6">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3C366BC1" w14:textId="77777777" w:rsidR="009809A6" w:rsidRDefault="009809A6" w:rsidP="009809A6"/>
    <w:p w14:paraId="0002DB82" w14:textId="34DDCE0C" w:rsidR="009809A6" w:rsidRDefault="009809A6" w:rsidP="009809A6">
      <w:r>
        <w:t>Not sure what the best choice is here.  I see your point about not making it appear that this is a relatively arbitrary choice by the transmitter.  But, a statement that this is conditional, with no hint as to what the conditions are doesn’t seem good.  Let me think about it.  (Or, I’m open to suggestions.  Maybe leave it as conditional, with the reference to clause 12, as Jouni mentioned…)</w:t>
      </w:r>
    </w:p>
    <w:p w14:paraId="00868B79" w14:textId="77777777" w:rsidR="009809A6" w:rsidRDefault="009809A6" w:rsidP="009809A6">
      <w:pPr>
        <w:rPr>
          <w:bCs/>
          <w:szCs w:val="22"/>
        </w:rPr>
      </w:pPr>
    </w:p>
    <w:p w14:paraId="42548FF3" w14:textId="3C5926CB" w:rsidR="009809A6" w:rsidRPr="001A1B4F" w:rsidRDefault="009809A6" w:rsidP="009809A6">
      <w:pPr>
        <w:rPr>
          <w:bCs/>
          <w:szCs w:val="22"/>
        </w:rPr>
      </w:pPr>
      <w:proofErr w:type="spellStart"/>
      <w:r w:rsidRPr="009809A6">
        <w:rPr>
          <w:bCs/>
          <w:szCs w:val="22"/>
          <w:highlight w:val="red"/>
        </w:rPr>
        <w:t>xxxxxx</w:t>
      </w:r>
      <w:proofErr w:type="spellEnd"/>
    </w:p>
    <w:p w14:paraId="1C2124B7" w14:textId="77777777" w:rsidR="00CC5391" w:rsidRDefault="009809A6" w:rsidP="009809A6">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C5391" w14:paraId="58F8837B"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E8A35D4"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73FEC7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5E908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8DA7C75"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E554F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C5391" w:rsidRPr="00DE7477" w14:paraId="7810458F" w14:textId="77777777" w:rsidTr="00CC5391">
        <w:trPr>
          <w:trHeight w:val="765"/>
        </w:trPr>
        <w:tc>
          <w:tcPr>
            <w:tcW w:w="738" w:type="dxa"/>
            <w:hideMark/>
          </w:tcPr>
          <w:p w14:paraId="50D8EF08" w14:textId="77777777" w:rsidR="00CC5391" w:rsidRPr="00DE7477" w:rsidRDefault="00CC5391" w:rsidP="00CC5391">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2D56EE95" w14:textId="77777777" w:rsidR="00CC5391" w:rsidRPr="00DE7477" w:rsidRDefault="00CC5391" w:rsidP="00CC5391">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7B0B9A73"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7312332"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031FDA8F"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23498633" w14:textId="77777777" w:rsidR="00CC5391" w:rsidRPr="004D4AA7" w:rsidRDefault="00CC5391" w:rsidP="00CC5391">
      <w:pPr>
        <w:rPr>
          <w:bCs/>
          <w:szCs w:val="22"/>
        </w:rPr>
      </w:pPr>
    </w:p>
    <w:p w14:paraId="56AE17AF" w14:textId="77777777" w:rsidR="00CC5391" w:rsidRPr="004D4AA7" w:rsidRDefault="00CC5391" w:rsidP="00CC5391">
      <w:pPr>
        <w:rPr>
          <w:bCs/>
          <w:szCs w:val="22"/>
          <w:u w:val="single"/>
        </w:rPr>
      </w:pPr>
      <w:r>
        <w:rPr>
          <w:bCs/>
          <w:szCs w:val="22"/>
          <w:u w:val="single"/>
        </w:rPr>
        <w:t>Discussion:</w:t>
      </w:r>
    </w:p>
    <w:p w14:paraId="6FCF8783" w14:textId="77777777" w:rsidR="00CC5391" w:rsidRDefault="00CC5391" w:rsidP="00CC5391">
      <w:pPr>
        <w:rPr>
          <w:bCs/>
          <w:szCs w:val="22"/>
        </w:rPr>
      </w:pPr>
    </w:p>
    <w:p w14:paraId="078E9EDC" w14:textId="77777777" w:rsidR="00CC5391" w:rsidRPr="00637500" w:rsidRDefault="00CC5391" w:rsidP="00CC5391">
      <w:pPr>
        <w:rPr>
          <w:bCs/>
          <w:noProof/>
          <w:szCs w:val="22"/>
          <w:bdr w:val="single" w:sz="8" w:space="0" w:color="auto" w:shadow="1"/>
        </w:rPr>
      </w:pPr>
      <w:r w:rsidRPr="00637500">
        <w:rPr>
          <w:bCs/>
          <w:noProof/>
          <w:szCs w:val="22"/>
          <w:bdr w:val="single" w:sz="8" w:space="0" w:color="auto" w:shadow="1"/>
        </w:rPr>
        <w:drawing>
          <wp:inline distT="0" distB="0" distL="0" distR="0" wp14:anchorId="60BEB926" wp14:editId="0FD1CC7C">
            <wp:extent cx="6400800" cy="2819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571118D" w14:textId="77777777" w:rsidR="00CC5391" w:rsidRDefault="00CC5391" w:rsidP="00CC5391">
      <w:pPr>
        <w:rPr>
          <w:bCs/>
          <w:szCs w:val="22"/>
        </w:rPr>
      </w:pPr>
    </w:p>
    <w:p w14:paraId="5DBB0777" w14:textId="77777777" w:rsidR="00CC5391" w:rsidRDefault="00CC5391" w:rsidP="00CC5391">
      <w:pPr>
        <w:rPr>
          <w:bCs/>
          <w:szCs w:val="22"/>
        </w:rPr>
      </w:pPr>
      <w:r>
        <w:rPr>
          <w:bCs/>
          <w:szCs w:val="22"/>
        </w:rPr>
        <w:t>This is in reference to the Status Indication subfield of the Fine Timing Measurement Parameters element.</w:t>
      </w:r>
    </w:p>
    <w:p w14:paraId="6B1A57BD" w14:textId="77777777" w:rsidR="00CC5391" w:rsidRDefault="00CC5391" w:rsidP="00CC5391">
      <w:pPr>
        <w:rPr>
          <w:bCs/>
          <w:szCs w:val="22"/>
        </w:rPr>
      </w:pPr>
    </w:p>
    <w:p w14:paraId="6CA4E2FF" w14:textId="77777777" w:rsidR="00CC5391" w:rsidRDefault="00CC5391" w:rsidP="00CC5391">
      <w:pPr>
        <w:rPr>
          <w:bCs/>
          <w:szCs w:val="22"/>
        </w:rPr>
      </w:pPr>
      <w:r>
        <w:rPr>
          <w:bCs/>
          <w:szCs w:val="22"/>
        </w:rPr>
        <w:t>The occurrence of this element appears to be confused/confusing.  The comment suggests changing the cited text to “</w:t>
      </w:r>
      <w:r w:rsidRPr="007E02DA">
        <w:rPr>
          <w:bCs/>
          <w:szCs w:val="22"/>
        </w:rPr>
        <w:t>initial Fine Timing Measurement Request frame"</w:t>
      </w:r>
      <w:r>
        <w:rPr>
          <w:bCs/>
          <w:szCs w:val="22"/>
        </w:rPr>
        <w:t>.</w:t>
      </w:r>
    </w:p>
    <w:p w14:paraId="0CA53BDD" w14:textId="77777777" w:rsidR="00CC5391" w:rsidRDefault="00CC5391" w:rsidP="00CC5391">
      <w:pPr>
        <w:rPr>
          <w:bCs/>
          <w:szCs w:val="22"/>
        </w:rPr>
      </w:pPr>
    </w:p>
    <w:p w14:paraId="39F63E10" w14:textId="77777777" w:rsidR="00CC5391" w:rsidRDefault="00CC5391" w:rsidP="00CC5391">
      <w:pPr>
        <w:rPr>
          <w:bCs/>
          <w:szCs w:val="22"/>
        </w:rPr>
      </w:pPr>
      <w:r>
        <w:rPr>
          <w:bCs/>
          <w:szCs w:val="22"/>
        </w:rPr>
        <w:t xml:space="preserve">It might be carried in the in initial Fine Timing Measurement </w:t>
      </w:r>
      <w:r w:rsidRPr="004D4AA7">
        <w:rPr>
          <w:bCs/>
          <w:szCs w:val="22"/>
          <w:u w:val="single"/>
        </w:rPr>
        <w:t>Request</w:t>
      </w:r>
      <w:r>
        <w:rPr>
          <w:bCs/>
          <w:szCs w:val="22"/>
        </w:rPr>
        <w:t xml:space="preserve"> frames:</w:t>
      </w:r>
    </w:p>
    <w:p w14:paraId="36B7CF2B" w14:textId="77777777" w:rsidR="00CC5391" w:rsidRDefault="00CC5391" w:rsidP="00CC5391">
      <w:pPr>
        <w:rPr>
          <w:bCs/>
          <w:szCs w:val="22"/>
        </w:rPr>
      </w:pPr>
    </w:p>
    <w:p w14:paraId="449378EA" w14:textId="77777777" w:rsidR="00CC5391" w:rsidRDefault="00CC5391" w:rsidP="00CC5391">
      <w:pPr>
        <w:rPr>
          <w:bCs/>
          <w:szCs w:val="22"/>
        </w:rPr>
      </w:pPr>
      <w:r>
        <w:rPr>
          <w:bCs/>
          <w:szCs w:val="22"/>
        </w:rPr>
        <w:t>P1555.14:</w:t>
      </w:r>
    </w:p>
    <w:p w14:paraId="6892901B" w14:textId="77777777" w:rsidR="00CC5391" w:rsidRDefault="00CC5391" w:rsidP="00CC5391">
      <w:pPr>
        <w:rPr>
          <w:bCs/>
          <w:szCs w:val="22"/>
        </w:rPr>
      </w:pPr>
    </w:p>
    <w:p w14:paraId="59AF599D" w14:textId="77777777" w:rsidR="00CC5391" w:rsidRPr="004D4AA7" w:rsidRDefault="00CC5391" w:rsidP="00CC5391">
      <w:pPr>
        <w:rPr>
          <w:bCs/>
          <w:noProof/>
          <w:szCs w:val="22"/>
          <w:bdr w:val="single" w:sz="8" w:space="0" w:color="auto" w:shadow="1"/>
        </w:rPr>
      </w:pPr>
      <w:r w:rsidRPr="004D4AA7">
        <w:rPr>
          <w:bCs/>
          <w:noProof/>
          <w:szCs w:val="22"/>
          <w:bdr w:val="single" w:sz="8" w:space="0" w:color="auto" w:shadow="1"/>
        </w:rPr>
        <w:drawing>
          <wp:inline distT="0" distB="0" distL="0" distR="0" wp14:anchorId="7E9E772D" wp14:editId="204EFA27">
            <wp:extent cx="6400800" cy="7524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inline>
        </w:drawing>
      </w:r>
    </w:p>
    <w:p w14:paraId="370DB4E7" w14:textId="77777777" w:rsidR="00CC5391" w:rsidRDefault="00CC5391" w:rsidP="00CC5391">
      <w:pPr>
        <w:rPr>
          <w:bCs/>
          <w:szCs w:val="22"/>
        </w:rPr>
      </w:pPr>
    </w:p>
    <w:p w14:paraId="23E1C5BB" w14:textId="77777777" w:rsidR="00CC5391" w:rsidRDefault="00CC5391" w:rsidP="00CC5391">
      <w:pPr>
        <w:rPr>
          <w:bCs/>
          <w:szCs w:val="22"/>
        </w:rPr>
      </w:pPr>
      <w:r>
        <w:rPr>
          <w:bCs/>
          <w:szCs w:val="22"/>
        </w:rPr>
        <w:t>And, P2373.39:</w:t>
      </w:r>
    </w:p>
    <w:p w14:paraId="276B592C" w14:textId="77777777" w:rsidR="00CC5391" w:rsidRDefault="00CC5391" w:rsidP="00CC5391">
      <w:pPr>
        <w:rPr>
          <w:bCs/>
          <w:szCs w:val="22"/>
        </w:rPr>
      </w:pPr>
    </w:p>
    <w:p w14:paraId="5C48B656" w14:textId="77777777" w:rsidR="00CC5391" w:rsidRPr="00372235" w:rsidRDefault="00CC5391" w:rsidP="00CC5391">
      <w:pPr>
        <w:rPr>
          <w:bCs/>
          <w:noProof/>
          <w:szCs w:val="22"/>
          <w:bdr w:val="single" w:sz="8" w:space="0" w:color="auto" w:shadow="1"/>
        </w:rPr>
      </w:pPr>
      <w:r w:rsidRPr="00372235">
        <w:rPr>
          <w:bCs/>
          <w:noProof/>
          <w:szCs w:val="22"/>
          <w:bdr w:val="single" w:sz="8" w:space="0" w:color="auto" w:shadow="1"/>
        </w:rPr>
        <w:drawing>
          <wp:inline distT="0" distB="0" distL="0" distR="0" wp14:anchorId="10DF66F0" wp14:editId="657CC493">
            <wp:extent cx="6400800" cy="800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6C87FAC6" w14:textId="77777777" w:rsidR="00CC5391" w:rsidRDefault="00CC5391" w:rsidP="00CC5391">
      <w:pPr>
        <w:rPr>
          <w:bCs/>
          <w:szCs w:val="22"/>
        </w:rPr>
      </w:pPr>
    </w:p>
    <w:p w14:paraId="37AC6F99" w14:textId="77777777" w:rsidR="00CC5391" w:rsidRDefault="00CC5391" w:rsidP="00CC5391">
      <w:pPr>
        <w:rPr>
          <w:bCs/>
          <w:szCs w:val="22"/>
        </w:rPr>
      </w:pPr>
      <w:r>
        <w:rPr>
          <w:bCs/>
          <w:szCs w:val="22"/>
        </w:rPr>
        <w:t>But, it might be carried in the initial Fine Timing Measurement frames (not “Request” frames):</w:t>
      </w:r>
    </w:p>
    <w:p w14:paraId="6D42092F" w14:textId="77777777" w:rsidR="00CC5391" w:rsidRDefault="00CC5391" w:rsidP="00CC5391">
      <w:pPr>
        <w:rPr>
          <w:bCs/>
          <w:szCs w:val="22"/>
        </w:rPr>
      </w:pPr>
    </w:p>
    <w:p w14:paraId="196750A7" w14:textId="77777777" w:rsidR="00CC5391" w:rsidRDefault="00CC5391" w:rsidP="00CC5391">
      <w:pPr>
        <w:rPr>
          <w:bCs/>
          <w:szCs w:val="22"/>
        </w:rPr>
      </w:pPr>
      <w:r>
        <w:rPr>
          <w:bCs/>
          <w:szCs w:val="22"/>
        </w:rPr>
        <w:t>P1557.31:</w:t>
      </w:r>
    </w:p>
    <w:p w14:paraId="2B8DE4D2" w14:textId="77777777" w:rsidR="00CC5391" w:rsidRDefault="00CC5391" w:rsidP="00CC5391">
      <w:pPr>
        <w:rPr>
          <w:bCs/>
          <w:szCs w:val="22"/>
        </w:rPr>
      </w:pPr>
    </w:p>
    <w:p w14:paraId="7D901112" w14:textId="77777777" w:rsidR="00CC5391" w:rsidRPr="004D4AA7" w:rsidRDefault="00CC5391" w:rsidP="00CC5391">
      <w:pPr>
        <w:rPr>
          <w:bCs/>
          <w:noProof/>
          <w:szCs w:val="22"/>
          <w:bdr w:val="single" w:sz="8" w:space="0" w:color="auto" w:shadow="1"/>
        </w:rPr>
      </w:pPr>
      <w:r w:rsidRPr="004D4AA7">
        <w:rPr>
          <w:bCs/>
          <w:noProof/>
          <w:szCs w:val="22"/>
          <w:bdr w:val="single" w:sz="8" w:space="0" w:color="auto" w:shadow="1"/>
        </w:rPr>
        <w:drawing>
          <wp:inline distT="0" distB="0" distL="0" distR="0" wp14:anchorId="7E8E2EDD" wp14:editId="2FA8D0F8">
            <wp:extent cx="6400800" cy="581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1AEBD601" w14:textId="77777777" w:rsidR="00CC5391" w:rsidRDefault="00CC5391" w:rsidP="00CC5391">
      <w:pPr>
        <w:rPr>
          <w:bCs/>
          <w:szCs w:val="22"/>
        </w:rPr>
      </w:pPr>
    </w:p>
    <w:p w14:paraId="647D9E95" w14:textId="77777777" w:rsidR="00CC5391" w:rsidRDefault="00CC5391" w:rsidP="00CC5391">
      <w:pPr>
        <w:rPr>
          <w:bCs/>
          <w:szCs w:val="22"/>
        </w:rPr>
      </w:pPr>
      <w:r>
        <w:rPr>
          <w:bCs/>
          <w:szCs w:val="22"/>
        </w:rPr>
        <w:t>And, P2373.49</w:t>
      </w:r>
    </w:p>
    <w:p w14:paraId="42399923" w14:textId="77777777" w:rsidR="00CC5391" w:rsidRDefault="00CC5391" w:rsidP="00CC5391">
      <w:pPr>
        <w:rPr>
          <w:bCs/>
          <w:szCs w:val="22"/>
        </w:rPr>
      </w:pPr>
    </w:p>
    <w:p w14:paraId="36B4B9D8" w14:textId="77777777" w:rsidR="00CC5391" w:rsidRPr="007E02DA" w:rsidRDefault="00CC5391" w:rsidP="00CC5391">
      <w:pPr>
        <w:rPr>
          <w:bCs/>
          <w:noProof/>
          <w:szCs w:val="22"/>
          <w:bdr w:val="single" w:sz="8" w:space="0" w:color="auto" w:shadow="1"/>
        </w:rPr>
      </w:pPr>
      <w:r w:rsidRPr="007E02DA">
        <w:rPr>
          <w:bCs/>
          <w:noProof/>
          <w:szCs w:val="22"/>
          <w:bdr w:val="single" w:sz="8" w:space="0" w:color="auto" w:shadow="1"/>
        </w:rPr>
        <w:drawing>
          <wp:inline distT="0" distB="0" distL="0" distR="0" wp14:anchorId="7A657728" wp14:editId="21993B29">
            <wp:extent cx="6400800" cy="8572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4E4A5D0C" w14:textId="77777777" w:rsidR="00CC5391" w:rsidRDefault="00CC5391" w:rsidP="00CC5391">
      <w:pPr>
        <w:rPr>
          <w:bCs/>
          <w:szCs w:val="22"/>
        </w:rPr>
      </w:pPr>
    </w:p>
    <w:p w14:paraId="15E07D70" w14:textId="77777777" w:rsidR="00CC5391" w:rsidRDefault="00CC5391" w:rsidP="00CC5391">
      <w:pPr>
        <w:rPr>
          <w:bCs/>
          <w:szCs w:val="22"/>
        </w:rPr>
      </w:pPr>
      <w:r>
        <w:rPr>
          <w:bCs/>
          <w:szCs w:val="22"/>
        </w:rPr>
        <w:t xml:space="preserve">It seems this could be in either frame type. </w:t>
      </w:r>
    </w:p>
    <w:p w14:paraId="6038F0A0" w14:textId="77777777" w:rsidR="00CC5391" w:rsidRDefault="00CC5391" w:rsidP="00CC5391">
      <w:pPr>
        <w:rPr>
          <w:bCs/>
          <w:szCs w:val="22"/>
        </w:rPr>
      </w:pPr>
    </w:p>
    <w:p w14:paraId="03741A26" w14:textId="77777777" w:rsidR="00CC5391" w:rsidRDefault="00CC5391" w:rsidP="00CC5391">
      <w:pPr>
        <w:rPr>
          <w:bCs/>
          <w:szCs w:val="22"/>
        </w:rPr>
      </w:pPr>
      <w:r w:rsidRPr="00A1330B">
        <w:rPr>
          <w:bCs/>
          <w:szCs w:val="22"/>
          <w:highlight w:val="cyan"/>
          <w:u w:val="single"/>
        </w:rPr>
        <w:t>Proposed Resolution:</w:t>
      </w:r>
      <w:r>
        <w:rPr>
          <w:bCs/>
          <w:szCs w:val="22"/>
          <w:u w:val="single"/>
        </w:rPr>
        <w:t xml:space="preserve"> - consider off-line, bring back</w:t>
      </w:r>
    </w:p>
    <w:p w14:paraId="181BC620" w14:textId="77777777" w:rsidR="00CC5391" w:rsidRDefault="00CC5391" w:rsidP="00CC5391">
      <w:pPr>
        <w:rPr>
          <w:bCs/>
          <w:szCs w:val="22"/>
        </w:rPr>
      </w:pPr>
    </w:p>
    <w:p w14:paraId="7C8C7471" w14:textId="77777777" w:rsidR="00CC5391" w:rsidRDefault="00CC5391" w:rsidP="00CC5391">
      <w:pPr>
        <w:rPr>
          <w:bCs/>
          <w:szCs w:val="22"/>
        </w:rPr>
      </w:pPr>
      <w:r>
        <w:rPr>
          <w:bCs/>
          <w:szCs w:val="22"/>
        </w:rPr>
        <w:t>Revised.</w:t>
      </w:r>
    </w:p>
    <w:p w14:paraId="335C0372" w14:textId="77777777" w:rsidR="00CC5391" w:rsidRDefault="00CC5391" w:rsidP="00CC5391">
      <w:pPr>
        <w:rPr>
          <w:bCs/>
          <w:szCs w:val="22"/>
        </w:rPr>
      </w:pPr>
    </w:p>
    <w:p w14:paraId="6BFCF192" w14:textId="77777777" w:rsidR="00CC5391" w:rsidRDefault="00CC5391" w:rsidP="00CC5391">
      <w:pPr>
        <w:rPr>
          <w:bCs/>
          <w:szCs w:val="22"/>
        </w:rPr>
      </w:pPr>
      <w:r>
        <w:rPr>
          <w:bCs/>
          <w:szCs w:val="22"/>
        </w:rPr>
        <w:t>Change “Fine Timing Request” to “initial Fine Timing Measurement Request frame or initial Fine Timing Measurement frame” at the cited location.</w:t>
      </w:r>
    </w:p>
    <w:p w14:paraId="61CC60FA" w14:textId="77777777" w:rsidR="00CC5391" w:rsidRDefault="00CC5391" w:rsidP="00CC5391">
      <w:pPr>
        <w:rPr>
          <w:bCs/>
          <w:szCs w:val="22"/>
        </w:rPr>
      </w:pPr>
    </w:p>
    <w:p w14:paraId="78B1493C" w14:textId="77777777" w:rsidR="00CC5391" w:rsidRDefault="00CC5391" w:rsidP="00CC5391">
      <w:pPr>
        <w:rPr>
          <w:bCs/>
          <w:szCs w:val="22"/>
        </w:rPr>
      </w:pPr>
      <w:r>
        <w:rPr>
          <w:bCs/>
          <w:szCs w:val="22"/>
        </w:rPr>
        <w:t>Also, at 1557.29, replace “Fine Timing Measurement Frame” with “Fine Timing Measurement frame” (lowercase).</w:t>
      </w:r>
    </w:p>
    <w:p w14:paraId="44536AA6" w14:textId="77777777" w:rsidR="00CC5391" w:rsidRPr="00637500" w:rsidRDefault="00CC5391" w:rsidP="00CC5391">
      <w:pPr>
        <w:rPr>
          <w:bCs/>
          <w:szCs w:val="22"/>
        </w:rPr>
      </w:pPr>
    </w:p>
    <w:p w14:paraId="52B7EEDE" w14:textId="77777777" w:rsidR="003C74B4" w:rsidRDefault="00CC5391" w:rsidP="00CC5391">
      <w:pPr>
        <w:rPr>
          <w:bCs/>
          <w:szCs w:val="22"/>
        </w:rPr>
      </w:pPr>
      <w:r>
        <w:rPr>
          <w:bCs/>
          <w:szCs w:val="22"/>
        </w:rPr>
        <w:br w:type="page"/>
      </w:r>
    </w:p>
    <w:p w14:paraId="3A4D9DC0" w14:textId="6949E145" w:rsidR="00E47099" w:rsidRDefault="00E47099">
      <w:pPr>
        <w:rPr>
          <w:bCs/>
          <w:szCs w:val="22"/>
        </w:rPr>
      </w:pPr>
      <w:bookmarkStart w:id="9" w:name="_GoBack"/>
      <w:bookmarkEnd w:id="9"/>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47099" w14:paraId="2373039E"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4EA9AE22"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5E8A30F5"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6850257"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7B7AD8D"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C89F46F"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47099" w:rsidRPr="00DE7477" w14:paraId="323292FC" w14:textId="77777777" w:rsidTr="003C15FC">
        <w:trPr>
          <w:trHeight w:val="765"/>
        </w:trPr>
        <w:tc>
          <w:tcPr>
            <w:tcW w:w="738" w:type="dxa"/>
          </w:tcPr>
          <w:p w14:paraId="0E5E8E35" w14:textId="77777777" w:rsidR="00E47099" w:rsidRPr="00233EF1" w:rsidRDefault="00E47099"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p>
        </w:tc>
        <w:tc>
          <w:tcPr>
            <w:tcW w:w="990" w:type="dxa"/>
          </w:tcPr>
          <w:p w14:paraId="5C823782" w14:textId="77777777" w:rsidR="00E47099" w:rsidRPr="00233EF1" w:rsidRDefault="00E47099" w:rsidP="003C15FC">
            <w:pPr>
              <w:jc w:val="right"/>
              <w:rPr>
                <w:rFonts w:ascii="Arial" w:eastAsia="Times New Roman" w:hAnsi="Arial" w:cs="Arial"/>
                <w:color w:val="000000"/>
                <w:sz w:val="20"/>
                <w:lang w:val="en-US"/>
              </w:rPr>
            </w:pPr>
          </w:p>
        </w:tc>
        <w:tc>
          <w:tcPr>
            <w:tcW w:w="1080" w:type="dxa"/>
          </w:tcPr>
          <w:p w14:paraId="0A984F2C" w14:textId="77777777" w:rsidR="00E47099" w:rsidRPr="00233EF1" w:rsidRDefault="00E47099" w:rsidP="003C15FC">
            <w:pPr>
              <w:rPr>
                <w:rFonts w:ascii="Arial" w:eastAsia="Times New Roman" w:hAnsi="Arial" w:cs="Arial"/>
                <w:color w:val="000000"/>
                <w:sz w:val="20"/>
                <w:lang w:val="en-US"/>
              </w:rPr>
            </w:pPr>
          </w:p>
        </w:tc>
        <w:tc>
          <w:tcPr>
            <w:tcW w:w="3600" w:type="dxa"/>
          </w:tcPr>
          <w:p w14:paraId="1021EF67"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00EA008A" w14:textId="77777777" w:rsidR="00E47099" w:rsidRPr="00AE7C3B" w:rsidRDefault="00E47099" w:rsidP="003C15FC">
            <w:pPr>
              <w:rPr>
                <w:rFonts w:ascii="Arial" w:eastAsia="Times New Roman" w:hAnsi="Arial" w:cs="Arial"/>
                <w:color w:val="000000"/>
                <w:sz w:val="20"/>
                <w:lang w:val="en-US"/>
              </w:rPr>
            </w:pPr>
          </w:p>
          <w:p w14:paraId="2C235180"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1FA6B26"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5EED795E"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(3) Some other </w:t>
            </w:r>
            <w:proofErr w:type="spellStart"/>
            <w:r w:rsidRPr="00AE7C3B">
              <w:rPr>
                <w:rFonts w:ascii="Arial" w:eastAsia="Times New Roman" w:hAnsi="Arial" w:cs="Arial"/>
                <w:color w:val="000000"/>
                <w:sz w:val="20"/>
                <w:lang w:val="en-US"/>
              </w:rPr>
              <w:t>frams</w:t>
            </w:r>
            <w:proofErr w:type="spellEnd"/>
            <w:r w:rsidRPr="00AE7C3B">
              <w:rPr>
                <w:rFonts w:ascii="Arial" w:eastAsia="Times New Roman" w:hAnsi="Arial" w:cs="Arial"/>
                <w:color w:val="000000"/>
                <w:sz w:val="20"/>
                <w:lang w:val="en-US"/>
              </w:rPr>
              <w:t xml:space="preserve"> (e.g., 9.6.7.7 Extended Channel Switch Announcement frame format) list the elements directly in a figure representing </w:t>
            </w:r>
            <w:proofErr w:type="spellStart"/>
            <w:r w:rsidRPr="00AE7C3B">
              <w:rPr>
                <w:rFonts w:ascii="Arial" w:eastAsia="Times New Roman" w:hAnsi="Arial" w:cs="Arial"/>
                <w:color w:val="000000"/>
                <w:sz w:val="20"/>
                <w:lang w:val="en-US"/>
              </w:rPr>
              <w:t>teh</w:t>
            </w:r>
            <w:proofErr w:type="spellEnd"/>
            <w:r w:rsidRPr="00AE7C3B">
              <w:rPr>
                <w:rFonts w:ascii="Arial" w:eastAsia="Times New Roman" w:hAnsi="Arial" w:cs="Arial"/>
                <w:color w:val="000000"/>
                <w:sz w:val="20"/>
                <w:lang w:val="en-US"/>
              </w:rPr>
              <w:t xml:space="preserve"> frame, without a table, which is also consistent with (2)</w:t>
            </w:r>
          </w:p>
          <w:p w14:paraId="5755E42A" w14:textId="77777777" w:rsidR="00E47099" w:rsidRPr="00AE7C3B" w:rsidRDefault="00E47099" w:rsidP="003C15FC">
            <w:pPr>
              <w:rPr>
                <w:rFonts w:ascii="Arial" w:eastAsia="Times New Roman" w:hAnsi="Arial" w:cs="Arial"/>
                <w:color w:val="000000"/>
                <w:sz w:val="20"/>
                <w:lang w:val="en-US"/>
              </w:rPr>
            </w:pPr>
          </w:p>
          <w:p w14:paraId="151EF102" w14:textId="77777777" w:rsidR="00E47099" w:rsidRPr="00233EF1"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I think (1) is the anomaly, and propose not to represent any IE appended to a frame as a field in that frame. This will simplify the text too, as there is no field to define (see example in proposed change).</w:t>
            </w:r>
          </w:p>
        </w:tc>
        <w:tc>
          <w:tcPr>
            <w:tcW w:w="3600" w:type="dxa"/>
          </w:tcPr>
          <w:p w14:paraId="5F1093B8"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Comment is general;  by way of example, and using Link Measurement Report frame, either</w:t>
            </w:r>
          </w:p>
          <w:p w14:paraId="19FFEA50" w14:textId="77777777" w:rsidR="00E47099" w:rsidRPr="00AE7C3B" w:rsidRDefault="00E47099" w:rsidP="003C15FC">
            <w:pPr>
              <w:rPr>
                <w:rFonts w:ascii="Arial" w:eastAsia="Times New Roman" w:hAnsi="Arial" w:cs="Arial"/>
                <w:color w:val="000000"/>
                <w:sz w:val="20"/>
                <w:lang w:val="en-US"/>
              </w:rPr>
            </w:pPr>
          </w:p>
          <w:p w14:paraId="09CCCB31"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109BDF42" w14:textId="77777777" w:rsidR="00E47099" w:rsidRPr="00AE7C3B" w:rsidRDefault="00E47099" w:rsidP="003C15FC">
            <w:pPr>
              <w:rPr>
                <w:rFonts w:ascii="Arial" w:eastAsia="Times New Roman" w:hAnsi="Arial" w:cs="Arial"/>
                <w:color w:val="000000"/>
                <w:sz w:val="20"/>
                <w:lang w:val="en-US"/>
              </w:rPr>
            </w:pPr>
          </w:p>
          <w:p w14:paraId="46D0B341"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 .., and they happen to follow this convention), and those without a table, e.g., Link Measurement Report.</w:t>
            </w:r>
          </w:p>
          <w:p w14:paraId="4F799B01" w14:textId="77777777" w:rsidR="00E47099" w:rsidRPr="00AE7C3B" w:rsidRDefault="00E47099" w:rsidP="003C15FC">
            <w:pPr>
              <w:rPr>
                <w:rFonts w:ascii="Arial" w:eastAsia="Times New Roman" w:hAnsi="Arial" w:cs="Arial"/>
                <w:color w:val="000000"/>
                <w:sz w:val="20"/>
                <w:lang w:val="en-US"/>
              </w:rPr>
            </w:pPr>
          </w:p>
          <w:p w14:paraId="073C5FC4" w14:textId="77777777" w:rsidR="00E47099" w:rsidRPr="00233EF1"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will greatly simplify (if not go away).</w:t>
            </w:r>
          </w:p>
        </w:tc>
      </w:tr>
    </w:tbl>
    <w:p w14:paraId="444BDD5C" w14:textId="593D8A8A" w:rsidR="003C74B4" w:rsidRDefault="003C74B4">
      <w:pPr>
        <w:rPr>
          <w:bCs/>
          <w:szCs w:val="22"/>
        </w:rPr>
      </w:pPr>
    </w:p>
    <w:p w14:paraId="28F8A46E" w14:textId="65C8D0B2" w:rsidR="00E47099" w:rsidRDefault="00E47099">
      <w:pPr>
        <w:rPr>
          <w:bCs/>
          <w:szCs w:val="22"/>
        </w:rPr>
      </w:pPr>
      <w:r>
        <w:rPr>
          <w:bCs/>
          <w:szCs w:val="22"/>
        </w:rP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fragment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  described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47">
                      <w14:nvContentPartPr>
                        <w14:cNvContentPartPr/>
                      </w14:nvContentPartPr>
                      <w14:xfrm>
                        <a:off x="0" y="0"/>
                        <a:ext cx="1300320" cy="49680"/>
                      </w14:xfrm>
                    </w14:contentPart>
                  </a:graphicData>
                </a:graphic>
              </wp:anchor>
            </w:drawing>
          </mc:Choice>
          <mc:Fallback>
            <w:pict>
              <v:shape w14:anchorId="15E6597E"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48"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49">
                      <w14:nvContentPartPr>
                        <w14:cNvContentPartPr/>
                      </w14:nvContentPartPr>
                      <w14:xfrm>
                        <a:off x="0" y="0"/>
                        <a:ext cx="682560" cy="33840"/>
                      </w14:xfrm>
                    </w14:contentPart>
                  </a:graphicData>
                </a:graphic>
              </wp:anchor>
            </w:drawing>
          </mc:Choice>
          <mc:Fallback>
            <w:pict>
              <v:shape w14:anchorId="38F04575"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50"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51">
                      <w14:nvContentPartPr>
                        <w14:cNvContentPartPr/>
                      </w14:nvContentPartPr>
                      <w14:xfrm>
                        <a:off x="0" y="0"/>
                        <a:ext cx="573480" cy="9000"/>
                      </w14:xfrm>
                    </w14:contentPart>
                  </a:graphicData>
                </a:graphic>
              </wp:anchor>
            </w:drawing>
          </mc:Choice>
          <mc:Fallback>
            <w:pict>
              <v:shape w14:anchorId="3D83C75F"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52"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53">
                      <w14:nvContentPartPr>
                        <w14:cNvContentPartPr/>
                      </w14:nvContentPartPr>
                      <w14:xfrm>
                        <a:off x="0" y="0"/>
                        <a:ext cx="1408680" cy="55440"/>
                      </w14:xfrm>
                    </w14:contentPart>
                  </a:graphicData>
                </a:graphic>
              </wp:anchor>
            </w:drawing>
          </mc:Choice>
          <mc:Fallback>
            <w:pict>
              <v:shape w14:anchorId="34ACE83B"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54"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is by definition, a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70">
                      <w14:nvContentPartPr>
                        <w14:cNvContentPartPr/>
                      </w14:nvContentPartPr>
                      <w14:xfrm>
                        <a:off x="0" y="0"/>
                        <a:ext cx="1365480" cy="38160"/>
                      </w14:xfrm>
                    </w14:contentPart>
                  </a:graphicData>
                </a:graphic>
              </wp:anchor>
            </w:drawing>
          </mc:Choice>
          <mc:Fallback>
            <w:pict>
              <v:shape w14:anchorId="692DDB3A"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71"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The notion of a "request" or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At the start of 11.32.5 add a para "A request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MLME .request primitive.  A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MLME .response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75">
                      <w14:nvContentPartPr>
                        <w14:cNvContentPartPr/>
                      </w14:nvContentPartPr>
                      <w14:xfrm>
                        <a:off x="0" y="0"/>
                        <a:ext cx="1311840" cy="49320"/>
                      </w14:xfrm>
                    </w14:contentPart>
                  </a:graphicData>
                </a:graphic>
              </wp:anchor>
            </w:drawing>
          </mc:Choice>
          <mc:Fallback>
            <w:pict>
              <v:shape w14:anchorId="49D70C14"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76"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77">
                      <w14:nvContentPartPr>
                        <w14:cNvContentPartPr/>
                      </w14:nvContentPartPr>
                      <w14:xfrm>
                        <a:off x="0" y="0"/>
                        <a:ext cx="1299960" cy="36360"/>
                      </w14:xfrm>
                    </w14:contentPart>
                  </a:graphicData>
                </a:graphic>
              </wp:anchor>
            </w:drawing>
          </mc:Choice>
          <mc:Fallback>
            <w:pict>
              <v:shape w14:anchorId="5DE2D8FA"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78"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w:t>
      </w:r>
      <w:proofErr w:type="spellStart"/>
      <w:r>
        <w:rPr>
          <w:bCs/>
          <w:szCs w:val="22"/>
        </w:rPr>
        <w:t>OCTunnel.request</w:t>
      </w:r>
      <w:proofErr w:type="spellEnd"/>
      <w:r>
        <w:rPr>
          <w:bCs/>
          <w:szCs w:val="22"/>
        </w:rPr>
        <w: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MLME .request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MLME .response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Why is there a "Table 9-173--Optional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Neighbor report" but no table showing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 xml:space="preserve">The </w:t>
      </w:r>
      <w:proofErr w:type="spellStart"/>
      <w:r>
        <w:rPr>
          <w:bCs/>
          <w:szCs w:val="22"/>
        </w:rPr>
        <w:t>Neighbor</w:t>
      </w:r>
      <w:proofErr w:type="spellEnd"/>
      <w:r>
        <w:rPr>
          <w:bCs/>
          <w:szCs w:val="22"/>
        </w:rPr>
        <w:t xml:space="preserve"> Report Request frame (note, not “</w:t>
      </w:r>
      <w:proofErr w:type="spellStart"/>
      <w:r>
        <w:rPr>
          <w:bCs/>
          <w:szCs w:val="22"/>
        </w:rPr>
        <w:t>Neighbor</w:t>
      </w:r>
      <w:proofErr w:type="spellEnd"/>
      <w:r>
        <w:rPr>
          <w:bCs/>
          <w:szCs w:val="22"/>
        </w:rPr>
        <w:t xml:space="preserve">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 xml:space="preserve">Contrast this with the </w:t>
      </w:r>
      <w:proofErr w:type="spellStart"/>
      <w:r>
        <w:rPr>
          <w:bCs/>
          <w:szCs w:val="22"/>
        </w:rPr>
        <w:t>Neighbor</w:t>
      </w:r>
      <w:proofErr w:type="spellEnd"/>
      <w:r>
        <w:rPr>
          <w:bCs/>
          <w:szCs w:val="22"/>
        </w:rPr>
        <w:t xml:space="preserve">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 xml:space="preserve">Unlike the </w:t>
      </w:r>
      <w:proofErr w:type="spellStart"/>
      <w:r>
        <w:rPr>
          <w:bCs/>
          <w:szCs w:val="22"/>
        </w:rPr>
        <w:t>Neighbor</w:t>
      </w:r>
      <w:proofErr w:type="spellEnd"/>
      <w:r>
        <w:rPr>
          <w:bCs/>
          <w:szCs w:val="22"/>
        </w:rPr>
        <w:t xml:space="preserve"> Report Response, the </w:t>
      </w:r>
      <w:proofErr w:type="spellStart"/>
      <w:r>
        <w:rPr>
          <w:bCs/>
          <w:szCs w:val="22"/>
        </w:rPr>
        <w:t>Neighbor</w:t>
      </w:r>
      <w:proofErr w:type="spellEnd"/>
      <w:r>
        <w:rPr>
          <w:bCs/>
          <w:szCs w:val="22"/>
        </w:rPr>
        <w:t xml:space="preserve"> Report Request does not carry “</w:t>
      </w:r>
      <w:proofErr w:type="spellStart"/>
      <w:r>
        <w:rPr>
          <w:bCs/>
          <w:szCs w:val="22"/>
        </w:rPr>
        <w:t>Neighbor</w:t>
      </w:r>
      <w:proofErr w:type="spellEnd"/>
      <w:r>
        <w:rPr>
          <w:bCs/>
          <w:szCs w:val="22"/>
        </w:rPr>
        <w:t xml:space="preserve">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w:t>
      </w:r>
      <w:proofErr w:type="spellStart"/>
      <w:r>
        <w:rPr>
          <w:bCs/>
          <w:szCs w:val="22"/>
        </w:rPr>
        <w:t>Neighbor</w:t>
      </w:r>
      <w:proofErr w:type="spellEnd"/>
      <w:r>
        <w:rPr>
          <w:bCs/>
          <w:szCs w:val="22"/>
        </w:rPr>
        <w:t xml:space="preserve"> Report Elements”.  These elements are carried in various frames from the AP to the non-AP STA, including the </w:t>
      </w:r>
      <w:proofErr w:type="spellStart"/>
      <w:r>
        <w:rPr>
          <w:bCs/>
          <w:szCs w:val="22"/>
        </w:rPr>
        <w:t>Neighbor</w:t>
      </w:r>
      <w:proofErr w:type="spellEnd"/>
      <w:r>
        <w:rPr>
          <w:bCs/>
          <w:szCs w:val="22"/>
        </w:rPr>
        <w:t xml:space="preserve"> Report Response, but are not carried in a </w:t>
      </w:r>
      <w:proofErr w:type="spellStart"/>
      <w:r>
        <w:rPr>
          <w:bCs/>
          <w:szCs w:val="22"/>
        </w:rPr>
        <w:t>Neighbor</w:t>
      </w:r>
      <w:proofErr w:type="spellEnd"/>
      <w:r>
        <w:rPr>
          <w:bCs/>
          <w:szCs w:val="22"/>
        </w:rPr>
        <w:t xml:space="preserve">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w:t>
      </w:r>
      <w:proofErr w:type="spellStart"/>
      <w:r>
        <w:rPr>
          <w:bCs/>
          <w:szCs w:val="22"/>
        </w:rPr>
        <w:t>Neighbor</w:t>
      </w:r>
      <w:proofErr w:type="spellEnd"/>
      <w:r>
        <w:rPr>
          <w:bCs/>
          <w:szCs w:val="22"/>
        </w:rPr>
        <w:t xml:space="preserve"> Reports” (per the title of Table 9-173), and in theory “</w:t>
      </w:r>
      <w:proofErr w:type="spellStart"/>
      <w:r>
        <w:rPr>
          <w:bCs/>
          <w:szCs w:val="22"/>
        </w:rPr>
        <w:t>Neighbor</w:t>
      </w:r>
      <w:proofErr w:type="spellEnd"/>
      <w:r>
        <w:rPr>
          <w:bCs/>
          <w:szCs w:val="22"/>
        </w:rPr>
        <w:t xml:space="preserve">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 xml:space="preserve">Second, in usage, however, the </w:t>
      </w:r>
      <w:proofErr w:type="spellStart"/>
      <w:r>
        <w:rPr>
          <w:bCs/>
          <w:szCs w:val="22"/>
        </w:rPr>
        <w:t>Neighbor</w:t>
      </w:r>
      <w:proofErr w:type="spellEnd"/>
      <w:r>
        <w:rPr>
          <w:bCs/>
          <w:szCs w:val="22"/>
        </w:rPr>
        <w:t xml:space="preserve">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proofErr w:type="spellStart"/>
      <w:r w:rsidRPr="002C7DB8">
        <w:rPr>
          <w:bCs/>
          <w:szCs w:val="22"/>
        </w:rPr>
        <w:t>Neighbor</w:t>
      </w:r>
      <w:proofErr w:type="spellEnd"/>
      <w:r w:rsidRPr="002C7DB8">
        <w:rPr>
          <w:bCs/>
          <w:szCs w:val="22"/>
        </w:rPr>
        <w:t xml:space="preserve">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w:t>
      </w:r>
      <w:proofErr w:type="spellStart"/>
      <w:r>
        <w:rPr>
          <w:bCs/>
          <w:szCs w:val="22"/>
        </w:rPr>
        <w:t>Neighbor</w:t>
      </w:r>
      <w:proofErr w:type="spellEnd"/>
      <w:r>
        <w:rPr>
          <w:bCs/>
          <w:szCs w:val="22"/>
        </w:rPr>
        <w:t xml:space="preserve"> Report elements” are called out.  Conceptually, this could be in both the </w:t>
      </w:r>
      <w:proofErr w:type="spellStart"/>
      <w:r>
        <w:rPr>
          <w:bCs/>
          <w:szCs w:val="22"/>
        </w:rPr>
        <w:t>Neighbor</w:t>
      </w:r>
      <w:proofErr w:type="spellEnd"/>
      <w:r>
        <w:rPr>
          <w:bCs/>
          <w:szCs w:val="22"/>
        </w:rPr>
        <w:t xml:space="preserve"> Report Response from the AP to the non-AP STA (and other informational frames from the AP) as well as in the </w:t>
      </w:r>
      <w:proofErr w:type="spellStart"/>
      <w:r>
        <w:rPr>
          <w:bCs/>
          <w:szCs w:val="22"/>
        </w:rPr>
        <w:t>Neighbor</w:t>
      </w:r>
      <w:proofErr w:type="spellEnd"/>
      <w:r>
        <w:rPr>
          <w:bCs/>
          <w:szCs w:val="22"/>
        </w:rPr>
        <w:t xml:space="preserve"> Report Request from the non-AP STA to the AP – which is what the commenter questioned.  However, currently the </w:t>
      </w:r>
      <w:proofErr w:type="spellStart"/>
      <w:r>
        <w:rPr>
          <w:bCs/>
          <w:szCs w:val="22"/>
        </w:rPr>
        <w:t>Neighbor</w:t>
      </w:r>
      <w:proofErr w:type="spellEnd"/>
      <w:r>
        <w:rPr>
          <w:bCs/>
          <w:szCs w:val="22"/>
        </w:rPr>
        <w:t xml:space="preserve">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84">
                      <w14:nvContentPartPr>
                        <w14:cNvContentPartPr/>
                      </w14:nvContentPartPr>
                      <w14:xfrm>
                        <a:off x="0" y="0"/>
                        <a:ext cx="1769400" cy="55440"/>
                      </w14:xfrm>
                    </w14:contentPart>
                  </a:graphicData>
                </a:graphic>
              </wp:anchor>
            </w:drawing>
          </mc:Choice>
          <mc:Fallback>
            <w:pict>
              <v:shape w14:anchorId="21EC3B5D"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85"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87">
                      <w14:nvContentPartPr>
                        <w14:cNvContentPartPr/>
                      </w14:nvContentPartPr>
                      <w14:xfrm>
                        <a:off x="0" y="0"/>
                        <a:ext cx="1550160" cy="132120"/>
                      </w14:xfrm>
                    </w14:contentPart>
                  </a:graphicData>
                </a:graphic>
              </wp:anchor>
            </w:drawing>
          </mc:Choice>
          <mc:Fallback>
            <w:pict>
              <v:shape w14:anchorId="06E32151"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88"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r>
        <w:rPr>
          <w:bCs/>
          <w:szCs w:val="22"/>
        </w:rPr>
        <w:t>The vast majority of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Arguably, since these subclauses contain these details of PHY operation, they should be moved to the PHY service clause (clause 8).  But,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In the cases of “frame with the TXVECTOR” (singular “frame”), these occur in two places: rules for control response frame guard intervals, coding and format, and for S1G frame traveling pilots and preamble type.  Since the control response frame examples are in the context of a particular frame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The S1G frame traveling pilots and preamble type examples, however, are similar to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subblock of the N[6:5+n1]-</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block of the N[6+n1:12]-</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page, where n1 is log2NB and NB is power of 2. N[</w:t>
            </w:r>
            <w:proofErr w:type="spellStart"/>
            <w:r w:rsidRPr="00DE7477">
              <w:rPr>
                <w:rFonts w:ascii="Arial" w:eastAsia="Times New Roman" w:hAnsi="Arial" w:cs="Arial"/>
                <w:sz w:val="20"/>
                <w:lang w:val="en-US"/>
              </w:rPr>
              <w:t>a:b</w:t>
            </w:r>
            <w:proofErr w:type="spellEnd"/>
            <w:r w:rsidRPr="00DE7477">
              <w:rPr>
                <w:rFonts w:ascii="Arial" w:eastAsia="Times New Roman" w:hAnsi="Arial" w:cs="Arial"/>
                <w:sz w:val="20"/>
                <w:lang w:val="en-US"/>
              </w:rPr>
              <w:t xml:space="preserve">] represents bits a to </w:t>
            </w:r>
            <w:proofErr w:type="spellStart"/>
            <w:r w:rsidRPr="00DE7477">
              <w:rPr>
                <w:rFonts w:ascii="Arial" w:eastAsia="Times New Roman" w:hAnsi="Arial" w:cs="Arial"/>
                <w:sz w:val="20"/>
                <w:lang w:val="en-US"/>
              </w:rPr>
              <w:t>b</w:t>
            </w:r>
            <w:proofErr w:type="spellEnd"/>
            <w:r w:rsidRPr="00DE7477">
              <w:rPr>
                <w:rFonts w:ascii="Arial" w:eastAsia="Times New Roman" w:hAnsi="Arial" w:cs="Arial"/>
                <w:sz w:val="20"/>
                <w:lang w:val="en-US"/>
              </w:rPr>
              <w:t xml:space="preserve">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The paragraph on P997 does cover the cases where either/both of the fields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9-951--TIM frame Action field(#2568)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(MDR2)The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There is no concept of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Delete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 xml:space="preserve">At the start of subclause 5.1.1.4, insert a paragraph, "In Non-QoS STAs, the value of the service class parameter in invoked MAC Service Primitives (see 5.2) is ignored.  The value of the service class parameter in generated MAC Service Primitives is set to </w:t>
            </w:r>
            <w:proofErr w:type="spellStart"/>
            <w:r w:rsidRPr="00DE7477">
              <w:rPr>
                <w:rFonts w:ascii="Arial" w:eastAsia="Times New Roman" w:hAnsi="Arial" w:cs="Arial"/>
                <w:sz w:val="20"/>
                <w:lang w:val="en-US"/>
              </w:rPr>
              <w:t>ReorderableGroupAddressed</w:t>
            </w:r>
            <w:proofErr w:type="spellEnd"/>
            <w:r w:rsidRPr="00DE7477">
              <w:rPr>
                <w:rFonts w:ascii="Arial" w:eastAsia="Times New Roman" w:hAnsi="Arial" w:cs="Arial"/>
                <w:sz w:val="20"/>
                <w:lang w:val="en-US"/>
              </w:rPr>
              <w:t>."</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 xml:space="preserve">In the referenced para delete ", except those that have the </w:t>
            </w:r>
            <w:proofErr w:type="spellStart"/>
            <w:r w:rsidRPr="00A64508">
              <w:rPr>
                <w:rFonts w:ascii="Arial" w:eastAsia="Times New Roman" w:hAnsi="Arial" w:cs="Arial"/>
                <w:sz w:val="20"/>
                <w:highlight w:val="cyan"/>
                <w:lang w:val="en-US"/>
              </w:rPr>
              <w:t>StrictlyOrdered</w:t>
            </w:r>
            <w:proofErr w:type="spellEnd"/>
            <w:r w:rsidRPr="00A64508">
              <w:rPr>
                <w:rFonts w:ascii="Arial" w:eastAsia="Times New Roman" w:hAnsi="Arial" w:cs="Arial"/>
                <w:sz w:val="20"/>
                <w:highlight w:val="cyan"/>
                <w:lang w:val="en-US"/>
              </w:rPr>
              <w:t xml:space="preserve">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There are exactly two occurrences of “</w:t>
      </w:r>
      <w:proofErr w:type="spellStart"/>
      <w:r>
        <w:rPr>
          <w:bCs/>
          <w:szCs w:val="22"/>
        </w:rPr>
        <w:t>StrictlyOrdered</w:t>
      </w:r>
      <w:proofErr w:type="spellEnd"/>
      <w:r>
        <w:rPr>
          <w:bCs/>
          <w:szCs w:val="22"/>
        </w:rPr>
        <w:t xml:space="preserve">”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97">
                      <w14:nvContentPartPr>
                        <w14:cNvContentPartPr/>
                      </w14:nvContentPartPr>
                      <w14:xfrm>
                        <a:off x="0" y="0"/>
                        <a:ext cx="795600" cy="33840"/>
                      </w14:xfrm>
                    </w14:contentPart>
                  </a:graphicData>
                </a:graphic>
              </wp:anchor>
            </w:drawing>
          </mc:Choice>
          <mc:Fallback>
            <w:pict>
              <v:shape w14:anchorId="62D4E7E7"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98"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99">
                      <w14:nvContentPartPr>
                        <w14:cNvContentPartPr/>
                      </w14:nvContentPartPr>
                      <w14:xfrm>
                        <a:off x="0" y="0"/>
                        <a:ext cx="724320" cy="11880"/>
                      </w14:xfrm>
                    </w14:contentPart>
                  </a:graphicData>
                </a:graphic>
              </wp:anchor>
            </w:drawing>
          </mc:Choice>
          <mc:Fallback>
            <w:pict>
              <v:shape w14:anchorId="0B421FFC"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100"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w:t>
      </w:r>
      <w:proofErr w:type="spellStart"/>
      <w:r>
        <w:rPr>
          <w:bCs/>
          <w:szCs w:val="22"/>
        </w:rPr>
        <w:t>ReorderableGroupAddressed</w:t>
      </w:r>
      <w:proofErr w:type="spellEnd"/>
      <w:r>
        <w:rPr>
          <w:bCs/>
          <w:szCs w:val="22"/>
        </w:rPr>
        <w:t>” is allowed.  So, these two locations are the only other places that need to be modified to complete the restriction to only “</w:t>
      </w:r>
      <w:proofErr w:type="spellStart"/>
      <w:r>
        <w:rPr>
          <w:bCs/>
          <w:szCs w:val="22"/>
        </w:rPr>
        <w:t>ReorderableGroupAddressed</w:t>
      </w:r>
      <w:proofErr w:type="spellEnd"/>
      <w:r>
        <w:rPr>
          <w:bCs/>
          <w:szCs w:val="22"/>
        </w:rPr>
        <w:t>”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 xml:space="preserve">At 2187.02, delete "except those that have the </w:t>
      </w:r>
      <w:proofErr w:type="spellStart"/>
      <w:r w:rsidRPr="00A64508">
        <w:rPr>
          <w:bCs/>
          <w:szCs w:val="22"/>
        </w:rPr>
        <w:t>StrictlyOrdered</w:t>
      </w:r>
      <w:proofErr w:type="spellEnd"/>
      <w:r w:rsidRPr="00A64508">
        <w:rPr>
          <w:bCs/>
          <w:szCs w:val="22"/>
        </w:rPr>
        <w:t xml:space="preserve">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 xml:space="preserve">At the end of subclause 5.1.1.4, insert a paragraph, "In non-QoS STAs, the value of the service class parameter in invoked MAC service primitives (see 5.2) is ignored.  The value of the service class parameter in generated MAC service primitives is set to </w:t>
      </w:r>
      <w:proofErr w:type="spellStart"/>
      <w:r w:rsidRPr="00A64508">
        <w:rPr>
          <w:bCs/>
          <w:szCs w:val="22"/>
        </w:rPr>
        <w:t>ReorderableGroupAddressed</w:t>
      </w:r>
      <w:proofErr w:type="spellEnd"/>
      <w:r w:rsidRPr="00A64508">
        <w:rPr>
          <w:bCs/>
          <w:szCs w:val="22"/>
        </w:rPr>
        <w:t>."</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r>
        <w:rPr>
          <w:bCs/>
          <w:szCs w:val="22"/>
        </w:rPr>
        <w:t xml:space="preserve">Indeed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Pr>
          <w:bCs/>
          <w:szCs w:val="22"/>
        </w:rPr>
        <w:t>,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 xml:space="preserve">Optional fields need to have a </w:t>
      </w:r>
      <w:proofErr w:type="spellStart"/>
      <w:r w:rsidRPr="00793864">
        <w:rPr>
          <w:bCs/>
          <w:szCs w:val="22"/>
        </w:rPr>
        <w:t>subelement</w:t>
      </w:r>
      <w:proofErr w:type="spellEnd"/>
      <w:r w:rsidRPr="00793864">
        <w:rPr>
          <w:bCs/>
          <w:szCs w:val="22"/>
        </w:rPr>
        <w:t xml:space="preserve">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proofErr w:type="spellStart"/>
      <w:r w:rsidRPr="00B855B8">
        <w:rPr>
          <w:rFonts w:ascii="TimesNewRoman" w:hAnsi="TimesNewRoman" w:cs="TimesNewRoman"/>
          <w:sz w:val="20"/>
          <w:u w:val="single"/>
          <w:lang w:val="en-US" w:eastAsia="ja-JP"/>
        </w:rPr>
        <w:t>subelement</w:t>
      </w:r>
      <w:proofErr w:type="spellEnd"/>
      <w:r w:rsidRPr="00B855B8">
        <w:rPr>
          <w:rFonts w:ascii="TimesNewRoman" w:hAnsi="TimesNewRoman" w:cs="TimesNewRoman"/>
          <w:sz w:val="20"/>
          <w:u w:val="single"/>
          <w:lang w:val="en-US" w:eastAsia="ja-JP"/>
        </w:rPr>
        <w:t xml:space="preserve"> </w:t>
      </w:r>
      <w:r w:rsidRPr="00B855B8">
        <w:rPr>
          <w:rFonts w:ascii="TimesNewRoman" w:hAnsi="TimesNewRoman" w:cs="TimesNewRoman"/>
          <w:sz w:val="20"/>
          <w:lang w:val="en-US" w:eastAsia="ja-JP"/>
        </w:rPr>
        <w:t xml:space="preserve">is used to specify trigger conditions and thresholds. It is present only when requesting triggered multicast diagnostic reporting. The format of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is as shown in Figure 9-212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Multicast Trigger Condition field specifies reporting triggers for triggered management diagnostic reporting. The format of the Multicast Trigger Condition field is shown in Figure 9-213 (Multicast Trigger Condition field format(#2607)).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However, it would be better to state this clearly (with a re-write of the sentence), in a way that is similar to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 xml:space="preserve">Per 11.21.1 (General subclause of </w:t>
      </w:r>
      <w:proofErr w:type="spellStart"/>
      <w:r>
        <w:rPr>
          <w:bCs/>
          <w:szCs w:val="22"/>
        </w:rPr>
        <w:t>Tunneled</w:t>
      </w:r>
      <w:proofErr w:type="spellEnd"/>
      <w:r>
        <w:rPr>
          <w:bCs/>
          <w:szCs w:val="22"/>
        </w:rPr>
        <w:t xml:space="preserve">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t>
      </w:r>
      <w:r>
        <w:rPr>
          <w:rFonts w:ascii="TimesNewRomanPSMT" w:eastAsia="TimesNewRomanPSMT" w:cs="TimesNewRomanPSMT"/>
          <w:sz w:val="20"/>
          <w:lang w:val="en-US" w:eastAsia="ja-JP"/>
        </w:rPr>
        <w:lastRenderedPageBreak/>
        <w:t>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HCF contention based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Also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 xml:space="preserve">P4544L24  </w:t>
      </w:r>
      <w:r w:rsidRPr="00B855B8">
        <w:rPr>
          <w:rFonts w:eastAsia="TimesNewRoman"/>
          <w:sz w:val="24"/>
          <w:szCs w:val="24"/>
          <w:lang w:val="en-US" w:eastAsia="ja-JP"/>
        </w:rPr>
        <w:tab/>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(MDR2)A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to "For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 sending the Channel Switch Announcement element switches to the new channel. A value of 1 indicates that the switch occurs immediately before  the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(MDR2)A value of 1 indicates that the switch occurs </w:t>
      </w:r>
      <w:commentRangeStart w:id="10"/>
      <w:r>
        <w:rPr>
          <w:sz w:val="24"/>
          <w:szCs w:val="24"/>
        </w:rPr>
        <w:t xml:space="preserve">immediately before </w:t>
      </w:r>
      <w:commentRangeEnd w:id="10"/>
      <w:r>
        <w:rPr>
          <w:rStyle w:val="CommentReference"/>
        </w:rPr>
        <w:commentReference w:id="10"/>
      </w:r>
      <w:r>
        <w:rPr>
          <w:sz w:val="24"/>
          <w:szCs w:val="24"/>
        </w:rPr>
        <w:t xml:space="preserve">the next TBTT and a </w:t>
      </w:r>
      <w:commentRangeStart w:id="11"/>
      <w:r>
        <w:rPr>
          <w:sz w:val="24"/>
          <w:szCs w:val="24"/>
        </w:rPr>
        <w:t xml:space="preserve">value of 0 </w:t>
      </w:r>
      <w:commentRangeEnd w:id="11"/>
      <w:r>
        <w:rPr>
          <w:rStyle w:val="CommentReference"/>
        </w:rPr>
        <w:commentReference w:id="11"/>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xml:space="preserve">— “&lt;x&gt; that indicate” </w:t>
      </w:r>
      <w:proofErr w:type="spellStart"/>
      <w:r>
        <w:t>isto</w:t>
      </w:r>
      <w:proofErr w:type="spellEnd"/>
      <w:r>
        <w:t xml:space="preserve"> be interpreted as though written “&lt;x&gt; whose value indicates” ’</w:t>
      </w:r>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The switch has to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Suggest being clear that the change happens “at” the TBTT (and not before, which opens a small and unknown window when the AP is no longer on the old channel), and also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w:t>
            </w:r>
            <w:proofErr w:type="spellStart"/>
            <w:r w:rsidRPr="008F5220">
              <w:rPr>
                <w:rFonts w:ascii="Arial" w:eastAsia="Times New Roman" w:hAnsi="Arial" w:cs="Arial"/>
                <w:color w:val="000000"/>
                <w:sz w:val="20"/>
                <w:lang w:val="en-US"/>
              </w:rPr>
              <w:t>UNITDATA.request</w:t>
            </w:r>
            <w:proofErr w:type="spellEnd"/>
            <w:r w:rsidRPr="008F5220">
              <w:rPr>
                <w:rFonts w:ascii="Arial" w:eastAsia="Times New Roman" w:hAnsi="Arial" w:cs="Arial"/>
                <w:color w:val="000000"/>
                <w:sz w:val="20"/>
                <w:lang w:val="en-US"/>
              </w:rPr>
              <w:t xml:space="preserve">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architecture(11ak)(#2273)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 xml:space="preserve">This is consistent with the definition of </w:t>
      </w:r>
      <w:proofErr w:type="spellStart"/>
      <w:r>
        <w:rPr>
          <w:bCs/>
          <w:szCs w:val="22"/>
        </w:rPr>
        <w:t>bufferable</w:t>
      </w:r>
      <w:proofErr w:type="spellEnd"/>
      <w:r>
        <w:rPr>
          <w:bCs/>
          <w:szCs w:val="22"/>
        </w:rPr>
        <w:t xml:space="preserv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 xml:space="preserve">Rejected.  As described in the definition of </w:t>
      </w:r>
      <w:proofErr w:type="spellStart"/>
      <w:r>
        <w:rPr>
          <w:bCs/>
          <w:szCs w:val="22"/>
        </w:rPr>
        <w:t>bufferable</w:t>
      </w:r>
      <w:proofErr w:type="spellEnd"/>
      <w:r>
        <w:rPr>
          <w:bCs/>
          <w:szCs w:val="22"/>
        </w:rPr>
        <w:t xml:space="preserv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revision/amendment, and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"concatenated list of " -- it can hardly be anything else.  For other lists we don't </w:t>
            </w:r>
            <w:proofErr w:type="spellStart"/>
            <w:r w:rsidRPr="00DE7477">
              <w:rPr>
                <w:rFonts w:ascii="Arial" w:eastAsia="Times New Roman" w:hAnsi="Arial" w:cs="Arial"/>
                <w:sz w:val="20"/>
                <w:lang w:val="en-US"/>
              </w:rPr>
              <w:t>explcitly</w:t>
            </w:r>
            <w:proofErr w:type="spellEnd"/>
            <w:r w:rsidRPr="00DE7477">
              <w:rPr>
                <w:rFonts w:ascii="Arial" w:eastAsia="Times New Roman" w:hAnsi="Arial" w:cs="Arial"/>
                <w:sz w:val="20"/>
                <w:lang w:val="en-US"/>
              </w:rPr>
              <w:t xml:space="preserve">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Agreed that “list of” is sufficient.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No such thing as  "TRN-R-PACKET"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 xml:space="preserve">The only Extension frames defined in </w:t>
      </w:r>
      <w:proofErr w:type="spellStart"/>
      <w:r>
        <w:rPr>
          <w:bCs/>
          <w:szCs w:val="22"/>
        </w:rPr>
        <w:t>REVmd</w:t>
      </w:r>
      <w:proofErr w:type="spellEnd"/>
      <w:r>
        <w:rPr>
          <w:bCs/>
          <w:szCs w:val="22"/>
        </w:rPr>
        <w:t xml:space="preserve">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12"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12"/>
            <w:r w:rsidRPr="00DE7477">
              <w:rPr>
                <w:rFonts w:ascii="Arial" w:eastAsia="Times New Roman" w:hAnsi="Arial" w:cs="Arial"/>
                <w:sz w:val="20"/>
                <w:lang w:val="en-US"/>
              </w:rPr>
              <w:t>"; also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"to a STA " in the cited text; also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Delete "to a STA " in the cited text; also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w:t>
      </w:r>
      <w:proofErr w:type="spellStart"/>
      <w:r>
        <w:rPr>
          <w:bCs/>
          <w:szCs w:val="22"/>
        </w:rPr>
        <w:t>to</w:t>
      </w:r>
      <w:proofErr w:type="spellEnd"/>
      <w:r>
        <w:rPr>
          <w:bCs/>
          <w:szCs w:val="22"/>
        </w:rPr>
        <w:t xml:space="preserve">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In this case, the reference is to the general concept of the beamforming feedback matrix, without explicit reference to a field (which is not carried in the same frame).  This is similar to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TPU STA is by definition not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nonmesh</w:t>
            </w:r>
            <w:proofErr w:type="spellEnd"/>
            <w:r w:rsidRPr="00DE7477">
              <w:rPr>
                <w:rFonts w:ascii="Arial" w:eastAsia="Times New Roman" w:hAnsi="Arial" w:cs="Arial"/>
                <w:sz w:val="20"/>
                <w:lang w:val="en-US"/>
              </w:rPr>
              <w:t xml:space="preserve">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 xml:space="preserve">TDLS is defined to be a mechanism involving an AP, </w:t>
      </w:r>
      <w:proofErr w:type="spellStart"/>
      <w:r>
        <w:rPr>
          <w:bCs/>
          <w:szCs w:val="22"/>
        </w:rPr>
        <w:t>ant</w:t>
      </w:r>
      <w:proofErr w:type="spellEnd"/>
      <w:r>
        <w:rPr>
          <w:bCs/>
          <w:szCs w:val="22"/>
        </w:rPr>
        <w:t xml:space="preserve">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 xml:space="preserve">So, agree, the cited rows do not need to specify “in a </w:t>
      </w:r>
      <w:proofErr w:type="spellStart"/>
      <w:r>
        <w:rPr>
          <w:bCs/>
          <w:szCs w:val="22"/>
        </w:rPr>
        <w:t>nonmesh</w:t>
      </w:r>
      <w:proofErr w:type="spellEnd"/>
      <w:r>
        <w:rPr>
          <w:bCs/>
          <w:szCs w:val="22"/>
        </w:rPr>
        <w:t xml:space="preserve">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"The  (#151)Neighbor  Report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 xml:space="preserve">The comment is on text in clause 9, describing the format of the Fine Timing Measurement Range request.  This request includes a list of </w:t>
      </w:r>
      <w:proofErr w:type="spellStart"/>
      <w:r>
        <w:rPr>
          <w:bCs/>
          <w:szCs w:val="22"/>
        </w:rPr>
        <w:t>subelements</w:t>
      </w:r>
      <w:proofErr w:type="spellEnd"/>
      <w:r>
        <w:rPr>
          <w:bCs/>
          <w:szCs w:val="22"/>
        </w:rPr>
        <w:t xml:space="preserve"> that describe a number of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 xml:space="preserve">The requested STA is expected to (try to) perform the FTM range operation with at least the Minimum AP Count number of APs from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 xml:space="preserve">Thus,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xml:space="preserve"> list is a superset of the APs, and the requested STA may choose a subset of this list to actually perform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r w:rsidRPr="00262C8E">
        <w:rPr>
          <w:bCs/>
          <w:szCs w:val="22"/>
        </w:rPr>
        <w:t xml:space="preserve">specify  a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conIntervals</w:t>
            </w:r>
            <w:proofErr w:type="spellEnd"/>
            <w:r w:rsidRPr="00DE7477">
              <w:rPr>
                <w:rFonts w:ascii="Arial" w:eastAsia="Times New Roman" w:hAnsi="Arial" w:cs="Arial"/>
                <w:sz w:val="20"/>
                <w:lang w:val="en-US"/>
              </w:rPr>
              <w:t xml:space="preserve">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The sentence does not seem necessary to the paragraph, and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Break the paragraph into two, after the first sentence (at the full stop on line 2).  Start the new paragraph with,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Beacon, Measurement Pilot, or Probe Response frame.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corresponding Beacon request equals 0, 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equals 1, all </w:t>
      </w:r>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 xml:space="preserve">Some elements in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or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(M12)</w:t>
      </w:r>
      <w:r>
        <w:rPr>
          <w:rFonts w:ascii="TimesNewRoman" w:hAnsi="TimesNewRoman" w:cs="TimesNewRoman"/>
          <w:color w:val="000000"/>
          <w:sz w:val="20"/>
          <w:lang w:val="en-US" w:eastAsia="ja-JP"/>
        </w:rPr>
        <w:t>some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proofErr w:type="spellStart"/>
      <w:r>
        <w:rPr>
          <w:rFonts w:ascii="TimesNewRoman" w:hAnsi="TimesNewRoman" w:cs="TimesNewRoman"/>
          <w:color w:val="000000"/>
          <w:sz w:val="20"/>
          <w:lang w:val="en-US" w:eastAsia="ja-JP"/>
        </w:rPr>
        <w:lastRenderedPageBreak/>
        <w:t>subelement</w:t>
      </w:r>
      <w:proofErr w:type="spellEnd"/>
      <w:r>
        <w:rPr>
          <w:rFonts w:ascii="TimesNewRoman" w:hAnsi="TimesNewRoman" w:cs="TimesNewRoman"/>
          <w:color w:val="000000"/>
          <w:sz w:val="20"/>
          <w:lang w:val="en-US" w:eastAsia="ja-JP"/>
        </w:rPr>
        <w:t xml:space="preserve"> might be truncated, and the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xml:space="preserve">,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It's not clear what list of elements are implied by, "The AP or PCP may include all other elements in the </w:t>
            </w:r>
            <w:proofErr w:type="spellStart"/>
            <w:r w:rsidRPr="00DE7477">
              <w:rPr>
                <w:rFonts w:ascii="Arial" w:eastAsia="Times New Roman" w:hAnsi="Arial" w:cs="Arial"/>
                <w:sz w:val="20"/>
                <w:lang w:val="en-US"/>
              </w:rPr>
              <w:t>nontransmitted</w:t>
            </w:r>
            <w:proofErr w:type="spellEnd"/>
            <w:r w:rsidRPr="00DE7477">
              <w:rPr>
                <w:rFonts w:ascii="Arial" w:eastAsia="Times New Roman" w:hAnsi="Arial" w:cs="Arial"/>
                <w:sz w:val="20"/>
                <w:lang w:val="en-US"/>
              </w:rPr>
              <w:t xml:space="preserve">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 xml:space="preserve">From 9.4.2.45,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is one of the optional </w:t>
      </w:r>
      <w:proofErr w:type="spellStart"/>
      <w:r>
        <w:rPr>
          <w:bCs/>
          <w:szCs w:val="22"/>
        </w:rPr>
        <w:t>sublements</w:t>
      </w:r>
      <w:proofErr w:type="spellEnd"/>
      <w:r>
        <w:rPr>
          <w:bCs/>
          <w:szCs w:val="22"/>
        </w:rPr>
        <w:t xml:space="preserve">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 xml:space="preserve">From the bullet list,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must contain:</w:t>
      </w:r>
    </w:p>
    <w:p w14:paraId="73F072CE" w14:textId="77777777" w:rsidR="004170E6" w:rsidRDefault="004170E6" w:rsidP="004170E6">
      <w:pPr>
        <w:pStyle w:val="ListParagraph"/>
        <w:numPr>
          <w:ilvl w:val="0"/>
          <w:numId w:val="46"/>
        </w:numPr>
        <w:rPr>
          <w:bCs/>
          <w:szCs w:val="22"/>
        </w:rPr>
      </w:pPr>
      <w:proofErr w:type="spellStart"/>
      <w:r>
        <w:rPr>
          <w:bCs/>
          <w:szCs w:val="22"/>
        </w:rPr>
        <w:t>Nontransmitted</w:t>
      </w:r>
      <w:proofErr w:type="spellEnd"/>
      <w:r>
        <w:rPr>
          <w:bCs/>
          <w:szCs w:val="22"/>
        </w:rPr>
        <w:t xml:space="preserve">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But,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 xml:space="preserve">REVISED (MAC: 2019-09-17 14:13:59Z): Incorporate the changes for CID 2692 in doc 11-19/551r17 (https://mentor.ieee.org/802.11/dcn/19/11-19-0551-17-000m-revmd-lb236-comments-assigned-to-hamilton.docx) which makes the changes in the direction suggested by the </w:t>
      </w:r>
      <w:proofErr w:type="spellStart"/>
      <w:r w:rsidRPr="00EF7C2D">
        <w:rPr>
          <w:bCs/>
          <w:szCs w:val="22"/>
        </w:rPr>
        <w:t>commentor</w:t>
      </w:r>
      <w:proofErr w:type="spellEnd"/>
      <w:r w:rsidRPr="00EF7C2D">
        <w:rPr>
          <w:bCs/>
          <w:szCs w:val="22"/>
        </w:rPr>
        <w:t>.</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w:t>
      </w:r>
      <w:proofErr w:type="spellStart"/>
      <w:r>
        <w:t>i</w:t>
      </w:r>
      <w:proofErr w:type="spellEnd"/>
      <w:r>
        <w:t xml:space="preserve">)”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w:t>
      </w:r>
      <w:proofErr w:type="spellStart"/>
      <w:r>
        <w:rPr>
          <w:bCs/>
          <w:szCs w:val="22"/>
        </w:rPr>
        <w:t>i</w:t>
      </w:r>
      <w:proofErr w:type="spellEnd"/>
      <w:r>
        <w:rPr>
          <w:bCs/>
          <w:szCs w:val="22"/>
        </w:rPr>
        <w:t>)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errors, and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The PCP Handover element, which is transmitted in a number of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391797">
        <w:trPr>
          <w:trHeight w:val="1020"/>
        </w:trPr>
        <w:tc>
          <w:tcPr>
            <w:tcW w:w="738" w:type="dxa"/>
            <w:hideMark/>
          </w:tcPr>
          <w:p w14:paraId="3704231A"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391797">
        <w:trPr>
          <w:trHeight w:val="1275"/>
        </w:trPr>
        <w:tc>
          <w:tcPr>
            <w:tcW w:w="738" w:type="dxa"/>
            <w:hideMark/>
          </w:tcPr>
          <w:p w14:paraId="51BF95C2"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"STA needs transmit training".  This is a protocol for interoperability, so I think it is better to say "STA requests transmit training".</w:t>
            </w:r>
          </w:p>
        </w:tc>
        <w:tc>
          <w:tcPr>
            <w:tcW w:w="3600" w:type="dxa"/>
            <w:hideMark/>
          </w:tcPr>
          <w:p w14:paraId="1DEF965A"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r>
        <w:rPr>
          <w:bCs/>
          <w:szCs w:val="22"/>
        </w:rPr>
        <w:t>Both of these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391797">
        <w:trPr>
          <w:trHeight w:val="2040"/>
        </w:trPr>
        <w:tc>
          <w:tcPr>
            <w:tcW w:w="738" w:type="dxa"/>
            <w:hideMark/>
          </w:tcPr>
          <w:p w14:paraId="485FC580"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Agree, the rewording is a bit more clear.</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391797">
        <w:trPr>
          <w:trHeight w:val="1275"/>
        </w:trPr>
        <w:tc>
          <w:tcPr>
            <w:tcW w:w="738" w:type="dxa"/>
            <w:hideMark/>
          </w:tcPr>
          <w:p w14:paraId="21A4587C"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391797">
        <w:trPr>
          <w:trHeight w:val="1020"/>
        </w:trPr>
        <w:tc>
          <w:tcPr>
            <w:tcW w:w="738" w:type="dxa"/>
            <w:hideMark/>
          </w:tcPr>
          <w:p w14:paraId="24A369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This is a field in the TSPEC element.  The element format is clearly labelled with the length of each field, so the total length is already clear.  Agree, the “(55)” is unnecessary and not the usual style, and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391797">
        <w:trPr>
          <w:trHeight w:val="2684"/>
        </w:trPr>
        <w:tc>
          <w:tcPr>
            <w:tcW w:w="738" w:type="dxa"/>
            <w:hideMark/>
          </w:tcPr>
          <w:p w14:paraId="41A269A3"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The Status Code field is defined in 9.4.1.9 (Status Code field)." is too vague.  Needs to refer to specific contents.  Similarly in other locations in 9.6.3</w:t>
            </w:r>
          </w:p>
        </w:tc>
        <w:tc>
          <w:tcPr>
            <w:tcW w:w="3600" w:type="dxa"/>
            <w:hideMark/>
          </w:tcPr>
          <w:p w14:paraId="0E914563"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The QoS Action field is used to differentiate the  “QoS”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The comment references the Status Code field in the comment, but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391797">
        <w:trPr>
          <w:trHeight w:val="1020"/>
        </w:trPr>
        <w:tc>
          <w:tcPr>
            <w:tcW w:w="738" w:type="dxa"/>
            <w:hideMark/>
          </w:tcPr>
          <w:p w14:paraId="55055450"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proofErr w:type="spellStart"/>
      <w:r>
        <w:rPr>
          <w:bCs/>
          <w:szCs w:val="22"/>
        </w:rPr>
        <w:t>REVmd</w:t>
      </w:r>
      <w:proofErr w:type="spellEnd"/>
      <w:r>
        <w:rPr>
          <w:bCs/>
          <w:szCs w:val="22"/>
        </w:rPr>
        <w:t xml:space="preserve">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103D9D5B" w14:textId="77777777" w:rsidR="005D1BCF"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A977165"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6CA5F16"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CAE9D3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D23919"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E5400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DD76055"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3E303F24" w14:textId="77777777" w:rsidTr="001004CD">
        <w:trPr>
          <w:trHeight w:val="3944"/>
        </w:trPr>
        <w:tc>
          <w:tcPr>
            <w:tcW w:w="738" w:type="dxa"/>
            <w:hideMark/>
          </w:tcPr>
          <w:p w14:paraId="4EE62BB2"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6F273D1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4F600EC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332487CB"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1B7A4E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5BF30D29" w14:textId="77777777" w:rsidR="005D1BCF" w:rsidRDefault="005D1BCF" w:rsidP="005D1BCF">
      <w:pPr>
        <w:rPr>
          <w:bCs/>
          <w:szCs w:val="22"/>
        </w:rPr>
      </w:pPr>
    </w:p>
    <w:p w14:paraId="164CC9DE" w14:textId="77777777" w:rsidR="005D1BCF" w:rsidRDefault="005D1BCF" w:rsidP="005D1BCF">
      <w:pPr>
        <w:rPr>
          <w:bCs/>
          <w:szCs w:val="22"/>
        </w:rPr>
      </w:pPr>
      <w:r>
        <w:rPr>
          <w:bCs/>
          <w:szCs w:val="22"/>
          <w:u w:val="single"/>
        </w:rPr>
        <w:t>Discussion</w:t>
      </w:r>
      <w:r>
        <w:rPr>
          <w:bCs/>
          <w:szCs w:val="22"/>
        </w:rPr>
        <w:t>:</w:t>
      </w:r>
    </w:p>
    <w:p w14:paraId="1AE919AD" w14:textId="77777777" w:rsidR="005D1BCF" w:rsidRDefault="005D1BCF" w:rsidP="005D1BCF">
      <w:pPr>
        <w:rPr>
          <w:bCs/>
          <w:szCs w:val="22"/>
        </w:rPr>
      </w:pPr>
    </w:p>
    <w:p w14:paraId="7B8AB505"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7243CC4D" wp14:editId="2E01A6B3">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134F8358" w14:textId="77777777" w:rsidR="005D1BCF" w:rsidRDefault="005D1BCF" w:rsidP="005D1BCF">
      <w:pPr>
        <w:rPr>
          <w:bCs/>
          <w:szCs w:val="22"/>
        </w:rPr>
      </w:pPr>
    </w:p>
    <w:p w14:paraId="6C6E8AA0"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1064FD44" wp14:editId="0D54E42F">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67C91D26" w14:textId="77777777" w:rsidR="005D1BCF" w:rsidRPr="009E63D3" w:rsidRDefault="005D1BCF" w:rsidP="005D1BCF">
      <w:pPr>
        <w:rPr>
          <w:bCs/>
          <w:szCs w:val="22"/>
        </w:rPr>
      </w:pPr>
    </w:p>
    <w:p w14:paraId="297032EB" w14:textId="77777777" w:rsidR="005D1BCF" w:rsidRDefault="005D1BCF" w:rsidP="005D1BCF">
      <w:pPr>
        <w:rPr>
          <w:bCs/>
          <w:szCs w:val="22"/>
        </w:rPr>
      </w:pPr>
      <w:r>
        <w:rPr>
          <w:bCs/>
          <w:szCs w:val="22"/>
        </w:rPr>
        <w:t>These are subfields of the Non-CMMG variant HT Control field:</w:t>
      </w:r>
    </w:p>
    <w:p w14:paraId="505E1B5D" w14:textId="77777777" w:rsidR="005D1BCF" w:rsidRDefault="005D1BCF" w:rsidP="005D1BCF">
      <w:pPr>
        <w:rPr>
          <w:bCs/>
          <w:szCs w:val="22"/>
        </w:rPr>
      </w:pPr>
    </w:p>
    <w:p w14:paraId="454CAF41" w14:textId="77777777" w:rsidR="005D1BCF"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0CC2A7AF" wp14:editId="22A7986D">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29EC1CBE" w14:textId="77777777" w:rsidR="005D1BCF" w:rsidRPr="001A4FD5" w:rsidRDefault="005D1BCF" w:rsidP="005D1BCF">
      <w:pPr>
        <w:rPr>
          <w:bCs/>
          <w:noProof/>
          <w:szCs w:val="22"/>
          <w:bdr w:val="single" w:sz="8" w:space="0" w:color="auto" w:shadow="1"/>
        </w:rPr>
      </w:pPr>
    </w:p>
    <w:p w14:paraId="62176D7A" w14:textId="77777777" w:rsidR="005D1BCF" w:rsidRDefault="005D1BCF" w:rsidP="005D1BCF">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While there are examples of starting bit numbers at zero on subfield Figures such as this, </w:t>
      </w:r>
      <w:commentRangeStart w:id="13"/>
      <w:r>
        <w:rPr>
          <w:bCs/>
          <w:szCs w:val="22"/>
        </w:rPr>
        <w:t>there are also examples of this</w:t>
      </w:r>
      <w:commentRangeEnd w:id="13"/>
      <w:r>
        <w:rPr>
          <w:rStyle w:val="CommentReference"/>
        </w:rPr>
        <w:commentReference w:id="13"/>
      </w:r>
      <w:r>
        <w:rPr>
          <w:bCs/>
          <w:szCs w:val="22"/>
        </w:rPr>
        <w:t xml:space="preserve"> (non-zero) style </w:t>
      </w:r>
      <w:r>
        <w:rPr>
          <w:bCs/>
          <w:szCs w:val="22"/>
        </w:rPr>
        <w:lastRenderedPageBreak/>
        <w:t>elsewhere and nearby (for example Figures 9-8 and 9-9).  The Editorial Style Guide appears to be silent on the topic of how the bit numbers should be indicated/assigned.</w:t>
      </w:r>
    </w:p>
    <w:p w14:paraId="37CFD3F6" w14:textId="77777777" w:rsidR="005D1BCF" w:rsidRDefault="005D1BCF" w:rsidP="005D1BCF">
      <w:pPr>
        <w:rPr>
          <w:bCs/>
          <w:szCs w:val="22"/>
        </w:rPr>
      </w:pPr>
    </w:p>
    <w:p w14:paraId="3B035AC3" w14:textId="77777777" w:rsidR="005D1BCF" w:rsidRDefault="005D1BCF" w:rsidP="005D1BCF">
      <w:pPr>
        <w:rPr>
          <w:bCs/>
          <w:szCs w:val="22"/>
        </w:rPr>
      </w:pPr>
      <w:r w:rsidRPr="002533D1">
        <w:rPr>
          <w:bCs/>
          <w:szCs w:val="22"/>
          <w:u w:val="single"/>
        </w:rPr>
        <w:t>Proposed Resolution:</w:t>
      </w:r>
    </w:p>
    <w:p w14:paraId="0ABDAEE1" w14:textId="77777777" w:rsidR="005D1BCF" w:rsidRDefault="005D1BCF" w:rsidP="005D1BCF">
      <w:pPr>
        <w:rPr>
          <w:bCs/>
          <w:szCs w:val="22"/>
        </w:rPr>
      </w:pPr>
    </w:p>
    <w:p w14:paraId="29EA9E85" w14:textId="77777777" w:rsidR="005D1BCF" w:rsidRDefault="005D1BCF" w:rsidP="005D1BCF">
      <w:pPr>
        <w:rPr>
          <w:bCs/>
          <w:szCs w:val="22"/>
        </w:rPr>
      </w:pPr>
      <w:r w:rsidRPr="002533D1">
        <w:rPr>
          <w:bCs/>
          <w:szCs w:val="22"/>
          <w:highlight w:val="cyan"/>
        </w:rPr>
        <w:t>On June 10 telecon, agreed to resolve in the direction of the comment.</w:t>
      </w:r>
    </w:p>
    <w:p w14:paraId="28D0114F" w14:textId="77777777" w:rsidR="005D1BCF" w:rsidRDefault="005D1BCF" w:rsidP="005D1BCF">
      <w:pPr>
        <w:rPr>
          <w:bCs/>
          <w:szCs w:val="22"/>
        </w:rPr>
      </w:pPr>
    </w:p>
    <w:p w14:paraId="5134D7FE" w14:textId="77777777" w:rsidR="005D1BCF" w:rsidRDefault="005D1BCF" w:rsidP="005D1BCF">
      <w:pPr>
        <w:rPr>
          <w:bCs/>
          <w:szCs w:val="22"/>
        </w:rPr>
      </w:pPr>
      <w:r>
        <w:rPr>
          <w:bCs/>
          <w:szCs w:val="22"/>
        </w:rPr>
        <w:t>Searched Figures in clause 9 for other examples that don’t start at bit 0, and added those to the list in the Proposed Resolution.</w:t>
      </w:r>
    </w:p>
    <w:p w14:paraId="734F125F" w14:textId="77777777" w:rsidR="005D1BCF" w:rsidRDefault="005D1BCF" w:rsidP="005D1BCF">
      <w:pPr>
        <w:rPr>
          <w:bCs/>
          <w:szCs w:val="22"/>
        </w:rPr>
      </w:pPr>
    </w:p>
    <w:p w14:paraId="3B80C451" w14:textId="77777777" w:rsidR="005D1BCF" w:rsidRDefault="005D1BCF" w:rsidP="005D1BCF">
      <w:pPr>
        <w:rPr>
          <w:bCs/>
          <w:szCs w:val="22"/>
        </w:rPr>
      </w:pPr>
      <w:r>
        <w:rPr>
          <w:bCs/>
          <w:szCs w:val="22"/>
        </w:rPr>
        <w:t>However, consider the following examples, in 9.4.1.29:</w:t>
      </w:r>
    </w:p>
    <w:p w14:paraId="55F8305D" w14:textId="77777777" w:rsidR="005D1BCF" w:rsidRDefault="005D1BCF" w:rsidP="005D1BCF">
      <w:pPr>
        <w:rPr>
          <w:bCs/>
          <w:szCs w:val="22"/>
        </w:rPr>
      </w:pPr>
    </w:p>
    <w:p w14:paraId="2D6450EE" w14:textId="77777777" w:rsidR="005D1BCF" w:rsidRPr="00BC4F67" w:rsidRDefault="005D1BCF" w:rsidP="005D1BCF">
      <w:pPr>
        <w:rPr>
          <w:bCs/>
          <w:noProof/>
          <w:szCs w:val="22"/>
          <w:bdr w:val="single" w:sz="8" w:space="0" w:color="auto" w:shadow="1"/>
        </w:rPr>
      </w:pPr>
      <w:r w:rsidRPr="00BC4F67">
        <w:rPr>
          <w:bCs/>
          <w:noProof/>
          <w:szCs w:val="22"/>
          <w:bdr w:val="single" w:sz="8" w:space="0" w:color="auto" w:shadow="1"/>
        </w:rPr>
        <w:drawing>
          <wp:inline distT="0" distB="0" distL="0" distR="0" wp14:anchorId="128F5BC0" wp14:editId="20BF9989">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C817893" w14:textId="77777777" w:rsidR="005D1BCF" w:rsidRDefault="005D1BCF" w:rsidP="005D1BCF">
      <w:pPr>
        <w:rPr>
          <w:bCs/>
          <w:szCs w:val="22"/>
        </w:rPr>
      </w:pPr>
    </w:p>
    <w:p w14:paraId="0DFB8F80" w14:textId="77777777" w:rsidR="005D1BCF" w:rsidRDefault="005D1BCF" w:rsidP="005D1BCF">
      <w:pPr>
        <w:rPr>
          <w:bCs/>
          <w:szCs w:val="22"/>
        </w:rPr>
      </w:pPr>
      <w:r>
        <w:rPr>
          <w:bCs/>
          <w:szCs w:val="22"/>
        </w:rPr>
        <w:t>The Compressed Beamforming Report field is in the Compressed Beamforming action frame:</w:t>
      </w:r>
    </w:p>
    <w:p w14:paraId="06BCCACA" w14:textId="77777777" w:rsidR="005D1BCF" w:rsidRDefault="005D1BCF" w:rsidP="005D1BCF">
      <w:pPr>
        <w:rPr>
          <w:bCs/>
          <w:szCs w:val="22"/>
        </w:rPr>
      </w:pPr>
    </w:p>
    <w:p w14:paraId="13BC5E15" w14:textId="77777777" w:rsidR="005D1BCF" w:rsidRPr="00210319" w:rsidRDefault="005D1BCF" w:rsidP="005D1BCF">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7171ECDD" wp14:editId="3A98E128">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721609" w14:textId="77777777" w:rsidR="005D1BCF" w:rsidRDefault="005D1BCF" w:rsidP="005D1BCF">
      <w:pPr>
        <w:rPr>
          <w:bCs/>
          <w:szCs w:val="22"/>
        </w:rPr>
      </w:pPr>
    </w:p>
    <w:p w14:paraId="7FC418E7" w14:textId="77777777" w:rsidR="005D1BCF" w:rsidRDefault="005D1BCF" w:rsidP="005D1BCF">
      <w:pPr>
        <w:rPr>
          <w:bCs/>
          <w:szCs w:val="22"/>
        </w:rPr>
      </w:pPr>
      <w:r w:rsidRPr="000F547F">
        <w:rPr>
          <w:bCs/>
          <w:szCs w:val="22"/>
          <w:highlight w:val="cyan"/>
        </w:rPr>
        <w:t>This is a different style, but the effect is the same, so also subtract 1 from all these bit numbers.</w:t>
      </w:r>
    </w:p>
    <w:p w14:paraId="20FC5A9E" w14:textId="77777777" w:rsidR="005D1BCF" w:rsidRDefault="005D1BCF" w:rsidP="005D1BCF">
      <w:pPr>
        <w:rPr>
          <w:bCs/>
          <w:szCs w:val="22"/>
        </w:rPr>
      </w:pPr>
    </w:p>
    <w:p w14:paraId="0C2D2D41" w14:textId="77777777" w:rsidR="005D1BCF" w:rsidRDefault="005D1BCF" w:rsidP="005D1BCF">
      <w:pPr>
        <w:rPr>
          <w:bCs/>
          <w:szCs w:val="22"/>
        </w:rPr>
      </w:pPr>
      <w:r w:rsidRPr="00A82341">
        <w:rPr>
          <w:bCs/>
          <w:szCs w:val="22"/>
          <w:highlight w:val="green"/>
          <w:u w:val="single"/>
        </w:rPr>
        <w:t>Proposed Resolution:</w:t>
      </w:r>
    </w:p>
    <w:p w14:paraId="3C2DBF86" w14:textId="77777777" w:rsidR="005D1BCF" w:rsidRDefault="005D1BCF" w:rsidP="005D1BCF">
      <w:pPr>
        <w:rPr>
          <w:bCs/>
          <w:szCs w:val="22"/>
        </w:rPr>
      </w:pPr>
    </w:p>
    <w:p w14:paraId="42195843" w14:textId="77777777" w:rsidR="005D1BCF" w:rsidRDefault="005D1BCF" w:rsidP="005D1BCF">
      <w:pPr>
        <w:rPr>
          <w:rFonts w:eastAsia="Times New Roman"/>
          <w:szCs w:val="22"/>
          <w:lang w:val="en-US"/>
        </w:rPr>
      </w:pPr>
      <w:r>
        <w:rPr>
          <w:rFonts w:eastAsia="Times New Roman"/>
          <w:szCs w:val="22"/>
          <w:lang w:val="en-US"/>
        </w:rPr>
        <w:t>Revised.</w:t>
      </w:r>
    </w:p>
    <w:p w14:paraId="615BE159" w14:textId="77777777" w:rsidR="005D1BCF" w:rsidRDefault="005D1BCF" w:rsidP="005D1BCF">
      <w:pPr>
        <w:rPr>
          <w:rFonts w:eastAsia="Times New Roman"/>
          <w:szCs w:val="22"/>
          <w:lang w:val="en-US"/>
        </w:rPr>
      </w:pPr>
    </w:p>
    <w:p w14:paraId="1CE0F976" w14:textId="77777777" w:rsidR="005D1BCF" w:rsidRDefault="005D1BCF" w:rsidP="005D1BCF">
      <w:pPr>
        <w:rPr>
          <w:rFonts w:eastAsia="Times New Roman"/>
          <w:szCs w:val="22"/>
          <w:lang w:val="en-US"/>
        </w:rPr>
      </w:pPr>
      <w:r w:rsidRPr="000F7FBD">
        <w:rPr>
          <w:rFonts w:eastAsia="Times New Roman"/>
          <w:szCs w:val="22"/>
          <w:lang w:val="en-US"/>
        </w:rPr>
        <w:t xml:space="preserve">Subtract 1 from each of the bit positions in the </w:t>
      </w:r>
      <w:r>
        <w:rPr>
          <w:rFonts w:eastAsia="Times New Roman"/>
          <w:szCs w:val="22"/>
          <w:lang w:val="en-US"/>
        </w:rPr>
        <w:t>F</w:t>
      </w:r>
      <w:r w:rsidRPr="000F7FBD">
        <w:rPr>
          <w:rFonts w:eastAsia="Times New Roman"/>
          <w:szCs w:val="22"/>
          <w:lang w:val="en-US"/>
        </w:rPr>
        <w:t>igures</w:t>
      </w:r>
      <w:r>
        <w:rPr>
          <w:rFonts w:eastAsia="Times New Roman"/>
          <w:szCs w:val="22"/>
          <w:lang w:val="en-US"/>
        </w:rPr>
        <w:t xml:space="preserve"> 9-12, 9-13, 9-16, 9-21, 9-687.</w:t>
      </w:r>
    </w:p>
    <w:p w14:paraId="7DCEED71" w14:textId="77777777" w:rsidR="005D1BCF" w:rsidRDefault="005D1BCF" w:rsidP="005D1BCF">
      <w:pPr>
        <w:rPr>
          <w:rFonts w:eastAsia="Times New Roman"/>
          <w:szCs w:val="22"/>
          <w:lang w:val="en-US"/>
        </w:rPr>
      </w:pPr>
    </w:p>
    <w:p w14:paraId="0678167E" w14:textId="77777777" w:rsidR="005D1BCF" w:rsidRDefault="005D1BCF" w:rsidP="005D1BCF">
      <w:pPr>
        <w:rPr>
          <w:rFonts w:eastAsia="Times New Roman"/>
          <w:szCs w:val="22"/>
          <w:lang w:val="en-US"/>
        </w:rPr>
      </w:pPr>
      <w:r>
        <w:rPr>
          <w:rFonts w:eastAsia="Times New Roman"/>
          <w:szCs w:val="22"/>
          <w:lang w:val="en-US"/>
        </w:rPr>
        <w:t>Subtract 4 from each of the bit positions in Figures 9-8, 9-338.</w:t>
      </w:r>
    </w:p>
    <w:p w14:paraId="48039ECA" w14:textId="77777777" w:rsidR="005D1BCF" w:rsidRDefault="005D1BCF" w:rsidP="005D1BCF">
      <w:pPr>
        <w:rPr>
          <w:rFonts w:eastAsia="Times New Roman"/>
          <w:szCs w:val="22"/>
          <w:lang w:val="en-US"/>
        </w:rPr>
      </w:pPr>
    </w:p>
    <w:p w14:paraId="4DEF7C01" w14:textId="77777777" w:rsidR="005D1BCF" w:rsidRDefault="005D1BCF" w:rsidP="005D1BCF">
      <w:pPr>
        <w:rPr>
          <w:rFonts w:eastAsia="Times New Roman"/>
          <w:szCs w:val="22"/>
          <w:lang w:val="en-US"/>
        </w:rPr>
      </w:pPr>
      <w:r>
        <w:rPr>
          <w:rFonts w:eastAsia="Times New Roman"/>
          <w:szCs w:val="22"/>
          <w:lang w:val="en-US"/>
        </w:rPr>
        <w:t>Subtract 8 from each of the bit positions in Figure 9-9.</w:t>
      </w:r>
    </w:p>
    <w:p w14:paraId="77751D48" w14:textId="77777777" w:rsidR="005D1BCF" w:rsidRDefault="005D1BCF" w:rsidP="005D1BCF">
      <w:pPr>
        <w:rPr>
          <w:rFonts w:eastAsia="Times New Roman"/>
          <w:szCs w:val="22"/>
          <w:lang w:val="en-US"/>
        </w:rPr>
      </w:pPr>
    </w:p>
    <w:p w14:paraId="62F15B13" w14:textId="77777777" w:rsidR="005D1BCF" w:rsidRDefault="005D1BCF" w:rsidP="005D1BCF">
      <w:pPr>
        <w:rPr>
          <w:rFonts w:eastAsia="Times New Roman"/>
          <w:szCs w:val="22"/>
          <w:lang w:val="en-US"/>
        </w:rPr>
      </w:pPr>
      <w:r>
        <w:rPr>
          <w:rFonts w:eastAsia="Times New Roman"/>
          <w:szCs w:val="22"/>
          <w:lang w:val="en-US"/>
        </w:rPr>
        <w:t>Subtract 3 from each of the bit positions in Figure 9-17.</w:t>
      </w:r>
    </w:p>
    <w:p w14:paraId="603FD4EC" w14:textId="77777777" w:rsidR="005D1BCF" w:rsidRDefault="005D1BCF" w:rsidP="005D1BCF">
      <w:pPr>
        <w:rPr>
          <w:rFonts w:eastAsia="Times New Roman"/>
          <w:szCs w:val="22"/>
          <w:lang w:val="en-US"/>
        </w:rPr>
      </w:pPr>
    </w:p>
    <w:p w14:paraId="0BD84697" w14:textId="77777777" w:rsidR="005D1BCF" w:rsidRDefault="005D1BCF" w:rsidP="005D1BCF">
      <w:pPr>
        <w:rPr>
          <w:rFonts w:eastAsia="Times New Roman"/>
          <w:szCs w:val="22"/>
          <w:lang w:val="en-US"/>
        </w:rPr>
      </w:pPr>
      <w:r>
        <w:rPr>
          <w:rFonts w:eastAsia="Times New Roman"/>
          <w:szCs w:val="22"/>
          <w:lang w:val="en-US"/>
        </w:rPr>
        <w:t>Subtract 9 from each of the bit positions in Figures 9-18, 9-19.</w:t>
      </w:r>
    </w:p>
    <w:p w14:paraId="0318D511" w14:textId="77777777" w:rsidR="005D1BCF" w:rsidRDefault="005D1BCF" w:rsidP="005D1BCF">
      <w:pPr>
        <w:rPr>
          <w:rFonts w:eastAsia="Times New Roman"/>
          <w:szCs w:val="22"/>
          <w:lang w:val="en-US"/>
        </w:rPr>
      </w:pPr>
    </w:p>
    <w:p w14:paraId="6AB2A838" w14:textId="77777777" w:rsidR="005D1BCF" w:rsidRDefault="005D1BCF" w:rsidP="005D1BCF">
      <w:pPr>
        <w:rPr>
          <w:bCs/>
          <w:szCs w:val="22"/>
        </w:rPr>
      </w:pPr>
      <w:r>
        <w:rPr>
          <w:bCs/>
          <w:szCs w:val="22"/>
        </w:rPr>
        <w:t>Subtract 18 from each of the bit positions in Figure 9-22.</w:t>
      </w:r>
    </w:p>
    <w:p w14:paraId="62EC4B47" w14:textId="77777777" w:rsidR="005D1BCF" w:rsidRDefault="005D1BCF" w:rsidP="005D1BCF">
      <w:pPr>
        <w:rPr>
          <w:bCs/>
          <w:szCs w:val="22"/>
        </w:rPr>
      </w:pPr>
    </w:p>
    <w:p w14:paraId="1E10D8F5" w14:textId="77777777" w:rsidR="005D1BCF" w:rsidRDefault="005D1BCF" w:rsidP="005D1BCF">
      <w:pPr>
        <w:rPr>
          <w:bCs/>
          <w:szCs w:val="22"/>
        </w:rPr>
      </w:pPr>
      <w:r>
        <w:rPr>
          <w:bCs/>
          <w:szCs w:val="22"/>
        </w:rPr>
        <w:t>Subtract 29 from each of the bit positions in Figure 9-559.</w:t>
      </w:r>
    </w:p>
    <w:p w14:paraId="075FF3A4" w14:textId="77777777" w:rsidR="005D1BCF" w:rsidRDefault="005D1BCF" w:rsidP="005D1BCF">
      <w:pPr>
        <w:rPr>
          <w:bCs/>
          <w:szCs w:val="22"/>
        </w:rPr>
      </w:pPr>
    </w:p>
    <w:p w14:paraId="07129CBE" w14:textId="77777777" w:rsidR="005D1BCF" w:rsidRDefault="005D1BCF" w:rsidP="005D1BCF">
      <w:pPr>
        <w:rPr>
          <w:bCs/>
          <w:szCs w:val="22"/>
        </w:rPr>
      </w:pPr>
      <w:r>
        <w:rPr>
          <w:bCs/>
          <w:szCs w:val="22"/>
        </w:rPr>
        <w:t>Subtract 34 from each of the bit positions in Figure 9-560.</w:t>
      </w:r>
    </w:p>
    <w:p w14:paraId="7013E768" w14:textId="77777777" w:rsidR="005D1BCF" w:rsidRDefault="005D1BCF" w:rsidP="005D1BCF">
      <w:pPr>
        <w:rPr>
          <w:bCs/>
          <w:szCs w:val="22"/>
        </w:rPr>
      </w:pPr>
    </w:p>
    <w:p w14:paraId="46A17E70" w14:textId="77777777" w:rsidR="005D1BCF" w:rsidRDefault="005D1BCF" w:rsidP="005D1BCF">
      <w:pPr>
        <w:rPr>
          <w:bCs/>
          <w:szCs w:val="22"/>
        </w:rPr>
      </w:pPr>
      <w:r>
        <w:rPr>
          <w:bCs/>
          <w:szCs w:val="22"/>
        </w:rPr>
        <w:t>Subtract 1 from each of the bit numberings in Figures 9-114 and 9-115.</w:t>
      </w:r>
    </w:p>
    <w:p w14:paraId="3C7C59B1" w14:textId="77777777" w:rsidR="005D1BCF" w:rsidRDefault="005D1BCF" w:rsidP="005D1BCF">
      <w:pPr>
        <w:rPr>
          <w:bCs/>
          <w:szCs w:val="22"/>
        </w:rPr>
      </w:pPr>
    </w:p>
    <w:p w14:paraId="0989AE53" w14:textId="77777777" w:rsidR="005D1BCF" w:rsidRDefault="005D1BCF" w:rsidP="005D1BCF">
      <w:pPr>
        <w:rPr>
          <w:bCs/>
          <w:szCs w:val="22"/>
        </w:rPr>
      </w:pPr>
      <w:r>
        <w:rPr>
          <w:bCs/>
          <w:szCs w:val="22"/>
        </w:rPr>
        <w:t>Correct “B4” to “B0” in Figure 9-838.</w:t>
      </w:r>
    </w:p>
    <w:p w14:paraId="01F16386" w14:textId="77777777" w:rsidR="005D1BCF" w:rsidRDefault="005D1BCF" w:rsidP="005D1BCF">
      <w:pPr>
        <w:rPr>
          <w:bCs/>
          <w:szCs w:val="22"/>
        </w:rPr>
      </w:pPr>
    </w:p>
    <w:p w14:paraId="2483B617" w14:textId="77777777" w:rsidR="005D1BCF" w:rsidRPr="000F7FBD" w:rsidRDefault="005D1BCF" w:rsidP="005D1BCF">
      <w:pPr>
        <w:rPr>
          <w:bCs/>
          <w:szCs w:val="22"/>
        </w:rPr>
      </w:pPr>
      <w:r>
        <w:rPr>
          <w:bCs/>
          <w:szCs w:val="22"/>
        </w:rPr>
        <w:t>Request the Editors to add a statement in the Editors Guide that all format figures shall number bits from B0.</w:t>
      </w:r>
    </w:p>
    <w:p w14:paraId="6BED62DA" w14:textId="77777777" w:rsidR="005D1BCF" w:rsidRPr="00FE40B3" w:rsidRDefault="005D1BCF" w:rsidP="005D1BCF">
      <w:pPr>
        <w:rPr>
          <w:bCs/>
          <w:szCs w:val="22"/>
        </w:rPr>
      </w:pPr>
    </w:p>
    <w:p w14:paraId="0CF63584" w14:textId="77777777" w:rsidR="005D1BCF" w:rsidRDefault="005D1BCF" w:rsidP="005D1BCF">
      <w:pPr>
        <w:rPr>
          <w:bCs/>
          <w:szCs w:val="22"/>
        </w:rPr>
      </w:pPr>
      <w:r>
        <w:rPr>
          <w:bCs/>
          <w:szCs w:val="22"/>
        </w:rPr>
        <w:br w:type="page"/>
      </w:r>
    </w:p>
    <w:p w14:paraId="5C6FC738"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4A7E53B"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A870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B5A4580"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128F6F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968BA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977D1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156D0E26" w14:textId="77777777" w:rsidTr="001004CD">
        <w:trPr>
          <w:trHeight w:val="2504"/>
        </w:trPr>
        <w:tc>
          <w:tcPr>
            <w:tcW w:w="738" w:type="dxa"/>
            <w:hideMark/>
          </w:tcPr>
          <w:p w14:paraId="7811D95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5FCC587D"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3D6BAAE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6688EEB5"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xml:space="preserve">"The Low Rate TIM Rate field provides an indication of the rate that is used to transmit the low data rate TIM frame, in units of 0.5 Mb/s. A value of 0 indicates that the low rate TIM frame is not transmitted." -- 11.2.3.15 TIM Broadcast does not allow the low rate TIM frame not to be </w:t>
            </w:r>
            <w:proofErr w:type="spellStart"/>
            <w:r w:rsidRPr="00DE7477">
              <w:rPr>
                <w:rFonts w:ascii="Arial" w:eastAsia="Times New Roman" w:hAnsi="Arial" w:cs="Arial"/>
                <w:sz w:val="20"/>
                <w:lang w:val="en-US"/>
              </w:rPr>
              <w:t>txed</w:t>
            </w:r>
            <w:proofErr w:type="spellEnd"/>
            <w:r w:rsidRPr="00DE7477">
              <w:rPr>
                <w:rFonts w:ascii="Arial" w:eastAsia="Times New Roman" w:hAnsi="Arial" w:cs="Arial"/>
                <w:sz w:val="20"/>
                <w:lang w:val="en-US"/>
              </w:rPr>
              <w:t>; only the high rate one is optional to transmit</w:t>
            </w:r>
          </w:p>
        </w:tc>
        <w:tc>
          <w:tcPr>
            <w:tcW w:w="3600" w:type="dxa"/>
            <w:hideMark/>
          </w:tcPr>
          <w:p w14:paraId="2E3A80D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3C48613" w14:textId="77777777" w:rsidR="005D1BCF" w:rsidRDefault="005D1BCF" w:rsidP="005D1BCF">
      <w:pPr>
        <w:rPr>
          <w:bCs/>
          <w:szCs w:val="22"/>
        </w:rPr>
      </w:pPr>
    </w:p>
    <w:p w14:paraId="75583834" w14:textId="77777777" w:rsidR="005D1BCF" w:rsidRDefault="005D1BCF" w:rsidP="005D1BCF">
      <w:pPr>
        <w:rPr>
          <w:bCs/>
          <w:szCs w:val="22"/>
        </w:rPr>
      </w:pPr>
      <w:r>
        <w:rPr>
          <w:bCs/>
          <w:szCs w:val="22"/>
          <w:u w:val="single"/>
        </w:rPr>
        <w:t>Discussion:</w:t>
      </w:r>
    </w:p>
    <w:p w14:paraId="547110A9" w14:textId="77777777" w:rsidR="005D1BCF" w:rsidRDefault="005D1BCF" w:rsidP="005D1BCF">
      <w:pPr>
        <w:rPr>
          <w:bCs/>
          <w:szCs w:val="22"/>
        </w:rPr>
      </w:pPr>
    </w:p>
    <w:p w14:paraId="10990148"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drawing>
          <wp:inline distT="0" distB="0" distL="0" distR="0" wp14:anchorId="16029393" wp14:editId="7BE43249">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58D2F17C" w14:textId="77777777" w:rsidR="005D1BCF" w:rsidRDefault="005D1BCF" w:rsidP="005D1BCF">
      <w:pPr>
        <w:rPr>
          <w:bCs/>
          <w:szCs w:val="22"/>
        </w:rPr>
      </w:pPr>
    </w:p>
    <w:p w14:paraId="2F870315" w14:textId="77777777" w:rsidR="005D1BCF" w:rsidRDefault="005D1BCF" w:rsidP="005D1BCF">
      <w:pPr>
        <w:rPr>
          <w:bCs/>
          <w:szCs w:val="22"/>
        </w:rPr>
      </w:pPr>
      <w:r>
        <w:rPr>
          <w:bCs/>
          <w:szCs w:val="22"/>
        </w:rPr>
        <w:t xml:space="preserve">While it could be more clear, the TIM Broadcast </w:t>
      </w:r>
      <w:proofErr w:type="spellStart"/>
      <w:r>
        <w:rPr>
          <w:bCs/>
          <w:szCs w:val="22"/>
        </w:rPr>
        <w:t>behavior</w:t>
      </w:r>
      <w:proofErr w:type="spellEnd"/>
      <w:r>
        <w:rPr>
          <w:bCs/>
          <w:szCs w:val="22"/>
        </w:rPr>
        <w:t xml:space="preserve"> requirements in 11.2.3.15 are clear that the high data rate TIM is not transmitted in some situations, but no such exceptions exist for the low data rate TIM.  </w:t>
      </w:r>
    </w:p>
    <w:p w14:paraId="698DF8B8" w14:textId="77777777" w:rsidR="005D1BCF" w:rsidRDefault="005D1BCF" w:rsidP="005D1BCF">
      <w:pPr>
        <w:rPr>
          <w:bCs/>
          <w:szCs w:val="22"/>
        </w:rPr>
      </w:pPr>
    </w:p>
    <w:p w14:paraId="068B9E9D" w14:textId="77777777" w:rsidR="005D1BCF" w:rsidRPr="0010262C" w:rsidRDefault="005D1BCF" w:rsidP="005D1BCF">
      <w:pPr>
        <w:rPr>
          <w:bCs/>
          <w:noProof/>
          <w:szCs w:val="22"/>
          <w:bdr w:val="single" w:sz="8" w:space="0" w:color="auto" w:shadow="1"/>
        </w:rPr>
      </w:pPr>
      <w:r w:rsidRPr="0010262C">
        <w:rPr>
          <w:bCs/>
          <w:noProof/>
          <w:szCs w:val="22"/>
          <w:bdr w:val="single" w:sz="8" w:space="0" w:color="auto" w:shadow="1"/>
        </w:rPr>
        <w:drawing>
          <wp:inline distT="0" distB="0" distL="0" distR="0" wp14:anchorId="7C6A0A16" wp14:editId="0B11D9AB">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5509280" w14:textId="77777777" w:rsidR="005D1BCF" w:rsidRDefault="005D1BCF" w:rsidP="005D1BCF">
      <w:pPr>
        <w:rPr>
          <w:bCs/>
          <w:szCs w:val="22"/>
        </w:rPr>
      </w:pPr>
    </w:p>
    <w:p w14:paraId="6F110B71" w14:textId="77777777" w:rsidR="005D1BCF" w:rsidRDefault="005D1BCF" w:rsidP="005D1BCF">
      <w:pPr>
        <w:rPr>
          <w:bCs/>
          <w:szCs w:val="22"/>
        </w:rPr>
      </w:pPr>
      <w:r>
        <w:rPr>
          <w:bCs/>
          <w:szCs w:val="22"/>
        </w:rPr>
        <w:t>Thus, agree with the commenter, that it seems the low data rate TIM must be transmitted, and logically therefore it must have a non-zero data rate.</w:t>
      </w:r>
    </w:p>
    <w:p w14:paraId="7BF0F12C" w14:textId="77777777" w:rsidR="005D1BCF" w:rsidRDefault="005D1BCF" w:rsidP="005D1BCF">
      <w:pPr>
        <w:rPr>
          <w:bCs/>
          <w:szCs w:val="22"/>
        </w:rPr>
      </w:pPr>
    </w:p>
    <w:p w14:paraId="65612064" w14:textId="77777777" w:rsidR="005D1BCF" w:rsidRDefault="005D1BCF" w:rsidP="005D1BCF">
      <w:pPr>
        <w:rPr>
          <w:bCs/>
          <w:szCs w:val="22"/>
        </w:rPr>
      </w:pPr>
      <w:r>
        <w:rPr>
          <w:bCs/>
          <w:szCs w:val="22"/>
        </w:rPr>
        <w:t>The TIM Broadcast Response element carries an indication of the rate for both the high date rate TIM and the low data rate TIM.</w:t>
      </w:r>
    </w:p>
    <w:p w14:paraId="5A247C76" w14:textId="77777777" w:rsidR="005D1BCF" w:rsidRDefault="005D1BCF" w:rsidP="005D1BCF">
      <w:pPr>
        <w:rPr>
          <w:bCs/>
          <w:szCs w:val="22"/>
        </w:rPr>
      </w:pPr>
    </w:p>
    <w:p w14:paraId="44C7966E"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46D82959" wp14:editId="6DB705F5">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7E2D274" w14:textId="77777777" w:rsidR="005D1BCF" w:rsidRDefault="005D1BCF" w:rsidP="005D1BCF">
      <w:pPr>
        <w:rPr>
          <w:bCs/>
          <w:szCs w:val="22"/>
        </w:rPr>
      </w:pPr>
    </w:p>
    <w:p w14:paraId="13B0737A" w14:textId="77777777" w:rsidR="005D1BCF" w:rsidRDefault="005D1BCF" w:rsidP="005D1BCF">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734ABFCC" w14:textId="77777777" w:rsidR="005D1BCF" w:rsidRDefault="005D1BCF" w:rsidP="005D1BCF">
      <w:pPr>
        <w:rPr>
          <w:bCs/>
          <w:szCs w:val="22"/>
        </w:rPr>
      </w:pPr>
    </w:p>
    <w:p w14:paraId="15ACE2F5" w14:textId="77777777" w:rsidR="005D1BCF" w:rsidRDefault="005D1BCF" w:rsidP="005D1BCF">
      <w:pPr>
        <w:rPr>
          <w:bCs/>
          <w:szCs w:val="22"/>
        </w:rPr>
      </w:pPr>
      <w:r>
        <w:rPr>
          <w:bCs/>
          <w:szCs w:val="22"/>
        </w:rPr>
        <w:t>Thus, agree with the comment.</w:t>
      </w:r>
    </w:p>
    <w:p w14:paraId="248B8F92" w14:textId="77777777" w:rsidR="005D1BCF" w:rsidRDefault="005D1BCF" w:rsidP="005D1BCF">
      <w:pPr>
        <w:rPr>
          <w:bCs/>
          <w:szCs w:val="22"/>
        </w:rPr>
      </w:pPr>
    </w:p>
    <w:p w14:paraId="190FA138" w14:textId="77777777" w:rsidR="005D1BCF" w:rsidRDefault="005D1BCF" w:rsidP="005D1BCF">
      <w:pPr>
        <w:rPr>
          <w:bCs/>
          <w:szCs w:val="22"/>
        </w:rPr>
      </w:pPr>
      <w:r>
        <w:rPr>
          <w:bCs/>
          <w:szCs w:val="22"/>
        </w:rPr>
        <w:t>However, if the value of zero does not mean the low data rate TIM is not transmitted, then the value of zero is non-sensical, and should be disallowed.</w:t>
      </w:r>
    </w:p>
    <w:p w14:paraId="07A89845" w14:textId="77777777" w:rsidR="005D1BCF" w:rsidRDefault="005D1BCF" w:rsidP="005D1BCF">
      <w:pPr>
        <w:rPr>
          <w:bCs/>
          <w:szCs w:val="22"/>
        </w:rPr>
      </w:pPr>
    </w:p>
    <w:p w14:paraId="69E64802" w14:textId="77777777" w:rsidR="005D1BCF" w:rsidRDefault="005D1BCF" w:rsidP="005D1BCF">
      <w:pPr>
        <w:rPr>
          <w:bCs/>
          <w:szCs w:val="22"/>
        </w:rPr>
      </w:pPr>
      <w:r w:rsidRPr="00152FA9">
        <w:rPr>
          <w:bCs/>
          <w:szCs w:val="22"/>
          <w:highlight w:val="green"/>
          <w:u w:val="single"/>
        </w:rPr>
        <w:t>Proposed Resolution:</w:t>
      </w:r>
    </w:p>
    <w:p w14:paraId="426576BA" w14:textId="77777777" w:rsidR="005D1BCF" w:rsidRDefault="005D1BCF" w:rsidP="005D1BCF">
      <w:pPr>
        <w:rPr>
          <w:bCs/>
          <w:szCs w:val="22"/>
        </w:rPr>
      </w:pPr>
    </w:p>
    <w:p w14:paraId="49889D07" w14:textId="77777777" w:rsidR="005D1BCF" w:rsidRDefault="005D1BCF" w:rsidP="005D1BCF">
      <w:pPr>
        <w:rPr>
          <w:bCs/>
          <w:szCs w:val="22"/>
        </w:rPr>
      </w:pPr>
      <w:r>
        <w:rPr>
          <w:bCs/>
          <w:szCs w:val="22"/>
        </w:rPr>
        <w:t>Revised.  Replace, at the cited location, “</w:t>
      </w:r>
      <w:r>
        <w:rPr>
          <w:rFonts w:ascii="Arial" w:eastAsia="Times New Roman" w:hAnsi="Arial" w:cs="Arial"/>
          <w:sz w:val="20"/>
          <w:lang w:val="en-US"/>
        </w:rPr>
        <w:t xml:space="preserve">Setting this field to </w:t>
      </w:r>
      <w:r w:rsidRPr="00DE7477">
        <w:rPr>
          <w:rFonts w:ascii="Arial" w:eastAsia="Times New Roman" w:hAnsi="Arial" w:cs="Arial"/>
          <w:sz w:val="20"/>
          <w:lang w:val="en-US"/>
        </w:rPr>
        <w:t>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18FCFF1F" w14:textId="77777777" w:rsidR="005D1BCF" w:rsidRDefault="005D1BCF" w:rsidP="005D1BCF">
      <w:pPr>
        <w:rPr>
          <w:bCs/>
          <w:szCs w:val="22"/>
        </w:rPr>
      </w:pPr>
    </w:p>
    <w:p w14:paraId="3CD3F91E" w14:textId="77777777" w:rsidR="005D1BCF" w:rsidRDefault="005D1BCF" w:rsidP="005D1BCF">
      <w:pPr>
        <w:rPr>
          <w:bCs/>
          <w:szCs w:val="22"/>
        </w:rPr>
      </w:pPr>
      <w:r w:rsidRPr="00D11643">
        <w:rPr>
          <w:bCs/>
          <w:szCs w:val="22"/>
        </w:rPr>
        <w:t>Add to the end of subclause 9.2.2:</w:t>
      </w:r>
      <w:r>
        <w:rPr>
          <w:bCs/>
          <w:szCs w:val="22"/>
        </w:rPr>
        <w:t xml:space="preserve"> </w:t>
      </w:r>
    </w:p>
    <w:p w14:paraId="2B08B7DC" w14:textId="77777777" w:rsidR="005D1BCF" w:rsidRDefault="005D1BCF" w:rsidP="005D1BCF">
      <w:pPr>
        <w:rPr>
          <w:bCs/>
          <w:szCs w:val="22"/>
        </w:rPr>
      </w:pPr>
    </w:p>
    <w:p w14:paraId="08824319" w14:textId="77777777" w:rsidR="005D1BCF" w:rsidRDefault="005D1BCF" w:rsidP="005D1BCF">
      <w:pPr>
        <w:rPr>
          <w:bCs/>
          <w:szCs w:val="22"/>
        </w:rPr>
      </w:pPr>
      <w:r>
        <w:rPr>
          <w:bCs/>
          <w:szCs w:val="22"/>
        </w:rPr>
        <w:t>“</w:t>
      </w:r>
      <w:r w:rsidRPr="00BC5757">
        <w:rPr>
          <w:bCs/>
          <w:szCs w:val="22"/>
        </w:rPr>
        <w:t>Reserved field and subfield values are not used upon transmission.</w:t>
      </w:r>
      <w:r>
        <w:rPr>
          <w:bCs/>
          <w:szCs w:val="22"/>
        </w:rPr>
        <w:t xml:space="preserve">  Upon reception of a reserved field or subfield value, the </w:t>
      </w:r>
      <w:proofErr w:type="spellStart"/>
      <w:r>
        <w:rPr>
          <w:bCs/>
          <w:szCs w:val="22"/>
        </w:rPr>
        <w:t>behavior</w:t>
      </w:r>
      <w:proofErr w:type="spellEnd"/>
      <w:r>
        <w:rPr>
          <w:bCs/>
          <w:szCs w:val="22"/>
        </w:rPr>
        <w:t xml:space="preserve"> is undefined.”</w:t>
      </w:r>
    </w:p>
    <w:p w14:paraId="0854D733" w14:textId="77777777" w:rsidR="005D1BCF" w:rsidRDefault="005D1BCF" w:rsidP="005D1BCF">
      <w:pPr>
        <w:rPr>
          <w:bCs/>
          <w:szCs w:val="22"/>
        </w:rPr>
      </w:pPr>
    </w:p>
    <w:p w14:paraId="39D06D16" w14:textId="77777777" w:rsidR="005D1BCF" w:rsidRDefault="005D1BCF" w:rsidP="005D1BCF">
      <w:pPr>
        <w:rPr>
          <w:bCs/>
          <w:szCs w:val="22"/>
        </w:rPr>
      </w:pPr>
      <w:r>
        <w:rPr>
          <w:bCs/>
          <w:szCs w:val="22"/>
        </w:rPr>
        <w:br w:type="page"/>
      </w:r>
    </w:p>
    <w:p w14:paraId="0BF5A941"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B308E8F"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A6AE84B"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5E829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C523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BEA835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BCC724"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4DBCF9C6" w14:textId="77777777" w:rsidTr="001004CD">
        <w:trPr>
          <w:trHeight w:val="2295"/>
        </w:trPr>
        <w:tc>
          <w:tcPr>
            <w:tcW w:w="738" w:type="dxa"/>
            <w:hideMark/>
          </w:tcPr>
          <w:p w14:paraId="40DA0606"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0725FA9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570BF1C3"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0469D6F"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t>the  MAC  and  the  transmitter  of  the  (#1072)(#2409)sync  packet  are  collocated  within  the  same  STA" -- huh?  How can a MAC and a transmitter be distinct things that are collocated within a STA?</w:t>
            </w:r>
          </w:p>
        </w:tc>
        <w:tc>
          <w:tcPr>
            <w:tcW w:w="3600" w:type="dxa"/>
            <w:hideMark/>
          </w:tcPr>
          <w:p w14:paraId="30126BC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65C6F24D" w14:textId="77777777" w:rsidR="005D1BCF" w:rsidRDefault="005D1BCF" w:rsidP="005D1BCF">
      <w:pPr>
        <w:rPr>
          <w:bCs/>
          <w:szCs w:val="22"/>
        </w:rPr>
      </w:pPr>
    </w:p>
    <w:p w14:paraId="1C4A57DB" w14:textId="77777777" w:rsidR="005D1BCF" w:rsidRDefault="005D1BCF" w:rsidP="005D1BCF">
      <w:pPr>
        <w:rPr>
          <w:bCs/>
          <w:szCs w:val="22"/>
        </w:rPr>
      </w:pPr>
      <w:r>
        <w:rPr>
          <w:bCs/>
          <w:szCs w:val="22"/>
          <w:u w:val="single"/>
        </w:rPr>
        <w:t>Discussion:</w:t>
      </w:r>
    </w:p>
    <w:p w14:paraId="6B1924E7" w14:textId="77777777" w:rsidR="005D1BCF" w:rsidRDefault="005D1BCF" w:rsidP="005D1BCF">
      <w:pPr>
        <w:rPr>
          <w:bCs/>
          <w:szCs w:val="22"/>
        </w:rPr>
      </w:pPr>
    </w:p>
    <w:p w14:paraId="3EA9A289" w14:textId="77777777" w:rsidR="005D1BCF" w:rsidRPr="0007349C" w:rsidRDefault="005D1BCF" w:rsidP="005D1BCF">
      <w:pPr>
        <w:rPr>
          <w:bCs/>
          <w:noProof/>
          <w:szCs w:val="22"/>
          <w:bdr w:val="single" w:sz="8" w:space="0" w:color="auto" w:shadow="1"/>
        </w:rPr>
      </w:pPr>
      <w:r w:rsidRPr="0007349C">
        <w:rPr>
          <w:bCs/>
          <w:noProof/>
          <w:szCs w:val="22"/>
          <w:bdr w:val="single" w:sz="8" w:space="0" w:color="auto" w:shadow="1"/>
        </w:rPr>
        <w:drawing>
          <wp:inline distT="0" distB="0" distL="0" distR="0" wp14:anchorId="216C84E9" wp14:editId="5B33B0B1">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0CCD3BE9" w14:textId="77777777" w:rsidR="005D1BCF" w:rsidRDefault="005D1BCF" w:rsidP="005D1BCF">
      <w:pPr>
        <w:rPr>
          <w:bCs/>
          <w:szCs w:val="22"/>
        </w:rPr>
      </w:pPr>
    </w:p>
    <w:p w14:paraId="388020D4" w14:textId="77777777" w:rsidR="005D1BCF" w:rsidRDefault="005D1BCF" w:rsidP="005D1BCF">
      <w:pPr>
        <w:rPr>
          <w:bCs/>
          <w:szCs w:val="22"/>
        </w:rPr>
      </w:pPr>
      <w:r>
        <w:rPr>
          <w:bCs/>
          <w:szCs w:val="22"/>
        </w:rPr>
        <w:t>This is within the procedure for the HL-SYNC mechanism.</w:t>
      </w:r>
    </w:p>
    <w:p w14:paraId="26782DEC" w14:textId="77777777" w:rsidR="005D1BCF" w:rsidRDefault="005D1BCF" w:rsidP="005D1BCF">
      <w:pPr>
        <w:rPr>
          <w:bCs/>
          <w:szCs w:val="22"/>
        </w:rPr>
      </w:pPr>
    </w:p>
    <w:p w14:paraId="6B868675" w14:textId="77777777" w:rsidR="005D1BCF" w:rsidRDefault="005D1BCF" w:rsidP="005D1BCF">
      <w:pPr>
        <w:rPr>
          <w:bCs/>
          <w:szCs w:val="22"/>
        </w:rPr>
      </w:pPr>
      <w:r>
        <w:rPr>
          <w:bCs/>
          <w:szCs w:val="22"/>
        </w:rPr>
        <w:t>Since HL sync frames are, by definition, higher layer, the phrase “transmitter of the sync packet” is probably trying to refer to the higher layer entity, not the MAC transmitter.  This is further borne out by the use of “packet” instead of “frame”.</w:t>
      </w:r>
    </w:p>
    <w:p w14:paraId="22E11A89" w14:textId="77777777" w:rsidR="005D1BCF" w:rsidRDefault="005D1BCF" w:rsidP="005D1BCF">
      <w:pPr>
        <w:rPr>
          <w:bCs/>
          <w:szCs w:val="22"/>
        </w:rPr>
      </w:pPr>
    </w:p>
    <w:p w14:paraId="30C3C021" w14:textId="77777777" w:rsidR="005D1BCF" w:rsidRDefault="005D1BCF" w:rsidP="005D1BCF">
      <w:pPr>
        <w:rPr>
          <w:bCs/>
          <w:szCs w:val="22"/>
        </w:rPr>
      </w:pPr>
      <w:r>
        <w:rPr>
          <w:bCs/>
          <w:szCs w:val="22"/>
        </w:rPr>
        <w:t>Per the MLME-HL-SYNC primitives, data frames’ Address 1 field is matched against a provided group address, for either a received or transmitted frame,   If the Address 1 field matches, a MLME-HL-</w:t>
      </w:r>
      <w:proofErr w:type="spellStart"/>
      <w:r>
        <w:rPr>
          <w:bCs/>
          <w:szCs w:val="22"/>
        </w:rPr>
        <w:t>SYNC.indication</w:t>
      </w:r>
      <w:proofErr w:type="spellEnd"/>
      <w:r>
        <w:rPr>
          <w:bCs/>
          <w:szCs w:val="22"/>
        </w:rPr>
        <w:t xml:space="preserve"> is generated.</w:t>
      </w:r>
    </w:p>
    <w:p w14:paraId="60AE7AF7" w14:textId="77777777" w:rsidR="005D1BCF" w:rsidRDefault="005D1BCF" w:rsidP="005D1BCF">
      <w:pPr>
        <w:rPr>
          <w:bCs/>
          <w:szCs w:val="22"/>
        </w:rPr>
      </w:pPr>
    </w:p>
    <w:p w14:paraId="20B052CA" w14:textId="77777777" w:rsidR="005D1BCF" w:rsidRDefault="005D1BCF" w:rsidP="005D1BCF">
      <w:pPr>
        <w:rPr>
          <w:bCs/>
          <w:szCs w:val="22"/>
        </w:rPr>
      </w:pPr>
      <w:r>
        <w:rPr>
          <w:bCs/>
          <w:szCs w:val="22"/>
        </w:rPr>
        <w:t>It seems the intent is to generate the .indication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w:t>
      </w:r>
      <w:proofErr w:type="spellStart"/>
      <w:r>
        <w:rPr>
          <w:bCs/>
          <w:szCs w:val="22"/>
        </w:rPr>
        <w:t>SYNC.request</w:t>
      </w:r>
      <w:proofErr w:type="spellEnd"/>
      <w:r>
        <w:rPr>
          <w:bCs/>
          <w:szCs w:val="22"/>
        </w:rPr>
        <w:t>.</w:t>
      </w:r>
    </w:p>
    <w:p w14:paraId="2764C8EE" w14:textId="77777777" w:rsidR="005D1BCF" w:rsidRDefault="005D1BCF" w:rsidP="005D1BCF">
      <w:pPr>
        <w:rPr>
          <w:bCs/>
          <w:szCs w:val="22"/>
        </w:rPr>
      </w:pPr>
    </w:p>
    <w:p w14:paraId="607D191E" w14:textId="77777777" w:rsidR="005D1BCF" w:rsidRDefault="005D1BCF" w:rsidP="005D1BCF">
      <w:pPr>
        <w:rPr>
          <w:bCs/>
          <w:szCs w:val="22"/>
        </w:rPr>
      </w:pPr>
      <w:r>
        <w:rPr>
          <w:bCs/>
          <w:szCs w:val="22"/>
        </w:rPr>
        <w:t>So, the intention of the text is to state in the first sentence that the matching is done on Data frames (leaving it implied, both transmitted and received).  The second sentence is trying to clarify that if the high layer transmitter is collocated with the MAC, the .indication is generated at the last symbol of the PPDU being transmitted.  The third sentence is trying to clarify for the receive case, that the .indication is generated at the last symbol of the PPDU being received.  This is technically correct, but the wording is confusing.</w:t>
      </w:r>
    </w:p>
    <w:p w14:paraId="3A3978C1" w14:textId="77777777" w:rsidR="005D1BCF" w:rsidRDefault="005D1BCF" w:rsidP="005D1BCF">
      <w:pPr>
        <w:rPr>
          <w:bCs/>
          <w:szCs w:val="22"/>
        </w:rPr>
      </w:pPr>
    </w:p>
    <w:p w14:paraId="49DA4A52" w14:textId="77777777" w:rsidR="005D1BCF" w:rsidRDefault="005D1BCF" w:rsidP="005D1BCF">
      <w:pPr>
        <w:rPr>
          <w:bCs/>
          <w:szCs w:val="22"/>
        </w:rPr>
      </w:pPr>
      <w:r w:rsidRPr="00CD412F">
        <w:rPr>
          <w:bCs/>
          <w:szCs w:val="22"/>
          <w:highlight w:val="green"/>
          <w:u w:val="single"/>
        </w:rPr>
        <w:t>Proposed Resolution:</w:t>
      </w:r>
    </w:p>
    <w:p w14:paraId="56620D32" w14:textId="77777777" w:rsidR="005D1BCF" w:rsidRDefault="005D1BCF" w:rsidP="005D1BCF">
      <w:pPr>
        <w:rPr>
          <w:bCs/>
          <w:szCs w:val="22"/>
        </w:rPr>
      </w:pPr>
    </w:p>
    <w:p w14:paraId="0AA1161A" w14:textId="77777777" w:rsidR="005D1BCF" w:rsidRDefault="005D1BCF" w:rsidP="005D1BCF">
      <w:pPr>
        <w:rPr>
          <w:bCs/>
          <w:szCs w:val="22"/>
        </w:rPr>
      </w:pPr>
      <w:r>
        <w:rPr>
          <w:bCs/>
          <w:szCs w:val="22"/>
        </w:rPr>
        <w:t>Revised.</w:t>
      </w:r>
    </w:p>
    <w:p w14:paraId="60D99C3D" w14:textId="77777777" w:rsidR="005D1BCF" w:rsidRDefault="005D1BCF" w:rsidP="005D1BCF">
      <w:pPr>
        <w:rPr>
          <w:bCs/>
          <w:szCs w:val="22"/>
        </w:rPr>
      </w:pPr>
    </w:p>
    <w:p w14:paraId="174BC43A" w14:textId="77777777" w:rsidR="005D1BCF" w:rsidRDefault="005D1BCF" w:rsidP="005D1BCF">
      <w:pPr>
        <w:rPr>
          <w:bCs/>
          <w:szCs w:val="22"/>
        </w:rPr>
      </w:pPr>
      <w:r>
        <w:rPr>
          <w:bCs/>
          <w:szCs w:val="22"/>
        </w:rPr>
        <w:lastRenderedPageBreak/>
        <w:t>Replace the second and third sentences with:</w:t>
      </w:r>
    </w:p>
    <w:p w14:paraId="50B3A668" w14:textId="77777777" w:rsidR="005D1BCF" w:rsidRPr="002A5872" w:rsidRDefault="005D1BCF" w:rsidP="005D1BCF">
      <w:pPr>
        <w:rPr>
          <w:bCs/>
          <w:szCs w:val="22"/>
        </w:rPr>
      </w:pPr>
      <w:r>
        <w:rPr>
          <w:bCs/>
          <w:szCs w:val="22"/>
        </w:rPr>
        <w:t>“When the MAC transmits a Data frame with an Address 1 match, the MLME-HL-</w:t>
      </w:r>
      <w:proofErr w:type="spellStart"/>
      <w:r>
        <w:rPr>
          <w:bCs/>
          <w:szCs w:val="22"/>
        </w:rPr>
        <w:t>SYNC.indication</w:t>
      </w:r>
      <w:proofErr w:type="spellEnd"/>
      <w:r>
        <w:rPr>
          <w:bCs/>
          <w:szCs w:val="22"/>
        </w:rPr>
        <w:t xml:space="preserve"> shall occur when the last symbol of the PPDU carrying the Data frame is transmitted.  When the MAC receives a Data frame with an Address 1 match, the MLME-HL-</w:t>
      </w:r>
      <w:proofErr w:type="spellStart"/>
      <w:r>
        <w:rPr>
          <w:bCs/>
          <w:szCs w:val="22"/>
        </w:rPr>
        <w:t>SYNC.indication</w:t>
      </w:r>
      <w:proofErr w:type="spellEnd"/>
      <w:r>
        <w:rPr>
          <w:bCs/>
          <w:szCs w:val="22"/>
        </w:rPr>
        <w:t xml:space="preserve"> shall occur when the last symbol of the PPDU carrying the matching Data frame is received.”</w:t>
      </w:r>
    </w:p>
    <w:p w14:paraId="1703CC9C" w14:textId="77777777" w:rsidR="005D1BCF" w:rsidRPr="00E948DB" w:rsidRDefault="005D1BCF" w:rsidP="005D1BCF">
      <w:pPr>
        <w:rPr>
          <w:bCs/>
          <w:szCs w:val="22"/>
        </w:rPr>
      </w:pPr>
    </w:p>
    <w:p w14:paraId="07CD3492" w14:textId="77777777" w:rsidR="005D1BCF"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F81E51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6668BD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0FD04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B5584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C098A7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512DBA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690EA82C" w14:textId="77777777" w:rsidTr="001004CD">
        <w:trPr>
          <w:trHeight w:val="8190"/>
        </w:trPr>
        <w:tc>
          <w:tcPr>
            <w:tcW w:w="738" w:type="dxa"/>
            <w:hideMark/>
          </w:tcPr>
          <w:p w14:paraId="453DB4F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6B551264"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39AF8748"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DE59F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w:t>
            </w:r>
            <w:proofErr w:type="spellStart"/>
            <w:r w:rsidRPr="00DE7477">
              <w:rPr>
                <w:rFonts w:ascii="Arial" w:eastAsia="Times New Roman" w:hAnsi="Arial" w:cs="Arial"/>
                <w:sz w:val="20"/>
                <w:lang w:val="en-US"/>
              </w:rPr>
              <w:t>UNITDATA.something</w:t>
            </w:r>
            <w:proofErr w:type="spellEnd"/>
            <w:r w:rsidRPr="00DE7477">
              <w:rPr>
                <w:rFonts w:ascii="Arial" w:eastAsia="Times New Roman" w:hAnsi="Arial" w:cs="Arial"/>
                <w:sz w:val="20"/>
                <w:lang w:val="en-US"/>
              </w:rPr>
              <w:t xml:space="preserve"> primitives</w:t>
            </w:r>
          </w:p>
        </w:tc>
        <w:tc>
          <w:tcPr>
            <w:tcW w:w="3600" w:type="dxa"/>
            <w:hideMark/>
          </w:tcPr>
          <w:p w14:paraId="0D329870"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tc>
      </w:tr>
    </w:tbl>
    <w:p w14:paraId="7256959E" w14:textId="77777777" w:rsidR="005D1BCF" w:rsidRDefault="005D1BCF" w:rsidP="005D1BCF">
      <w:pPr>
        <w:rPr>
          <w:bCs/>
          <w:szCs w:val="22"/>
        </w:rPr>
      </w:pPr>
    </w:p>
    <w:p w14:paraId="7EB6D557" w14:textId="77777777" w:rsidR="005D1BCF" w:rsidRDefault="005D1BCF" w:rsidP="005D1BCF">
      <w:pPr>
        <w:rPr>
          <w:bCs/>
          <w:szCs w:val="22"/>
        </w:rPr>
      </w:pPr>
      <w:r>
        <w:rPr>
          <w:bCs/>
          <w:szCs w:val="22"/>
          <w:u w:val="single"/>
        </w:rPr>
        <w:t>Discussion:</w:t>
      </w:r>
    </w:p>
    <w:p w14:paraId="4723700D" w14:textId="77777777" w:rsidR="005D1BCF" w:rsidRDefault="005D1BCF" w:rsidP="005D1BCF">
      <w:pPr>
        <w:rPr>
          <w:bCs/>
          <w:szCs w:val="22"/>
        </w:rPr>
      </w:pPr>
    </w:p>
    <w:p w14:paraId="358E8FE5"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690E4C2B" wp14:editId="648CED9A">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3933109E" w14:textId="77777777" w:rsidR="005D1BCF" w:rsidRDefault="005D1BCF" w:rsidP="005D1BCF">
      <w:pPr>
        <w:rPr>
          <w:bCs/>
          <w:szCs w:val="22"/>
        </w:rPr>
      </w:pPr>
    </w:p>
    <w:p w14:paraId="771161B9" w14:textId="77777777" w:rsidR="005D1BCF" w:rsidRDefault="005D1BCF" w:rsidP="005D1BCF">
      <w:pPr>
        <w:rPr>
          <w:bCs/>
          <w:szCs w:val="22"/>
        </w:rPr>
      </w:pPr>
      <w:r>
        <w:rPr>
          <w:bCs/>
          <w:szCs w:val="22"/>
        </w:rPr>
        <w:t>This feature was introduced in 802.11-2012 (</w:t>
      </w:r>
      <w:proofErr w:type="spellStart"/>
      <w:r>
        <w:rPr>
          <w:bCs/>
          <w:szCs w:val="22"/>
        </w:rPr>
        <w:t>REVmb</w:t>
      </w:r>
      <w:proofErr w:type="spellEnd"/>
      <w:r>
        <w:rPr>
          <w:bCs/>
          <w:szCs w:val="22"/>
        </w:rPr>
        <w:t>).  It is the result from (</w:t>
      </w:r>
      <w:proofErr w:type="spellStart"/>
      <w:r>
        <w:rPr>
          <w:bCs/>
          <w:szCs w:val="22"/>
        </w:rPr>
        <w:t>REVmb</w:t>
      </w:r>
      <w:proofErr w:type="spellEnd"/>
      <w:r>
        <w:rPr>
          <w:bCs/>
          <w:szCs w:val="22"/>
        </w:rPr>
        <w:t>) CIDs 1685 and 1686, per 11-09/1063r1 (</w:t>
      </w:r>
      <w:hyperlink r:id="rId170" w:history="1">
        <w:r w:rsidRPr="005D0E85">
          <w:rPr>
            <w:rStyle w:val="Hyperlink"/>
            <w:bCs/>
            <w:szCs w:val="22"/>
          </w:rPr>
          <w:t>https://mentor.ieee.org/802.11/dcn/09/11-09-1063-01-000m-lb149-ma-unitdata-rejection-of-un-admitted-traffic.doc</w:t>
        </w:r>
      </w:hyperlink>
      <w:r>
        <w:rPr>
          <w:bCs/>
          <w:szCs w:val="22"/>
        </w:rPr>
        <w:t>).</w:t>
      </w:r>
    </w:p>
    <w:p w14:paraId="70DEFEB9" w14:textId="77777777" w:rsidR="005D1BCF" w:rsidRDefault="005D1BCF" w:rsidP="005D1BCF">
      <w:pPr>
        <w:rPr>
          <w:bCs/>
          <w:szCs w:val="22"/>
        </w:rPr>
      </w:pPr>
    </w:p>
    <w:p w14:paraId="35DEFD9D" w14:textId="77777777" w:rsidR="005D1BCF" w:rsidRDefault="005D1BCF" w:rsidP="005D1BCF">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46B433FF" w14:textId="77777777" w:rsidR="005D1BCF" w:rsidRDefault="005D1BCF" w:rsidP="005D1BCF">
      <w:pPr>
        <w:rPr>
          <w:bCs/>
          <w:szCs w:val="22"/>
        </w:rPr>
      </w:pPr>
    </w:p>
    <w:p w14:paraId="0A3B8DD0" w14:textId="77777777" w:rsidR="005D1BCF" w:rsidRDefault="005D1BCF" w:rsidP="005D1BCF">
      <w:pPr>
        <w:rPr>
          <w:bCs/>
          <w:szCs w:val="22"/>
        </w:rPr>
      </w:pPr>
      <w:r>
        <w:rPr>
          <w:bCs/>
          <w:szCs w:val="22"/>
        </w:rPr>
        <w:t xml:space="preserve">The adopted proposed resolution was to add a capability indication (and MIB attribute, etc.) that signals whether a given non-AP STA will or will not downgrade traffic that is not admitted at its priority level as provided at the MA-UNITDATA interface.  </w:t>
      </w:r>
    </w:p>
    <w:p w14:paraId="29BC25AD" w14:textId="77777777" w:rsidR="005D1BCF" w:rsidRDefault="005D1BCF" w:rsidP="005D1BCF">
      <w:pPr>
        <w:rPr>
          <w:bCs/>
          <w:szCs w:val="22"/>
        </w:rPr>
      </w:pPr>
    </w:p>
    <w:p w14:paraId="31FE31C5" w14:textId="77777777" w:rsidR="005D1BCF" w:rsidRDefault="005D1BCF" w:rsidP="005D1BCF">
      <w:pPr>
        <w:rPr>
          <w:bCs/>
          <w:szCs w:val="22"/>
        </w:rPr>
      </w:pPr>
      <w:r>
        <w:rPr>
          <w:bCs/>
          <w:szCs w:val="22"/>
        </w:rPr>
        <w:t>The MIB (C.3) context is:</w:t>
      </w:r>
    </w:p>
    <w:p w14:paraId="7FC816D3"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0D8420F0" wp14:editId="20F0518F">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3A2088B3" w14:textId="77777777" w:rsidR="005D1BCF" w:rsidRDefault="005D1BCF" w:rsidP="005D1BCF">
      <w:pPr>
        <w:rPr>
          <w:bCs/>
          <w:szCs w:val="22"/>
        </w:rPr>
      </w:pPr>
    </w:p>
    <w:p w14:paraId="0D29122C" w14:textId="77777777" w:rsidR="005D1BCF" w:rsidRDefault="005D1BCF" w:rsidP="005D1BCF">
      <w:pPr>
        <w:rPr>
          <w:bCs/>
          <w:szCs w:val="22"/>
        </w:rPr>
      </w:pPr>
      <w:r>
        <w:rPr>
          <w:bCs/>
          <w:szCs w:val="22"/>
        </w:rPr>
        <w:t>Reviewing the changes proposed in this (current) CID:</w:t>
      </w:r>
    </w:p>
    <w:p w14:paraId="7BAADEF9" w14:textId="77777777" w:rsidR="005D1BCF" w:rsidRPr="004245ED" w:rsidRDefault="005D1BCF" w:rsidP="005D1BCF">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w:t>
      </w:r>
      <w:proofErr w:type="spellStart"/>
      <w:r w:rsidRPr="004245ED">
        <w:rPr>
          <w:rFonts w:ascii="Arial" w:eastAsia="Times New Roman" w:hAnsi="Arial" w:cs="Arial"/>
          <w:sz w:val="20"/>
          <w:lang w:val="en-US"/>
        </w:rPr>
        <w:t>UNITDATA.request</w:t>
      </w:r>
      <w:proofErr w:type="spellEnd"/>
      <w:r w:rsidRPr="004245ED">
        <w:rPr>
          <w:rFonts w:ascii="Arial" w:eastAsia="Times New Roman" w:hAnsi="Arial" w:cs="Arial"/>
          <w:sz w:val="20"/>
          <w:lang w:val="en-US"/>
        </w:rPr>
        <w:t xml:space="preserve"> primitives for</w:t>
      </w:r>
      <w:r>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6538F11D" w14:textId="77777777" w:rsidR="005D1BCF" w:rsidRPr="004245ED" w:rsidRDefault="005D1BCF" w:rsidP="005D1BCF">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w:t>
      </w:r>
      <w:proofErr w:type="spellStart"/>
      <w:r>
        <w:rPr>
          <w:rFonts w:ascii="Arial" w:eastAsia="Times New Roman" w:hAnsi="Arial" w:cs="Arial"/>
          <w:sz w:val="20"/>
          <w:lang w:val="en-US"/>
        </w:rPr>
        <w:t>UNITDATA.request</w:t>
      </w:r>
      <w:proofErr w:type="spellEnd"/>
      <w:r>
        <w:rPr>
          <w:rFonts w:ascii="Arial" w:eastAsia="Times New Roman" w:hAnsi="Arial" w:cs="Arial"/>
          <w:sz w:val="20"/>
          <w:lang w:val="en-US"/>
        </w:rPr>
        <w:t xml:space="preserve"> primitive.  Seems correct, and still in-line with the intent of the feature.</w:t>
      </w:r>
    </w:p>
    <w:p w14:paraId="5486CCB6" w14:textId="77777777" w:rsidR="005D1BCF" w:rsidRPr="004245ED" w:rsidRDefault="005D1BCF" w:rsidP="005D1BCF">
      <w:pPr>
        <w:pStyle w:val="ListParagraph"/>
        <w:numPr>
          <w:ilvl w:val="0"/>
          <w:numId w:val="47"/>
        </w:numPr>
        <w:rPr>
          <w:bCs/>
          <w:szCs w:val="22"/>
        </w:rPr>
      </w:pPr>
      <w:r w:rsidRPr="00DE7477">
        <w:rPr>
          <w:rFonts w:ascii="Arial" w:eastAsia="Times New Roman" w:hAnsi="Arial" w:cs="Arial"/>
          <w:sz w:val="20"/>
          <w:lang w:val="en-US"/>
        </w:rPr>
        <w:t xml:space="preserve">and </w:t>
      </w:r>
      <w:r>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w:t>
      </w:r>
      <w:proofErr w:type="spellStart"/>
      <w:r w:rsidRPr="00DE7477">
        <w:rPr>
          <w:rFonts w:ascii="Arial" w:eastAsia="Times New Roman" w:hAnsi="Arial" w:cs="Arial"/>
          <w:sz w:val="20"/>
          <w:lang w:val="en-US"/>
        </w:rPr>
        <w:t>UNITDATA.request</w:t>
      </w:r>
      <w:proofErr w:type="spellEnd"/>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2684087"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Similar to (1).  Seems okay.</w:t>
      </w:r>
    </w:p>
    <w:p w14:paraId="04804FCA" w14:textId="77777777" w:rsidR="005D1BCF" w:rsidRPr="003C34C5" w:rsidRDefault="005D1BCF" w:rsidP="005D1BCF">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p w14:paraId="4981BC91"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This change is to remove calling the MA-UNITDATA service a primitive.  It is more explicit to mention that it is upon the .request primitive that a STA rejects such requests (if the MIB attribute is true), rather than leave it confusing that perhaps the MA-</w:t>
      </w:r>
      <w:proofErr w:type="spellStart"/>
      <w:r>
        <w:rPr>
          <w:rFonts w:ascii="Arial" w:eastAsia="Times New Roman" w:hAnsi="Arial" w:cs="Arial"/>
          <w:sz w:val="20"/>
          <w:lang w:val="en-US"/>
        </w:rPr>
        <w:t>UNITDATA.indication</w:t>
      </w:r>
      <w:proofErr w:type="spellEnd"/>
      <w:r>
        <w:rPr>
          <w:rFonts w:ascii="Arial" w:eastAsia="Times New Roman" w:hAnsi="Arial" w:cs="Arial"/>
          <w:sz w:val="20"/>
          <w:lang w:val="en-US"/>
        </w:rPr>
        <w:t xml:space="preserve"> would also result in any such rejection.</w:t>
      </w:r>
    </w:p>
    <w:p w14:paraId="112BEBC2" w14:textId="77777777" w:rsidR="005D1BCF" w:rsidRDefault="005D1BCF" w:rsidP="005D1BCF">
      <w:pPr>
        <w:rPr>
          <w:bCs/>
          <w:szCs w:val="22"/>
        </w:rPr>
      </w:pPr>
    </w:p>
    <w:p w14:paraId="5D00263A" w14:textId="77777777" w:rsidR="005D1BCF" w:rsidRDefault="005D1BCF" w:rsidP="005D1BCF">
      <w:pPr>
        <w:rPr>
          <w:bCs/>
          <w:szCs w:val="22"/>
        </w:rPr>
      </w:pPr>
      <w:r w:rsidRPr="00C2588D">
        <w:rPr>
          <w:bCs/>
          <w:szCs w:val="22"/>
          <w:highlight w:val="green"/>
          <w:u w:val="single"/>
        </w:rPr>
        <w:t>Proposed Resolution:</w:t>
      </w:r>
    </w:p>
    <w:p w14:paraId="69C7541D" w14:textId="77777777" w:rsidR="005D1BCF" w:rsidRDefault="005D1BCF" w:rsidP="005D1BCF">
      <w:pPr>
        <w:rPr>
          <w:bCs/>
          <w:szCs w:val="22"/>
        </w:rPr>
      </w:pPr>
    </w:p>
    <w:p w14:paraId="1EF2BC98" w14:textId="77777777" w:rsidR="005D1BCF" w:rsidRPr="003C34C5" w:rsidRDefault="005D1BCF" w:rsidP="005D1BCF">
      <w:pPr>
        <w:rPr>
          <w:bCs/>
          <w:szCs w:val="22"/>
        </w:rPr>
      </w:pPr>
      <w:r>
        <w:rPr>
          <w:bCs/>
          <w:szCs w:val="22"/>
        </w:rPr>
        <w:t>Accepted.</w:t>
      </w:r>
    </w:p>
    <w:p w14:paraId="6139E7D0" w14:textId="77777777" w:rsidR="005D1BCF" w:rsidRPr="00BC63F8" w:rsidRDefault="005D1BCF" w:rsidP="005D1BCF">
      <w:pPr>
        <w:rPr>
          <w:bCs/>
          <w:szCs w:val="22"/>
        </w:rPr>
      </w:pPr>
    </w:p>
    <w:p w14:paraId="7BEAFB78" w14:textId="77777777" w:rsidR="00BA2855"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6F0EF1B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0BE33D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D8762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38CFD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089659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0C5B1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2866564" w14:textId="77777777" w:rsidTr="00CC5391">
        <w:trPr>
          <w:trHeight w:val="765"/>
        </w:trPr>
        <w:tc>
          <w:tcPr>
            <w:tcW w:w="738" w:type="dxa"/>
            <w:hideMark/>
          </w:tcPr>
          <w:p w14:paraId="2B5B14EE"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603EAB3A"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F3BB5D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0BB2CC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77B0BE6D"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08EC88AB" w14:textId="77777777" w:rsidR="00BA2855" w:rsidRDefault="00BA2855" w:rsidP="00BA2855">
      <w:pPr>
        <w:rPr>
          <w:bCs/>
          <w:szCs w:val="22"/>
        </w:rPr>
      </w:pPr>
    </w:p>
    <w:p w14:paraId="7543CBB4" w14:textId="77777777" w:rsidR="00BA2855" w:rsidRDefault="00BA2855" w:rsidP="00BA2855">
      <w:pPr>
        <w:rPr>
          <w:bCs/>
          <w:szCs w:val="22"/>
        </w:rPr>
      </w:pPr>
      <w:r>
        <w:rPr>
          <w:bCs/>
          <w:szCs w:val="22"/>
          <w:u w:val="single"/>
        </w:rPr>
        <w:t>Discussion</w:t>
      </w:r>
      <w:r>
        <w:rPr>
          <w:bCs/>
          <w:szCs w:val="22"/>
        </w:rPr>
        <w:t>:</w:t>
      </w:r>
    </w:p>
    <w:p w14:paraId="44EAB273" w14:textId="77777777" w:rsidR="00BA2855" w:rsidRDefault="00BA2855" w:rsidP="00BA2855">
      <w:pPr>
        <w:rPr>
          <w:bCs/>
          <w:szCs w:val="22"/>
        </w:rPr>
      </w:pPr>
    </w:p>
    <w:p w14:paraId="7ACCBB91"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6C7E09FB" wp14:editId="3A51D520">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1B44A90E" w14:textId="77777777" w:rsidR="00BA2855" w:rsidRDefault="00BA2855" w:rsidP="00BA2855">
      <w:pPr>
        <w:rPr>
          <w:bCs/>
          <w:szCs w:val="22"/>
        </w:rPr>
      </w:pPr>
    </w:p>
    <w:p w14:paraId="34164FD5"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7069F8AD" wp14:editId="2C75ECB3">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57017EBC" w14:textId="77777777" w:rsidR="00BA2855" w:rsidRDefault="00BA2855" w:rsidP="00BA2855">
      <w:pPr>
        <w:rPr>
          <w:bCs/>
          <w:szCs w:val="22"/>
        </w:rPr>
      </w:pPr>
    </w:p>
    <w:p w14:paraId="6F67E2C3" w14:textId="77777777" w:rsidR="00BA2855" w:rsidRDefault="00BA2855" w:rsidP="00BA2855">
      <w:pPr>
        <w:rPr>
          <w:bCs/>
          <w:szCs w:val="22"/>
        </w:rPr>
      </w:pPr>
      <w:r>
        <w:rPr>
          <w:bCs/>
          <w:szCs w:val="22"/>
        </w:rPr>
        <w:t xml:space="preserve">This is on the Timestamp field of the TIM action frame.  </w:t>
      </w:r>
    </w:p>
    <w:p w14:paraId="7F734554" w14:textId="77777777" w:rsidR="00BA2855" w:rsidRDefault="00BA2855" w:rsidP="00BA2855">
      <w:pPr>
        <w:rPr>
          <w:bCs/>
          <w:szCs w:val="22"/>
        </w:rPr>
      </w:pPr>
    </w:p>
    <w:p w14:paraId="04379657" w14:textId="77777777" w:rsidR="00BA2855" w:rsidRDefault="00BA2855" w:rsidP="00BA2855">
      <w:pPr>
        <w:rPr>
          <w:bCs/>
          <w:szCs w:val="22"/>
        </w:rPr>
      </w:pPr>
      <w:r>
        <w:rPr>
          <w:bCs/>
          <w:szCs w:val="22"/>
        </w:rPr>
        <w:t xml:space="preserve">The Timestamp field is not optional, so the TIM frame will always include something in the field.  Per </w:t>
      </w:r>
      <w:proofErr w:type="spellStart"/>
      <w:r>
        <w:rPr>
          <w:bCs/>
          <w:szCs w:val="22"/>
        </w:rPr>
        <w:t>ppg</w:t>
      </w:r>
      <w:proofErr w:type="spellEnd"/>
      <w:r>
        <w:rPr>
          <w:bCs/>
          <w:szCs w:val="22"/>
        </w:rPr>
        <w:t xml:space="preserve"> 2199-2200, if the result of the TIM Broadcast setup (Request/Response) is a status that says a “valid” timestamp will be present then the value is present in this field is a “valid” TSF – otherwise, per </w:t>
      </w:r>
      <w:proofErr w:type="spellStart"/>
      <w:r>
        <w:rPr>
          <w:bCs/>
          <w:szCs w:val="22"/>
        </w:rPr>
        <w:t>pg</w:t>
      </w:r>
      <w:proofErr w:type="spellEnd"/>
      <w:r>
        <w:rPr>
          <w:bCs/>
          <w:szCs w:val="22"/>
        </w:rPr>
        <w:t xml:space="preserve"> 1618, the field is reserved.</w:t>
      </w:r>
    </w:p>
    <w:p w14:paraId="638F2D98" w14:textId="77777777" w:rsidR="00BA2855" w:rsidRDefault="00BA2855" w:rsidP="00BA2855">
      <w:pPr>
        <w:rPr>
          <w:bCs/>
          <w:szCs w:val="22"/>
        </w:rPr>
      </w:pPr>
    </w:p>
    <w:p w14:paraId="06D4FD95" w14:textId="77777777" w:rsidR="00BA2855" w:rsidRDefault="00BA2855" w:rsidP="00BA2855">
      <w:pPr>
        <w:rPr>
          <w:bCs/>
          <w:szCs w:val="22"/>
        </w:rPr>
      </w:pPr>
      <w:r w:rsidRPr="000064B0">
        <w:rPr>
          <w:bCs/>
          <w:szCs w:val="22"/>
        </w:rPr>
        <w:t>(At June 10 teleconference, the “The field is reserved otherwise” was pointed out.)</w:t>
      </w:r>
    </w:p>
    <w:p w14:paraId="3410FD0B" w14:textId="77777777" w:rsidR="00BA2855" w:rsidRDefault="00BA2855" w:rsidP="00BA2855">
      <w:pPr>
        <w:rPr>
          <w:bCs/>
          <w:szCs w:val="22"/>
        </w:rPr>
      </w:pPr>
    </w:p>
    <w:p w14:paraId="0AC86684" w14:textId="77777777" w:rsidR="00BA2855" w:rsidRDefault="00BA2855" w:rsidP="00BA2855">
      <w:pPr>
        <w:rPr>
          <w:bCs/>
          <w:szCs w:val="22"/>
        </w:rPr>
      </w:pPr>
      <w:proofErr w:type="spellStart"/>
      <w:r>
        <w:rPr>
          <w:bCs/>
          <w:szCs w:val="22"/>
        </w:rPr>
        <w:t>Ppg</w:t>
      </w:r>
      <w:proofErr w:type="spellEnd"/>
      <w:r>
        <w:rPr>
          <w:bCs/>
          <w:szCs w:val="22"/>
        </w:rPr>
        <w:t>: 2199-2200:</w:t>
      </w:r>
    </w:p>
    <w:p w14:paraId="45118F6C" w14:textId="77777777" w:rsidR="00BA2855" w:rsidRDefault="00BA2855" w:rsidP="00BA2855">
      <w:pPr>
        <w:rPr>
          <w:bCs/>
          <w:szCs w:val="22"/>
        </w:rPr>
      </w:pPr>
    </w:p>
    <w:p w14:paraId="4DB80849"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5104" behindDoc="0" locked="0" layoutInCell="1" allowOverlap="1" wp14:anchorId="43065F93" wp14:editId="668D6E5B">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74">
                      <w14:nvContentPartPr>
                        <w14:cNvContentPartPr/>
                      </w14:nvContentPartPr>
                      <w14:xfrm>
                        <a:off x="0" y="0"/>
                        <a:ext cx="614880" cy="66960"/>
                      </w14:xfrm>
                    </w14:contentPart>
                  </a:graphicData>
                </a:graphic>
              </wp:anchor>
            </w:drawing>
          </mc:Choice>
          <mc:Fallback>
            <w:pict>
              <v:shape w14:anchorId="641C54FB" id="Ink 15" o:spid="_x0000_s1026" type="#_x0000_t75" style="position:absolute;margin-left:36.35pt;margin-top:53.75pt;width:56.9pt;height:22.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&#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">
                <v:imagedata r:id="rId175" o:title=""/>
              </v:shape>
            </w:pict>
          </mc:Fallback>
        </mc:AlternateContent>
      </w:r>
      <w:r>
        <w:rPr>
          <w:bCs/>
          <w:noProof/>
          <w:szCs w:val="22"/>
        </w:rPr>
        <mc:AlternateContent>
          <mc:Choice Requires="wpi">
            <w:drawing>
              <wp:anchor distT="0" distB="0" distL="114300" distR="114300" simplePos="0" relativeHeight="251694080" behindDoc="0" locked="0" layoutInCell="1" allowOverlap="1" wp14:anchorId="5ACF7EBC" wp14:editId="653DDECB">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76">
                      <w14:nvContentPartPr>
                        <w14:cNvContentPartPr/>
                      </w14:nvContentPartPr>
                      <w14:xfrm>
                        <a:off x="0" y="0"/>
                        <a:ext cx="5820120" cy="68040"/>
                      </w14:xfrm>
                    </w14:contentPart>
                  </a:graphicData>
                </a:graphic>
              </wp:anchor>
            </w:drawing>
          </mc:Choice>
          <mc:Fallback>
            <w:pict>
              <v:shape w14:anchorId="363F142A" id="Ink 14" o:spid="_x0000_s1026" type="#_x0000_t75" style="position:absolute;margin-left:34.15pt;margin-top:38.75pt;width:466.8pt;height:22.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">
                <v:imagedata r:id="rId177"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1198EC30" wp14:editId="32A9AA21">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178">
                      <w14:nvContentPartPr>
                        <w14:cNvContentPartPr/>
                      </w14:nvContentPartPr>
                      <w14:xfrm>
                        <a:off x="0" y="0"/>
                        <a:ext cx="3228120" cy="68400"/>
                      </w14:xfrm>
                    </w14:contentPart>
                  </a:graphicData>
                </a:graphic>
              </wp:anchor>
            </w:drawing>
          </mc:Choice>
          <mc:Fallback>
            <w:pict>
              <v:shape w14:anchorId="70E13B72" id="Ink 4" o:spid="_x0000_s1026" type="#_x0000_t75" style="position:absolute;margin-left:238.15pt;margin-top:30.5pt;width:262.7pt;height:2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">
                <v:imagedata r:id="rId179" o:title=""/>
              </v:shape>
            </w:pict>
          </mc:Fallback>
        </mc:AlternateContent>
      </w:r>
      <w:r w:rsidRPr="004A6814">
        <w:rPr>
          <w:bCs/>
          <w:noProof/>
          <w:szCs w:val="22"/>
          <w:bdr w:val="single" w:sz="8" w:space="0" w:color="auto" w:shadow="1"/>
        </w:rPr>
        <w:drawing>
          <wp:inline distT="0" distB="0" distL="0" distR="0" wp14:anchorId="31F092C6" wp14:editId="753B8726">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2822C17F"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8176" behindDoc="0" locked="0" layoutInCell="1" allowOverlap="1" wp14:anchorId="07BCB91D" wp14:editId="6E164E32">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181">
                      <w14:nvContentPartPr>
                        <w14:cNvContentPartPr/>
                      </w14:nvContentPartPr>
                      <w14:xfrm>
                        <a:off x="0" y="0"/>
                        <a:ext cx="3825360" cy="56880"/>
                      </w14:xfrm>
                    </w14:contentPart>
                  </a:graphicData>
                </a:graphic>
              </wp:anchor>
            </w:drawing>
          </mc:Choice>
          <mc:Fallback>
            <w:pict>
              <v:shape w14:anchorId="7A7F8F12" id="Ink 324" o:spid="_x0000_s1026" type="#_x0000_t75" style="position:absolute;margin-left:34.15pt;margin-top:23.6pt;width:309.7pt;height: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">
                <v:imagedata r:id="rId182" o:title=""/>
              </v:shape>
            </w:pict>
          </mc:Fallback>
        </mc:AlternateContent>
      </w:r>
      <w:r>
        <w:rPr>
          <w:bCs/>
          <w:noProof/>
          <w:szCs w:val="22"/>
        </w:rPr>
        <mc:AlternateContent>
          <mc:Choice Requires="wpi">
            <w:drawing>
              <wp:anchor distT="0" distB="0" distL="114300" distR="114300" simplePos="0" relativeHeight="251697152" behindDoc="0" locked="0" layoutInCell="1" allowOverlap="1" wp14:anchorId="68C2CB00" wp14:editId="13F29C24">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183">
                      <w14:nvContentPartPr>
                        <w14:cNvContentPartPr/>
                      </w14:nvContentPartPr>
                      <w14:xfrm>
                        <a:off x="0" y="0"/>
                        <a:ext cx="5823000" cy="87120"/>
                      </w14:xfrm>
                    </w14:contentPart>
                  </a:graphicData>
                </a:graphic>
              </wp:anchor>
            </w:drawing>
          </mc:Choice>
          <mc:Fallback>
            <w:pict>
              <v:shape w14:anchorId="3912224F" id="Ink 249" o:spid="_x0000_s1026" type="#_x0000_t75" style="position:absolute;margin-left:33.4pt;margin-top:10pt;width:467pt;height:2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">
                <v:imagedata r:id="rId184"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5D5CBC16" wp14:editId="49A87BDF">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185">
                      <w14:nvContentPartPr>
                        <w14:cNvContentPartPr/>
                      </w14:nvContentPartPr>
                      <w14:xfrm>
                        <a:off x="0" y="0"/>
                        <a:ext cx="646920" cy="48240"/>
                      </w14:xfrm>
                    </w14:contentPart>
                  </a:graphicData>
                </a:graphic>
              </wp:anchor>
            </w:drawing>
          </mc:Choice>
          <mc:Fallback>
            <w:pict>
              <v:shape w14:anchorId="455B9515" id="Ink 16" o:spid="_x0000_s1026" type="#_x0000_t75" style="position:absolute;margin-left:443.65pt;margin-top:-1.25pt;width:59.45pt;height:20.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">
                <v:imagedata r:id="rId186" o:title=""/>
              </v:shape>
            </w:pict>
          </mc:Fallback>
        </mc:AlternateContent>
      </w:r>
      <w:r w:rsidRPr="004A6814">
        <w:rPr>
          <w:bCs/>
          <w:noProof/>
          <w:szCs w:val="22"/>
          <w:bdr w:val="single" w:sz="8" w:space="0" w:color="auto" w:shadow="1"/>
        </w:rPr>
        <w:drawing>
          <wp:inline distT="0" distB="0" distL="0" distR="0" wp14:anchorId="5FA4F8B8" wp14:editId="56E69B76">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5865EAF8" w14:textId="77777777" w:rsidR="00BA2855" w:rsidRDefault="00BA2855" w:rsidP="00BA2855">
      <w:pPr>
        <w:rPr>
          <w:bCs/>
          <w:szCs w:val="22"/>
        </w:rPr>
      </w:pPr>
    </w:p>
    <w:p w14:paraId="58F41105" w14:textId="77777777" w:rsidR="00BA2855" w:rsidRDefault="00BA2855" w:rsidP="00BA2855">
      <w:pPr>
        <w:rPr>
          <w:bCs/>
          <w:szCs w:val="22"/>
        </w:rPr>
      </w:pPr>
      <w:r w:rsidRPr="000064B0">
        <w:rPr>
          <w:bCs/>
          <w:szCs w:val="22"/>
          <w:u w:val="single"/>
        </w:rPr>
        <w:t>Proposed Resolution:</w:t>
      </w:r>
    </w:p>
    <w:p w14:paraId="263DE05C" w14:textId="77777777" w:rsidR="00BA2855" w:rsidRDefault="00BA2855" w:rsidP="00BA2855">
      <w:pPr>
        <w:rPr>
          <w:bCs/>
          <w:szCs w:val="22"/>
        </w:rPr>
      </w:pPr>
    </w:p>
    <w:p w14:paraId="2ED4E058" w14:textId="77777777" w:rsidR="00BA2855" w:rsidRDefault="00BA2855" w:rsidP="00BA2855">
      <w:pPr>
        <w:rPr>
          <w:bCs/>
          <w:szCs w:val="22"/>
        </w:rPr>
      </w:pPr>
      <w:r>
        <w:rPr>
          <w:bCs/>
          <w:szCs w:val="22"/>
        </w:rPr>
        <w:t>Delete “valid” at 1618.41, as requested.</w:t>
      </w:r>
    </w:p>
    <w:p w14:paraId="37AF6F47" w14:textId="77777777" w:rsidR="00BA2855" w:rsidRDefault="00BA2855" w:rsidP="00BA2855">
      <w:pPr>
        <w:rPr>
          <w:bCs/>
          <w:szCs w:val="22"/>
        </w:rPr>
      </w:pPr>
    </w:p>
    <w:p w14:paraId="604CD26E" w14:textId="77777777" w:rsidR="00BA2855" w:rsidRDefault="00BA2855" w:rsidP="00BA2855">
      <w:pPr>
        <w:rPr>
          <w:bCs/>
          <w:szCs w:val="22"/>
        </w:rPr>
      </w:pPr>
      <w:r>
        <w:rPr>
          <w:bCs/>
          <w:szCs w:val="22"/>
        </w:rPr>
        <w:t>Also, replace “no valid TSF timestamp is present” with “no timestamp is present</w:t>
      </w:r>
      <w:commentRangeStart w:id="14"/>
      <w:r>
        <w:rPr>
          <w:bCs/>
          <w:szCs w:val="22"/>
        </w:rPr>
        <w:t>” at both P2199.63 and P2200.2.</w:t>
      </w:r>
      <w:commentRangeEnd w:id="14"/>
      <w:r>
        <w:rPr>
          <w:rStyle w:val="CommentReference"/>
        </w:rPr>
        <w:commentReference w:id="14"/>
      </w:r>
    </w:p>
    <w:p w14:paraId="7E31A56B" w14:textId="77777777" w:rsidR="00BA2855" w:rsidRDefault="00BA2855" w:rsidP="00BA2855">
      <w:pPr>
        <w:rPr>
          <w:bCs/>
          <w:szCs w:val="22"/>
        </w:rPr>
      </w:pPr>
    </w:p>
    <w:p w14:paraId="51A3E372" w14:textId="77777777" w:rsidR="00BA2855" w:rsidRDefault="00BA2855" w:rsidP="00BA2855">
      <w:pPr>
        <w:rPr>
          <w:bCs/>
          <w:szCs w:val="22"/>
        </w:rPr>
      </w:pPr>
      <w:r w:rsidRPr="00BA2855">
        <w:rPr>
          <w:bCs/>
          <w:szCs w:val="22"/>
        </w:rPr>
        <w:t>On June 24 teleconference, asked to add some more changes:</w:t>
      </w:r>
    </w:p>
    <w:p w14:paraId="175963B5" w14:textId="77777777" w:rsidR="00BA2855" w:rsidRDefault="00BA2855" w:rsidP="00BA2855">
      <w:pPr>
        <w:pStyle w:val="ListParagraph"/>
        <w:numPr>
          <w:ilvl w:val="0"/>
          <w:numId w:val="49"/>
        </w:numPr>
        <w:rPr>
          <w:bCs/>
          <w:szCs w:val="22"/>
        </w:rPr>
      </w:pPr>
      <w:r>
        <w:rPr>
          <w:bCs/>
          <w:szCs w:val="22"/>
        </w:rPr>
        <w:t>Fix “valid TSF timestamp” (without the “no”)</w:t>
      </w:r>
    </w:p>
    <w:p w14:paraId="5B52E1AE" w14:textId="77777777" w:rsidR="00BA2855" w:rsidRDefault="00BA2855" w:rsidP="00BA2855">
      <w:pPr>
        <w:pStyle w:val="ListParagraph"/>
        <w:numPr>
          <w:ilvl w:val="0"/>
          <w:numId w:val="49"/>
        </w:numPr>
        <w:rPr>
          <w:bCs/>
          <w:szCs w:val="22"/>
        </w:rPr>
      </w:pPr>
      <w:r>
        <w:rPr>
          <w:bCs/>
          <w:szCs w:val="22"/>
        </w:rPr>
        <w:t>Update the descriptive strings that include “valid timestamp present”, also</w:t>
      </w:r>
    </w:p>
    <w:p w14:paraId="15A8C2A1" w14:textId="77777777" w:rsidR="00BA2855" w:rsidRDefault="00BA2855" w:rsidP="00BA2855">
      <w:pPr>
        <w:rPr>
          <w:bCs/>
          <w:szCs w:val="22"/>
        </w:rPr>
      </w:pPr>
    </w:p>
    <w:p w14:paraId="063F5BFB" w14:textId="77777777" w:rsidR="00BA2855" w:rsidRDefault="00BA2855" w:rsidP="00BA2855">
      <w:pPr>
        <w:rPr>
          <w:bCs/>
          <w:szCs w:val="22"/>
        </w:rPr>
      </w:pPr>
      <w:r w:rsidRPr="00680C00">
        <w:rPr>
          <w:bCs/>
          <w:szCs w:val="22"/>
          <w:highlight w:val="green"/>
          <w:u w:val="single"/>
        </w:rPr>
        <w:lastRenderedPageBreak/>
        <w:t>Proposed Resolution:</w:t>
      </w:r>
    </w:p>
    <w:p w14:paraId="47B85638" w14:textId="77777777" w:rsidR="00BA2855" w:rsidRDefault="00BA2855" w:rsidP="00BA2855">
      <w:pPr>
        <w:rPr>
          <w:bCs/>
          <w:szCs w:val="22"/>
        </w:rPr>
      </w:pPr>
    </w:p>
    <w:p w14:paraId="05D0785E" w14:textId="77777777" w:rsidR="00BA2855" w:rsidRDefault="00BA2855" w:rsidP="00BA2855">
      <w:pPr>
        <w:rPr>
          <w:bCs/>
          <w:szCs w:val="22"/>
        </w:rPr>
      </w:pPr>
      <w:r>
        <w:rPr>
          <w:bCs/>
          <w:szCs w:val="22"/>
        </w:rPr>
        <w:t>Revised.</w:t>
      </w:r>
    </w:p>
    <w:p w14:paraId="29A64F58" w14:textId="77777777" w:rsidR="00BA2855" w:rsidRDefault="00BA2855" w:rsidP="00BA2855">
      <w:pPr>
        <w:rPr>
          <w:bCs/>
          <w:szCs w:val="22"/>
        </w:rPr>
      </w:pPr>
    </w:p>
    <w:p w14:paraId="6C3EA85A" w14:textId="77777777" w:rsidR="00BA2855" w:rsidRDefault="00BA2855" w:rsidP="00BA2855">
      <w:pPr>
        <w:rPr>
          <w:bCs/>
          <w:szCs w:val="22"/>
        </w:rPr>
      </w:pPr>
      <w:r>
        <w:rPr>
          <w:bCs/>
          <w:szCs w:val="22"/>
        </w:rPr>
        <w:t>Delete “valid” at 1618.41, as requested.</w:t>
      </w:r>
    </w:p>
    <w:p w14:paraId="3ACD662D" w14:textId="77777777" w:rsidR="00BA2855" w:rsidRDefault="00BA2855" w:rsidP="00BA2855">
      <w:pPr>
        <w:rPr>
          <w:bCs/>
          <w:szCs w:val="22"/>
        </w:rPr>
      </w:pPr>
    </w:p>
    <w:p w14:paraId="74D5B252" w14:textId="77777777" w:rsidR="00BA2855" w:rsidRDefault="00BA2855" w:rsidP="00BA2855">
      <w:pPr>
        <w:rPr>
          <w:bCs/>
          <w:szCs w:val="22"/>
        </w:rPr>
      </w:pPr>
      <w:r>
        <w:rPr>
          <w:bCs/>
          <w:szCs w:val="22"/>
        </w:rPr>
        <w:t>Replace “no valid TSF timestamp is present” with “no timestamp is present” at both P2199.63 and P2200.2.</w:t>
      </w:r>
    </w:p>
    <w:p w14:paraId="4526FC29" w14:textId="77777777" w:rsidR="00BA2855" w:rsidRDefault="00BA2855" w:rsidP="00BA2855">
      <w:pPr>
        <w:rPr>
          <w:bCs/>
          <w:szCs w:val="22"/>
        </w:rPr>
      </w:pPr>
    </w:p>
    <w:p w14:paraId="03A47ADA" w14:textId="77777777" w:rsidR="00BA2855" w:rsidRPr="000064B0" w:rsidRDefault="00BA2855" w:rsidP="00BA2855">
      <w:pPr>
        <w:rPr>
          <w:bCs/>
          <w:szCs w:val="22"/>
        </w:rPr>
      </w:pPr>
      <w:r>
        <w:rPr>
          <w:bCs/>
          <w:szCs w:val="22"/>
        </w:rPr>
        <w:t>Replace “valid TSF timestamp” with “TSF timestamp” at P1623.41, P2193.15, P2193.19, P2193.31</w:t>
      </w:r>
    </w:p>
    <w:p w14:paraId="5809BB62" w14:textId="77777777" w:rsidR="00BA2855" w:rsidRPr="000064B0" w:rsidRDefault="00BA2855" w:rsidP="00BA2855">
      <w:pPr>
        <w:rPr>
          <w:bCs/>
          <w:szCs w:val="22"/>
        </w:rPr>
      </w:pPr>
    </w:p>
    <w:p w14:paraId="086695AB" w14:textId="77777777" w:rsidR="00BA2855" w:rsidRDefault="00BA2855" w:rsidP="00BA2855">
      <w:pPr>
        <w:rPr>
          <w:bCs/>
          <w:szCs w:val="22"/>
        </w:rPr>
      </w:pPr>
      <w:r>
        <w:rPr>
          <w:bCs/>
          <w:szCs w:val="22"/>
        </w:rPr>
        <w:t>Replace:</w:t>
      </w:r>
    </w:p>
    <w:p w14:paraId="62886649" w14:textId="77777777" w:rsidR="00BA2855" w:rsidRDefault="00BA2855" w:rsidP="00BA2855">
      <w:pPr>
        <w:pStyle w:val="ListParagraph"/>
        <w:numPr>
          <w:ilvl w:val="0"/>
          <w:numId w:val="49"/>
        </w:numPr>
        <w:rPr>
          <w:bCs/>
          <w:szCs w:val="22"/>
        </w:rPr>
      </w:pPr>
      <w:r>
        <w:rPr>
          <w:bCs/>
          <w:szCs w:val="22"/>
        </w:rPr>
        <w:t>“Accept, valid timestamp present in TIM frames” with “Accept, timestamp present in TIM frames”</w:t>
      </w:r>
    </w:p>
    <w:p w14:paraId="25C8DBF5" w14:textId="77777777" w:rsidR="00BA2855" w:rsidRDefault="00BA2855" w:rsidP="00BA2855">
      <w:pPr>
        <w:pStyle w:val="ListParagraph"/>
        <w:numPr>
          <w:ilvl w:val="0"/>
          <w:numId w:val="49"/>
        </w:numPr>
        <w:rPr>
          <w:bCs/>
          <w:szCs w:val="22"/>
        </w:rPr>
      </w:pPr>
      <w:r>
        <w:rPr>
          <w:bCs/>
          <w:szCs w:val="22"/>
        </w:rPr>
        <w:t>“Overridden, valid timestamp present in TIM frames” with “Overridden, timestamp present in TIM frames”</w:t>
      </w:r>
    </w:p>
    <w:p w14:paraId="25AB0CE3" w14:textId="77777777" w:rsidR="00BA2855" w:rsidRDefault="00BA2855" w:rsidP="00BA2855">
      <w:pPr>
        <w:rPr>
          <w:bCs/>
          <w:szCs w:val="22"/>
        </w:rPr>
      </w:pPr>
      <w:r>
        <w:rPr>
          <w:bCs/>
          <w:szCs w:val="22"/>
        </w:rPr>
        <w:t>in Table 9-229, and at P1623.42, P1623.43, P2193.16, P2193.19, and P2193.28.</w:t>
      </w:r>
    </w:p>
    <w:p w14:paraId="2E1A33DD" w14:textId="77777777" w:rsidR="00BA2855" w:rsidRDefault="00BA2855" w:rsidP="00BA2855">
      <w:pPr>
        <w:rPr>
          <w:bCs/>
          <w:szCs w:val="22"/>
        </w:rPr>
      </w:pPr>
    </w:p>
    <w:p w14:paraId="3E445F21"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D0F07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6002578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4E45D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EAF0A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B1EBD4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F8C9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D9F4CF3" w14:textId="77777777" w:rsidTr="00CC5391">
        <w:trPr>
          <w:trHeight w:val="765"/>
        </w:trPr>
        <w:tc>
          <w:tcPr>
            <w:tcW w:w="738" w:type="dxa"/>
          </w:tcPr>
          <w:p w14:paraId="15A6ECBD"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3FD4D5C4"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6319A880"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6A6230B5"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w:t>
            </w:r>
            <w:proofErr w:type="spellStart"/>
            <w:r w:rsidRPr="00233EF1">
              <w:rPr>
                <w:rFonts w:ascii="Arial" w:eastAsia="Times New Roman" w:hAnsi="Arial" w:cs="Arial"/>
                <w:color w:val="000000"/>
                <w:sz w:val="20"/>
                <w:lang w:val="en-US"/>
              </w:rPr>
              <w:t>delcarative</w:t>
            </w:r>
            <w:proofErr w:type="spellEnd"/>
            <w:r w:rsidRPr="00233EF1">
              <w:rPr>
                <w:rFonts w:ascii="Arial" w:eastAsia="Times New Roman" w:hAnsi="Arial" w:cs="Arial"/>
                <w:color w:val="000000"/>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53F37368"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BA2855" w:rsidRPr="00DE7477" w14:paraId="2CEE74EA" w14:textId="77777777" w:rsidTr="00CC5391">
        <w:trPr>
          <w:trHeight w:val="765"/>
        </w:trPr>
        <w:tc>
          <w:tcPr>
            <w:tcW w:w="738" w:type="dxa"/>
          </w:tcPr>
          <w:p w14:paraId="2357DCE6" w14:textId="77777777" w:rsidR="00BA2855"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7CC21621" w14:textId="77777777" w:rsidR="00BA2855" w:rsidRPr="00233EF1"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3CD7E121" w14:textId="77777777" w:rsidR="00BA2855" w:rsidRPr="00233EF1" w:rsidRDefault="00BA2855" w:rsidP="00CC5391">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0E4939E" w14:textId="77777777" w:rsidR="00BA2855" w:rsidRPr="00AE7C3B"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1BFFEC11" w14:textId="77777777" w:rsidR="00BA2855"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44100F95" w14:textId="77777777" w:rsidR="00BA2855" w:rsidRDefault="00BA2855" w:rsidP="00CC5391">
            <w:pPr>
              <w:rPr>
                <w:rFonts w:ascii="Arial" w:eastAsia="Times New Roman" w:hAnsi="Arial" w:cs="Arial"/>
                <w:color w:val="000000"/>
                <w:sz w:val="20"/>
                <w:lang w:val="en-US"/>
              </w:rPr>
            </w:pPr>
          </w:p>
          <w:p w14:paraId="3732A4F1" w14:textId="77777777" w:rsidR="00BA2855" w:rsidRPr="00AE7C3B" w:rsidRDefault="00BA2855" w:rsidP="00CC5391">
            <w:pPr>
              <w:rPr>
                <w:rFonts w:ascii="Arial" w:eastAsia="Times New Roman" w:hAnsi="Arial" w:cs="Arial"/>
                <w:color w:val="000000"/>
                <w:sz w:val="20"/>
                <w:lang w:val="en-US"/>
              </w:rPr>
            </w:pPr>
          </w:p>
        </w:tc>
      </w:tr>
    </w:tbl>
    <w:p w14:paraId="5307F3CC" w14:textId="77777777" w:rsidR="00BA2855" w:rsidRDefault="00BA2855" w:rsidP="00BA2855">
      <w:pPr>
        <w:rPr>
          <w:bCs/>
          <w:szCs w:val="22"/>
        </w:rPr>
      </w:pPr>
    </w:p>
    <w:p w14:paraId="7320BB30" w14:textId="77777777" w:rsidR="00BA2855" w:rsidRDefault="00BA2855" w:rsidP="00BA2855">
      <w:pPr>
        <w:rPr>
          <w:bCs/>
          <w:szCs w:val="22"/>
        </w:rPr>
      </w:pPr>
      <w:r>
        <w:rPr>
          <w:bCs/>
          <w:szCs w:val="22"/>
          <w:u w:val="single"/>
        </w:rPr>
        <w:t>Discussion:</w:t>
      </w:r>
    </w:p>
    <w:p w14:paraId="49BA17B9" w14:textId="77777777" w:rsidR="00BA2855" w:rsidRDefault="00BA2855" w:rsidP="00BA2855">
      <w:pPr>
        <w:rPr>
          <w:bCs/>
          <w:szCs w:val="22"/>
        </w:rPr>
      </w:pPr>
    </w:p>
    <w:p w14:paraId="032CF4A5" w14:textId="77777777" w:rsidR="00BA2855" w:rsidRDefault="00BA2855" w:rsidP="00BA2855">
      <w:pPr>
        <w:rPr>
          <w:bCs/>
          <w:szCs w:val="22"/>
        </w:rPr>
      </w:pPr>
      <w:r>
        <w:rPr>
          <w:bCs/>
          <w:szCs w:val="22"/>
        </w:rPr>
        <w:t>CID 4780 has been discussed previously by the CRC (April 24), with the following notes:</w:t>
      </w:r>
    </w:p>
    <w:p w14:paraId="6EB208A6"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3F02B6AD" w14:textId="77777777" w:rsidR="00BA2855" w:rsidRPr="00AE7C3B" w:rsidRDefault="00BA2855" w:rsidP="00BA2855">
      <w:pPr>
        <w:ind w:left="720"/>
        <w:rPr>
          <w:rFonts w:ascii="Arial" w:eastAsia="Times New Roman" w:hAnsi="Arial" w:cs="Arial"/>
          <w:color w:val="000000"/>
          <w:sz w:val="20"/>
          <w:lang w:val="en-US"/>
        </w:rPr>
      </w:pPr>
    </w:p>
    <w:p w14:paraId="6626EAAE"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7E05FB43" w14:textId="77777777" w:rsidR="00BA2855" w:rsidRPr="00AE7C3B" w:rsidRDefault="00BA2855" w:rsidP="00BA2855">
      <w:pPr>
        <w:ind w:left="720"/>
        <w:rPr>
          <w:rFonts w:ascii="Arial" w:eastAsia="Times New Roman" w:hAnsi="Arial" w:cs="Arial"/>
          <w:color w:val="000000"/>
          <w:sz w:val="20"/>
          <w:lang w:val="en-US"/>
        </w:rPr>
      </w:pPr>
    </w:p>
    <w:p w14:paraId="46852250" w14:textId="77777777" w:rsidR="00BA2855" w:rsidRDefault="00BA2855" w:rsidP="00BA2855">
      <w:pPr>
        <w:ind w:left="720"/>
        <w:rPr>
          <w:bCs/>
          <w:szCs w:val="22"/>
        </w:rPr>
      </w:pPr>
      <w:r w:rsidRPr="00AE7C3B">
        <w:rPr>
          <w:rFonts w:ascii="Arial" w:eastAsia="Times New Roman" w:hAnsi="Arial" w:cs="Arial"/>
          <w:color w:val="000000"/>
          <w:sz w:val="20"/>
          <w:lang w:val="en-US"/>
        </w:rPr>
        <w:t>Otherwise: REJECTED. Similar to clause 4.9 which provides the reference model for the MAC and PHY, the referenced sub-clause describe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p w14:paraId="7C824355" w14:textId="77777777" w:rsidR="00BA2855" w:rsidRDefault="00BA2855" w:rsidP="00BA2855">
      <w:pPr>
        <w:rPr>
          <w:bCs/>
          <w:szCs w:val="22"/>
        </w:rPr>
      </w:pPr>
    </w:p>
    <w:p w14:paraId="2C5DFFC7" w14:textId="77777777" w:rsidR="00BA2855" w:rsidRDefault="00BA2855" w:rsidP="00BA2855">
      <w:pPr>
        <w:rPr>
          <w:bCs/>
          <w:szCs w:val="22"/>
        </w:rPr>
      </w:pPr>
      <w:r>
        <w:rPr>
          <w:bCs/>
          <w:szCs w:val="22"/>
        </w:rPr>
        <w:t>The consideration at the time for moving 4.10.3, 4.10.4 and 4.10.5 is that these subclauses are all functional models of 802.1X security behaviour/operation for the infrastructure, IBSS and PBSS architectural models, respectively, and so could be helpful in clause 12.</w:t>
      </w:r>
    </w:p>
    <w:p w14:paraId="2D2A3E59" w14:textId="77777777" w:rsidR="00BA2855" w:rsidRDefault="00BA2855" w:rsidP="00BA2855">
      <w:pPr>
        <w:rPr>
          <w:bCs/>
          <w:szCs w:val="22"/>
        </w:rPr>
      </w:pPr>
    </w:p>
    <w:p w14:paraId="48A6B9FE" w14:textId="77777777" w:rsidR="00BA2855" w:rsidRPr="00F71192" w:rsidRDefault="00BA2855" w:rsidP="00BA2855">
      <w:pPr>
        <w:rPr>
          <w:bCs/>
          <w:szCs w:val="22"/>
          <w:u w:val="single"/>
        </w:rPr>
      </w:pPr>
      <w:r w:rsidRPr="00F71192">
        <w:rPr>
          <w:bCs/>
          <w:szCs w:val="22"/>
          <w:u w:val="single"/>
        </w:rPr>
        <w:t>New discussion:</w:t>
      </w:r>
    </w:p>
    <w:p w14:paraId="3F3A2110" w14:textId="77777777" w:rsidR="00BA2855" w:rsidRDefault="00BA2855" w:rsidP="00BA2855">
      <w:pPr>
        <w:rPr>
          <w:bCs/>
          <w:szCs w:val="22"/>
        </w:rPr>
      </w:pPr>
    </w:p>
    <w:p w14:paraId="341329D8" w14:textId="77777777" w:rsidR="00BA2855" w:rsidRDefault="00BA2855" w:rsidP="00BA2855">
      <w:pPr>
        <w:rPr>
          <w:bCs/>
          <w:szCs w:val="22"/>
        </w:rPr>
      </w:pPr>
      <w:r>
        <w:rPr>
          <w:bCs/>
          <w:szCs w:val="22"/>
        </w:rPr>
        <w:t>Clause 4 is titled “General description”.  Its subclause headings are similarly general/high-level in tone:</w:t>
      </w:r>
    </w:p>
    <w:p w14:paraId="5E3924CD" w14:textId="77777777" w:rsidR="00BA2855" w:rsidRDefault="00BA2855" w:rsidP="00BA2855">
      <w:pPr>
        <w:rPr>
          <w:bCs/>
          <w:szCs w:val="22"/>
        </w:rPr>
      </w:pPr>
    </w:p>
    <w:p w14:paraId="5145A470" w14:textId="77777777" w:rsidR="00BA2855" w:rsidRPr="006E3269" w:rsidRDefault="00BA2855" w:rsidP="00BA2855">
      <w:pPr>
        <w:rPr>
          <w:bCs/>
          <w:noProof/>
          <w:szCs w:val="22"/>
          <w:bdr w:val="single" w:sz="8" w:space="0" w:color="auto" w:shadow="1"/>
        </w:rPr>
      </w:pPr>
      <w:r w:rsidRPr="006E3269">
        <w:rPr>
          <w:bCs/>
          <w:noProof/>
          <w:szCs w:val="22"/>
          <w:bdr w:val="single" w:sz="8" w:space="0" w:color="auto" w:shadow="1"/>
        </w:rPr>
        <w:lastRenderedPageBreak/>
        <w:drawing>
          <wp:inline distT="0" distB="0" distL="0" distR="0" wp14:anchorId="67E6D7EE" wp14:editId="1DF6AC0A">
            <wp:extent cx="4829175" cy="2762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14:paraId="77C23FF7" w14:textId="77777777" w:rsidR="00BA2855" w:rsidRDefault="00BA2855" w:rsidP="00BA2855">
      <w:pPr>
        <w:rPr>
          <w:bCs/>
          <w:szCs w:val="22"/>
        </w:rPr>
      </w:pPr>
    </w:p>
    <w:p w14:paraId="721CDA6B" w14:textId="77777777" w:rsidR="00BA2855" w:rsidRDefault="00BA2855" w:rsidP="00BA2855">
      <w:pPr>
        <w:rPr>
          <w:bCs/>
          <w:szCs w:val="22"/>
        </w:rPr>
      </w:pPr>
      <w:r>
        <w:rPr>
          <w:bCs/>
          <w:szCs w:val="22"/>
        </w:rPr>
        <w:t>The 802.11 Style Guide says, in 3.2, says:</w:t>
      </w:r>
    </w:p>
    <w:p w14:paraId="57F42618" w14:textId="77777777" w:rsidR="00BA2855" w:rsidRDefault="00BA2855" w:rsidP="00BA2855">
      <w:pPr>
        <w:rPr>
          <w:bCs/>
          <w:szCs w:val="22"/>
        </w:rPr>
      </w:pPr>
    </w:p>
    <w:p w14:paraId="4C663DDC" w14:textId="77777777" w:rsidR="00BA2855" w:rsidRPr="009B442E"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1B32C8A9" wp14:editId="0648CABF">
            <wp:extent cx="6067425" cy="9048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09600448" w14:textId="77777777" w:rsidR="00BA2855" w:rsidRDefault="00BA2855" w:rsidP="00BA2855">
      <w:pPr>
        <w:rPr>
          <w:bCs/>
          <w:szCs w:val="22"/>
        </w:rPr>
      </w:pPr>
    </w:p>
    <w:p w14:paraId="4390EC16" w14:textId="77777777" w:rsidR="00BA2855" w:rsidRDefault="00BA2855" w:rsidP="00BA2855">
      <w:pPr>
        <w:rPr>
          <w:bCs/>
          <w:szCs w:val="22"/>
        </w:rPr>
      </w:pPr>
      <w:r>
        <w:rPr>
          <w:bCs/>
          <w:szCs w:val="22"/>
        </w:rPr>
        <w:t>Thus, agree with the commenter that the language should be declarative, and the intent is to be largely descriptive and not detailed.</w:t>
      </w:r>
    </w:p>
    <w:p w14:paraId="29BDEF18" w14:textId="77777777" w:rsidR="00BA2855" w:rsidRDefault="00BA2855" w:rsidP="00BA2855">
      <w:pPr>
        <w:rPr>
          <w:bCs/>
          <w:szCs w:val="22"/>
        </w:rPr>
      </w:pPr>
    </w:p>
    <w:p w14:paraId="768A4328" w14:textId="77777777" w:rsidR="00BA2855" w:rsidRDefault="00BA2855" w:rsidP="00BA2855">
      <w:pPr>
        <w:rPr>
          <w:bCs/>
          <w:szCs w:val="22"/>
        </w:rPr>
      </w:pPr>
      <w:r>
        <w:rPr>
          <w:bCs/>
          <w:szCs w:val="22"/>
        </w:rPr>
        <w:t>Per the Style Guide clause 2.8, the words “shall”, “should” and “may” are normative.  There are no occurrences of shall or should in clause 4.  These occurrences of “may” exist:</w:t>
      </w:r>
    </w:p>
    <w:p w14:paraId="313F54C3" w14:textId="77777777" w:rsidR="00BA2855" w:rsidRDefault="00BA2855" w:rsidP="00BA2855">
      <w:pPr>
        <w:rPr>
          <w:bCs/>
          <w:szCs w:val="22"/>
        </w:rPr>
      </w:pPr>
    </w:p>
    <w:p w14:paraId="65A380CC" w14:textId="77777777" w:rsidR="00BA2855" w:rsidRDefault="00BA2855" w:rsidP="00BA2855">
      <w:pPr>
        <w:rPr>
          <w:bCs/>
          <w:szCs w:val="22"/>
        </w:rPr>
      </w:pPr>
      <w:r>
        <w:rPr>
          <w:bCs/>
          <w:szCs w:val="22"/>
        </w:rPr>
        <w:t>P266.48:</w:t>
      </w:r>
    </w:p>
    <w:p w14:paraId="4C9108A5"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196C293" wp14:editId="7FB35C49">
            <wp:extent cx="6400800" cy="1047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1047750"/>
                    </a:xfrm>
                    <a:prstGeom prst="rect">
                      <a:avLst/>
                    </a:prstGeom>
                    <a:noFill/>
                    <a:ln>
                      <a:noFill/>
                    </a:ln>
                  </pic:spPr>
                </pic:pic>
              </a:graphicData>
            </a:graphic>
          </wp:inline>
        </w:drawing>
      </w:r>
    </w:p>
    <w:p w14:paraId="7305896A" w14:textId="77777777" w:rsidR="00BA2855" w:rsidRDefault="00BA2855" w:rsidP="00BA2855">
      <w:pPr>
        <w:rPr>
          <w:bCs/>
          <w:szCs w:val="22"/>
        </w:rPr>
      </w:pPr>
    </w:p>
    <w:p w14:paraId="3675A1CB" w14:textId="77777777" w:rsidR="00BA2855" w:rsidRDefault="00BA2855" w:rsidP="00BA2855">
      <w:pPr>
        <w:rPr>
          <w:bCs/>
          <w:szCs w:val="22"/>
        </w:rPr>
      </w:pPr>
      <w:r>
        <w:rPr>
          <w:bCs/>
          <w:szCs w:val="22"/>
        </w:rPr>
        <w:t>The above explicitly says the filtering in question is beyond the scope of this standard.  The “may” should be a “might”.</w:t>
      </w:r>
    </w:p>
    <w:p w14:paraId="59CCAD01" w14:textId="77777777" w:rsidR="00BA2855" w:rsidRDefault="00BA2855" w:rsidP="00BA2855">
      <w:pPr>
        <w:rPr>
          <w:bCs/>
          <w:szCs w:val="22"/>
        </w:rPr>
      </w:pPr>
    </w:p>
    <w:p w14:paraId="1C15EB6A" w14:textId="77777777" w:rsidR="00BA2855" w:rsidRDefault="00BA2855" w:rsidP="00BA2855">
      <w:pPr>
        <w:rPr>
          <w:bCs/>
          <w:szCs w:val="22"/>
        </w:rPr>
      </w:pPr>
      <w:r>
        <w:rPr>
          <w:bCs/>
          <w:szCs w:val="22"/>
        </w:rPr>
        <w:t>P271.6:</w:t>
      </w:r>
    </w:p>
    <w:p w14:paraId="0FF4F224"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1EE86963" wp14:editId="551FC106">
            <wp:extent cx="6400800" cy="10763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1076325"/>
                    </a:xfrm>
                    <a:prstGeom prst="rect">
                      <a:avLst/>
                    </a:prstGeom>
                    <a:noFill/>
                    <a:ln>
                      <a:noFill/>
                    </a:ln>
                  </pic:spPr>
                </pic:pic>
              </a:graphicData>
            </a:graphic>
          </wp:inline>
        </w:drawing>
      </w:r>
    </w:p>
    <w:p w14:paraId="42F9FE22" w14:textId="77777777" w:rsidR="00BA2855" w:rsidRDefault="00BA2855" w:rsidP="00BA2855">
      <w:pPr>
        <w:rPr>
          <w:bCs/>
          <w:szCs w:val="22"/>
        </w:rPr>
      </w:pPr>
    </w:p>
    <w:p w14:paraId="0B973AE4" w14:textId="77777777" w:rsidR="00BA2855" w:rsidRDefault="00BA2855" w:rsidP="00BA2855">
      <w:pPr>
        <w:rPr>
          <w:bCs/>
          <w:szCs w:val="22"/>
        </w:rPr>
      </w:pPr>
      <w:r>
        <w:rPr>
          <w:bCs/>
          <w:szCs w:val="22"/>
        </w:rPr>
        <w:t>The above is discussing facilities within 802.11 itself.  The “may” should be a “can”, as this behaviour is defined elsewhere in the standard.</w:t>
      </w:r>
    </w:p>
    <w:p w14:paraId="43BAFCD1" w14:textId="77777777" w:rsidR="00BA2855" w:rsidRDefault="00BA2855" w:rsidP="00BA2855">
      <w:pPr>
        <w:rPr>
          <w:bCs/>
          <w:szCs w:val="22"/>
        </w:rPr>
      </w:pPr>
    </w:p>
    <w:p w14:paraId="7781BC68" w14:textId="77777777" w:rsidR="00BA2855" w:rsidRDefault="00BA2855" w:rsidP="00BA2855">
      <w:pPr>
        <w:rPr>
          <w:bCs/>
          <w:szCs w:val="22"/>
        </w:rPr>
      </w:pPr>
      <w:r>
        <w:rPr>
          <w:bCs/>
          <w:szCs w:val="22"/>
        </w:rPr>
        <w:t>P298.17:</w:t>
      </w:r>
    </w:p>
    <w:p w14:paraId="4725E3DB"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E3CD6A6" wp14:editId="3F03857B">
            <wp:extent cx="6400800" cy="1028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a:noFill/>
                    </a:ln>
                  </pic:spPr>
                </pic:pic>
              </a:graphicData>
            </a:graphic>
          </wp:inline>
        </w:drawing>
      </w:r>
    </w:p>
    <w:p w14:paraId="13A32EFD" w14:textId="77777777" w:rsidR="00BA2855" w:rsidRDefault="00BA2855" w:rsidP="00BA2855">
      <w:pPr>
        <w:rPr>
          <w:bCs/>
          <w:szCs w:val="22"/>
        </w:rPr>
      </w:pPr>
    </w:p>
    <w:p w14:paraId="764E5EFF" w14:textId="77777777" w:rsidR="00BA2855" w:rsidRDefault="00BA2855" w:rsidP="00BA2855">
      <w:pPr>
        <w:rPr>
          <w:bCs/>
          <w:szCs w:val="22"/>
        </w:rPr>
      </w:pPr>
      <w:r>
        <w:rPr>
          <w:bCs/>
          <w:szCs w:val="22"/>
        </w:rPr>
        <w:t>The above is again discussing behaviour defined elsewhere in the standard.  The “may” should be a “can” (which is consistent with the other sentences in this paragraph).</w:t>
      </w:r>
    </w:p>
    <w:p w14:paraId="379F5A98" w14:textId="77777777" w:rsidR="00BA2855" w:rsidRDefault="00BA2855" w:rsidP="00BA2855">
      <w:pPr>
        <w:rPr>
          <w:bCs/>
          <w:szCs w:val="22"/>
        </w:rPr>
      </w:pPr>
    </w:p>
    <w:p w14:paraId="776339BB" w14:textId="77777777" w:rsidR="00BA2855" w:rsidRDefault="00BA2855" w:rsidP="00BA2855">
      <w:pPr>
        <w:rPr>
          <w:bCs/>
          <w:szCs w:val="22"/>
        </w:rPr>
      </w:pPr>
    </w:p>
    <w:p w14:paraId="34AAA3D6" w14:textId="77777777" w:rsidR="00BA2855" w:rsidRDefault="00BA2855" w:rsidP="00BA2855">
      <w:pPr>
        <w:rPr>
          <w:bCs/>
          <w:szCs w:val="22"/>
        </w:rPr>
      </w:pPr>
      <w:r>
        <w:rPr>
          <w:bCs/>
          <w:szCs w:val="22"/>
        </w:rPr>
        <w:t>The commenter also complains about the use of “can” in clause 4.  The Style Guide is a bit confusing on this point.  Also in clause 2.8, it lists “can” as a “non-normative” verb.  It further goes on to talk about verbs that should appear in “informative text”.  But it also describes clause 4 as “declarative”.  So, we are left to interpret the difference/similarity between “non-normative”, “informative” and “declarative”.</w:t>
      </w:r>
    </w:p>
    <w:p w14:paraId="115C079C" w14:textId="77777777" w:rsidR="00BA2855" w:rsidRDefault="00BA2855" w:rsidP="00BA2855">
      <w:pPr>
        <w:rPr>
          <w:bCs/>
          <w:szCs w:val="22"/>
        </w:rPr>
      </w:pPr>
    </w:p>
    <w:p w14:paraId="129CAE5C" w14:textId="77777777" w:rsidR="00BA2855" w:rsidRDefault="00BA2855" w:rsidP="00BA2855">
      <w:pPr>
        <w:rPr>
          <w:bCs/>
          <w:szCs w:val="22"/>
        </w:rPr>
      </w:pPr>
      <w:r>
        <w:rPr>
          <w:bCs/>
          <w:szCs w:val="22"/>
        </w:rPr>
        <w:t>A little guidance is provided by this paragraph, just a bit later in clause 2.8 of the Style Guide:</w:t>
      </w:r>
    </w:p>
    <w:p w14:paraId="1FD9CC3A" w14:textId="77777777" w:rsidR="00BA2855" w:rsidRDefault="00BA2855" w:rsidP="00BA2855">
      <w:pPr>
        <w:rPr>
          <w:bCs/>
          <w:szCs w:val="22"/>
        </w:rPr>
      </w:pPr>
    </w:p>
    <w:p w14:paraId="017C8785" w14:textId="77777777" w:rsidR="00BA2855" w:rsidRPr="006014D7"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05249E19" wp14:editId="68D1D376">
            <wp:extent cx="6153150" cy="8667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14:paraId="2167A082" w14:textId="77777777" w:rsidR="00BA2855" w:rsidRDefault="00BA2855" w:rsidP="00BA2855">
      <w:pPr>
        <w:rPr>
          <w:bCs/>
          <w:szCs w:val="22"/>
        </w:rPr>
      </w:pPr>
    </w:p>
    <w:p w14:paraId="1F854EA1" w14:textId="77777777" w:rsidR="00BA2855" w:rsidRDefault="00BA2855" w:rsidP="00BA2855">
      <w:pPr>
        <w:rPr>
          <w:bCs/>
          <w:szCs w:val="22"/>
        </w:rPr>
      </w:pPr>
      <w:r>
        <w:rPr>
          <w:bCs/>
          <w:szCs w:val="22"/>
        </w:rPr>
        <w:t>There appear to be about 140 occurrences of “can” in clause 4.  A spot inspection indicates that most (if not all) of these are statements with normative support described elsewhere in the standard.  Thus, the usage seems to be correct and acceptable, if we consider that clause 4’s “declarative” rule supports using “non-normative” verbs.</w:t>
      </w:r>
    </w:p>
    <w:p w14:paraId="58264CB1" w14:textId="77777777" w:rsidR="00BA2855" w:rsidRDefault="00BA2855" w:rsidP="00BA2855">
      <w:pPr>
        <w:rPr>
          <w:bCs/>
          <w:szCs w:val="22"/>
        </w:rPr>
      </w:pPr>
    </w:p>
    <w:p w14:paraId="50590E76" w14:textId="77777777" w:rsidR="00BA2855" w:rsidRDefault="00BA2855" w:rsidP="00BA2855">
      <w:pPr>
        <w:rPr>
          <w:bCs/>
          <w:szCs w:val="22"/>
        </w:rPr>
      </w:pPr>
    </w:p>
    <w:p w14:paraId="038C9319" w14:textId="77777777" w:rsidR="00BA2855" w:rsidRDefault="00BA2855" w:rsidP="00BA2855">
      <w:pPr>
        <w:rPr>
          <w:bCs/>
          <w:szCs w:val="22"/>
        </w:rPr>
      </w:pPr>
      <w:r>
        <w:rPr>
          <w:bCs/>
          <w:szCs w:val="22"/>
        </w:rPr>
        <w:t>The commenters final point is about material in clause 4 that is “quite detailed”, especially in clause 4.10.  Some examples that might be what was referenced include behaviour description such as:</w:t>
      </w:r>
    </w:p>
    <w:p w14:paraId="42F3CB79" w14:textId="77777777" w:rsidR="00BA2855" w:rsidRDefault="00BA2855" w:rsidP="00BA2855">
      <w:pPr>
        <w:rPr>
          <w:bCs/>
          <w:szCs w:val="22"/>
        </w:rPr>
      </w:pPr>
    </w:p>
    <w:p w14:paraId="1DD1ACF0"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lastRenderedPageBreak/>
        <w:drawing>
          <wp:inline distT="0" distB="0" distL="0" distR="0" wp14:anchorId="54AA406A" wp14:editId="22760797">
            <wp:extent cx="6400800" cy="2447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14:paraId="0FE42DB6" w14:textId="77777777" w:rsidR="00BA2855" w:rsidRDefault="00BA2855" w:rsidP="00BA2855">
      <w:pPr>
        <w:rPr>
          <w:bCs/>
          <w:szCs w:val="22"/>
        </w:rPr>
      </w:pPr>
    </w:p>
    <w:p w14:paraId="3FBA4D46" w14:textId="77777777" w:rsidR="00BA2855" w:rsidRDefault="00BA2855" w:rsidP="00BA2855">
      <w:pPr>
        <w:rPr>
          <w:bCs/>
          <w:szCs w:val="22"/>
        </w:rPr>
      </w:pPr>
      <w:r>
        <w:rPr>
          <w:bCs/>
          <w:szCs w:val="22"/>
        </w:rPr>
        <w:t>Flow diagrams, such as:</w:t>
      </w:r>
    </w:p>
    <w:p w14:paraId="69334C12" w14:textId="77777777" w:rsidR="00BA2855"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250DE09B" wp14:editId="206E6F5B">
            <wp:extent cx="6038850" cy="3619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r>
        <w:rPr>
          <w:bCs/>
          <w:noProof/>
          <w:szCs w:val="22"/>
          <w:bdr w:val="single" w:sz="8" w:space="0" w:color="auto" w:shadow="1"/>
        </w:rPr>
        <w:t xml:space="preserve"> </w:t>
      </w:r>
    </w:p>
    <w:p w14:paraId="6FFA3FFA" w14:textId="77777777" w:rsidR="00BA2855" w:rsidRPr="000B6653" w:rsidRDefault="00BA2855" w:rsidP="00BA2855">
      <w:pPr>
        <w:rPr>
          <w:bCs/>
          <w:szCs w:val="22"/>
        </w:rPr>
      </w:pPr>
      <w:r>
        <w:rPr>
          <w:bCs/>
          <w:szCs w:val="22"/>
        </w:rPr>
        <w:t>a</w:t>
      </w:r>
      <w:r w:rsidRPr="000B6653">
        <w:rPr>
          <w:bCs/>
          <w:szCs w:val="22"/>
        </w:rPr>
        <w:t>nd</w:t>
      </w:r>
    </w:p>
    <w:p w14:paraId="6E755A2C" w14:textId="77777777" w:rsidR="00BA2855" w:rsidRPr="005B5BEE" w:rsidRDefault="00BA2855" w:rsidP="00BA2855">
      <w:pPr>
        <w:rPr>
          <w:bCs/>
          <w:noProof/>
          <w:szCs w:val="22"/>
          <w:bdr w:val="single" w:sz="8" w:space="0" w:color="auto" w:shadow="1"/>
        </w:rPr>
      </w:pPr>
      <w:r>
        <w:rPr>
          <w:bCs/>
          <w:noProof/>
          <w:szCs w:val="22"/>
          <w:bdr w:val="single" w:sz="8" w:space="0" w:color="auto" w:shadow="1"/>
        </w:rPr>
        <w:lastRenderedPageBreak/>
        <w:drawing>
          <wp:inline distT="0" distB="0" distL="0" distR="0" wp14:anchorId="47B2AFC1" wp14:editId="2D0D53B5">
            <wp:extent cx="6400800" cy="52197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271129AB" w14:textId="77777777" w:rsidR="00BA2855" w:rsidRDefault="00BA2855" w:rsidP="00BA2855">
      <w:pPr>
        <w:rPr>
          <w:bCs/>
          <w:szCs w:val="22"/>
        </w:rPr>
      </w:pPr>
    </w:p>
    <w:p w14:paraId="58785D4F" w14:textId="77777777" w:rsidR="00BA2855" w:rsidRDefault="00BA2855" w:rsidP="00BA2855">
      <w:pPr>
        <w:rPr>
          <w:bCs/>
          <w:szCs w:val="22"/>
        </w:rPr>
      </w:pPr>
      <w:r>
        <w:rPr>
          <w:bCs/>
          <w:szCs w:val="22"/>
        </w:rPr>
        <w:t>And step-by-step detailed behaviour flow such as:</w:t>
      </w:r>
    </w:p>
    <w:p w14:paraId="1CA097E3" w14:textId="77777777" w:rsidR="00BA2855" w:rsidRDefault="00BA2855" w:rsidP="00BA2855">
      <w:pPr>
        <w:rPr>
          <w:bCs/>
          <w:szCs w:val="22"/>
        </w:rPr>
      </w:pPr>
    </w:p>
    <w:p w14:paraId="57EFA06D"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7351235D" wp14:editId="0AC6941C">
            <wp:extent cx="6400800" cy="2505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2505075"/>
                    </a:xfrm>
                    <a:prstGeom prst="rect">
                      <a:avLst/>
                    </a:prstGeom>
                    <a:noFill/>
                    <a:ln>
                      <a:noFill/>
                    </a:ln>
                  </pic:spPr>
                </pic:pic>
              </a:graphicData>
            </a:graphic>
          </wp:inline>
        </w:drawing>
      </w:r>
    </w:p>
    <w:p w14:paraId="1EEA61F2" w14:textId="77777777" w:rsidR="00BA2855" w:rsidRDefault="00BA2855" w:rsidP="00BA2855">
      <w:pPr>
        <w:rPr>
          <w:bCs/>
          <w:szCs w:val="22"/>
        </w:rPr>
      </w:pPr>
    </w:p>
    <w:p w14:paraId="20BC4D6B" w14:textId="77777777" w:rsidR="00BA2855" w:rsidRDefault="00BA2855" w:rsidP="00BA2855">
      <w:pPr>
        <w:rPr>
          <w:bCs/>
          <w:szCs w:val="22"/>
        </w:rPr>
      </w:pPr>
      <w:r>
        <w:rPr>
          <w:bCs/>
          <w:szCs w:val="22"/>
        </w:rPr>
        <w:lastRenderedPageBreak/>
        <w:t>In some of these case, the behaviour being described is of the Authenticator and Supplicant.  And, the Authenticator and Supplicant are arguably outside the scope of the standard, other than general statements about their expected use and behaviour, see Figure 4-24, which shows them as aspects contained within the SME, which is similarly outside the scope of the standard other than some general requirements on expectations:</w:t>
      </w:r>
    </w:p>
    <w:p w14:paraId="72F2C6CD" w14:textId="77777777" w:rsidR="00BA2855" w:rsidRDefault="00BA2855" w:rsidP="00BA2855">
      <w:pPr>
        <w:rPr>
          <w:bCs/>
          <w:szCs w:val="22"/>
        </w:rPr>
      </w:pPr>
    </w:p>
    <w:p w14:paraId="66C1AADE" w14:textId="77777777" w:rsidR="00BA2855" w:rsidRPr="003A1141" w:rsidRDefault="00BA2855" w:rsidP="00BA2855">
      <w:pPr>
        <w:rPr>
          <w:bCs/>
          <w:noProof/>
          <w:szCs w:val="22"/>
          <w:bdr w:val="single" w:sz="8" w:space="0" w:color="auto" w:shadow="1"/>
        </w:rPr>
      </w:pPr>
      <w:r w:rsidRPr="003A1141">
        <w:rPr>
          <w:bCs/>
          <w:noProof/>
          <w:szCs w:val="22"/>
          <w:bdr w:val="single" w:sz="8" w:space="0" w:color="auto" w:shadow="1"/>
        </w:rPr>
        <w:drawing>
          <wp:inline distT="0" distB="0" distL="0" distR="0" wp14:anchorId="7F2CAA3E" wp14:editId="6F8C15F0">
            <wp:extent cx="6400800" cy="3762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2EC5055B" w14:textId="77777777" w:rsidR="00BA2855" w:rsidRDefault="00BA2855" w:rsidP="00BA2855">
      <w:pPr>
        <w:rPr>
          <w:bCs/>
          <w:szCs w:val="22"/>
        </w:rPr>
      </w:pPr>
    </w:p>
    <w:p w14:paraId="576B2D74" w14:textId="77777777" w:rsidR="00BA2855" w:rsidRDefault="00BA2855" w:rsidP="00BA2855">
      <w:pPr>
        <w:rPr>
          <w:bCs/>
          <w:szCs w:val="22"/>
        </w:rPr>
      </w:pPr>
      <w:r>
        <w:rPr>
          <w:bCs/>
          <w:szCs w:val="22"/>
        </w:rPr>
        <w:t>In other cases, the behaviour is of a STA [sic] or AP, but the behaviour is a high-level.</w:t>
      </w:r>
    </w:p>
    <w:p w14:paraId="45BB9A39" w14:textId="77777777" w:rsidR="00BA2855" w:rsidRDefault="00BA2855" w:rsidP="00BA2855">
      <w:pPr>
        <w:rPr>
          <w:bCs/>
          <w:szCs w:val="22"/>
        </w:rPr>
      </w:pPr>
    </w:p>
    <w:p w14:paraId="491869CD" w14:textId="77777777" w:rsidR="00BA2855" w:rsidRDefault="00BA2855" w:rsidP="00BA2855">
      <w:pPr>
        <w:rPr>
          <w:bCs/>
          <w:szCs w:val="22"/>
        </w:rPr>
      </w:pPr>
      <w:r>
        <w:rPr>
          <w:bCs/>
          <w:szCs w:val="22"/>
        </w:rPr>
        <w:t>So, this is a grey area judgement call if this is going beyond general description, and/or if it is appropriate elsewhere in the standard if it is discussing components outside the scope of the standard.</w:t>
      </w:r>
    </w:p>
    <w:p w14:paraId="489FC94B" w14:textId="77777777" w:rsidR="00BA2855" w:rsidRDefault="00BA2855" w:rsidP="00BA2855">
      <w:pPr>
        <w:rPr>
          <w:bCs/>
          <w:szCs w:val="22"/>
        </w:rPr>
      </w:pPr>
    </w:p>
    <w:p w14:paraId="34FA2AB2" w14:textId="77777777" w:rsidR="00BA2855" w:rsidRDefault="00BA2855" w:rsidP="00BA2855">
      <w:pPr>
        <w:rPr>
          <w:bCs/>
          <w:szCs w:val="22"/>
        </w:rPr>
      </w:pPr>
      <w:r>
        <w:rPr>
          <w:bCs/>
          <w:szCs w:val="22"/>
        </w:rPr>
        <w:t>Compare this text in clause 4 to text in clause 12.  Two things can be noted.  Clause 12 does also have behaviour that is required from the authenticator and supplicant.  So, the argument about that material in clause 4 being there because it is (arguably) beyond the scope of the standard does not stand – clearly there are required aspects of the authenticator and supplicant that are within the scope of the standard.  The other thing to notice is that clause 12 has flow diagrams very similarly “high level” to those in clause 4, for example:</w:t>
      </w:r>
    </w:p>
    <w:p w14:paraId="7C44D071" w14:textId="77777777" w:rsidR="00BA2855" w:rsidRDefault="00BA2855" w:rsidP="00BA2855">
      <w:pPr>
        <w:rPr>
          <w:bCs/>
          <w:szCs w:val="22"/>
        </w:rPr>
      </w:pPr>
    </w:p>
    <w:p w14:paraId="76FD80D3" w14:textId="77777777" w:rsidR="00BA2855" w:rsidRPr="000B6653" w:rsidRDefault="00BA2855" w:rsidP="00BA2855">
      <w:pPr>
        <w:rPr>
          <w:bCs/>
          <w:noProof/>
          <w:szCs w:val="22"/>
          <w:bdr w:val="single" w:sz="8" w:space="0" w:color="auto" w:shadow="1"/>
        </w:rPr>
      </w:pPr>
      <w:r w:rsidRPr="000B6653">
        <w:rPr>
          <w:bCs/>
          <w:noProof/>
          <w:szCs w:val="22"/>
          <w:bdr w:val="single" w:sz="8" w:space="0" w:color="auto" w:shadow="1"/>
        </w:rPr>
        <w:lastRenderedPageBreak/>
        <w:drawing>
          <wp:inline distT="0" distB="0" distL="0" distR="0" wp14:anchorId="6C329D7C" wp14:editId="6CD07D47">
            <wp:extent cx="6229350" cy="4343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14:paraId="76440F91" w14:textId="77777777" w:rsidR="00BA2855" w:rsidRDefault="00BA2855" w:rsidP="00BA2855">
      <w:pPr>
        <w:rPr>
          <w:bCs/>
          <w:szCs w:val="22"/>
        </w:rPr>
      </w:pPr>
    </w:p>
    <w:p w14:paraId="2C1623B0" w14:textId="77777777" w:rsidR="00BA2855" w:rsidRDefault="00BA2855" w:rsidP="00BA2855">
      <w:pPr>
        <w:rPr>
          <w:bCs/>
          <w:szCs w:val="22"/>
        </w:rPr>
      </w:pPr>
      <w:r>
        <w:rPr>
          <w:bCs/>
          <w:szCs w:val="22"/>
        </w:rPr>
        <w:t>In summary, the level of detail and appropriateness of the material in clause 4 versus clause 12 is a very fine line, if there is any distinction at all.</w:t>
      </w:r>
    </w:p>
    <w:p w14:paraId="6863F412" w14:textId="77777777" w:rsidR="00BA2855" w:rsidRDefault="00BA2855" w:rsidP="00BA2855">
      <w:pPr>
        <w:rPr>
          <w:bCs/>
          <w:szCs w:val="22"/>
        </w:rPr>
      </w:pPr>
    </w:p>
    <w:p w14:paraId="5D974E46" w14:textId="77777777" w:rsidR="00BA2855" w:rsidRDefault="00BA2855" w:rsidP="00BA2855">
      <w:pPr>
        <w:rPr>
          <w:bCs/>
          <w:szCs w:val="22"/>
        </w:rPr>
      </w:pPr>
      <w:r>
        <w:rPr>
          <w:bCs/>
          <w:szCs w:val="22"/>
        </w:rPr>
        <w:t>Thus, we are left to decide what is most useful to the reader:</w:t>
      </w:r>
    </w:p>
    <w:p w14:paraId="10A2B750" w14:textId="77777777" w:rsidR="00BA2855" w:rsidRDefault="00BA2855" w:rsidP="00BA2855">
      <w:pPr>
        <w:pStyle w:val="ListParagraph"/>
        <w:numPr>
          <w:ilvl w:val="0"/>
          <w:numId w:val="49"/>
        </w:numPr>
        <w:rPr>
          <w:bCs/>
          <w:szCs w:val="22"/>
        </w:rPr>
      </w:pPr>
      <w:r>
        <w:rPr>
          <w:bCs/>
          <w:szCs w:val="22"/>
        </w:rPr>
        <w:t>Move some of the questionable material in clause 4 into a later clause, and in particular move much of subclause 4.10 into clause 12.</w:t>
      </w:r>
    </w:p>
    <w:p w14:paraId="4D5F3068" w14:textId="77777777" w:rsidR="00BA2855" w:rsidRDefault="00BA2855" w:rsidP="00BA2855">
      <w:pPr>
        <w:pStyle w:val="ListParagraph"/>
        <w:numPr>
          <w:ilvl w:val="0"/>
          <w:numId w:val="49"/>
        </w:numPr>
        <w:rPr>
          <w:bCs/>
          <w:szCs w:val="22"/>
        </w:rPr>
      </w:pPr>
      <w:r>
        <w:rPr>
          <w:bCs/>
          <w:szCs w:val="22"/>
        </w:rPr>
        <w:t>Leave the 4.10 material where it is, and assume the reader needing high-level introduction to concepts will look there, while the reader needing more concrete behaviour will look in clause 12, and the line between the two is a bit fuzzy, but adequate as is.</w:t>
      </w:r>
    </w:p>
    <w:p w14:paraId="57D0F666" w14:textId="77777777" w:rsidR="00BA2855" w:rsidRDefault="00BA2855" w:rsidP="00BA2855">
      <w:pPr>
        <w:rPr>
          <w:bCs/>
          <w:szCs w:val="22"/>
        </w:rPr>
      </w:pPr>
    </w:p>
    <w:p w14:paraId="0689811F" w14:textId="77777777" w:rsidR="00BA2855" w:rsidRPr="00C851EC" w:rsidRDefault="00BA2855" w:rsidP="00BA2855">
      <w:pPr>
        <w:rPr>
          <w:b/>
          <w:szCs w:val="22"/>
        </w:rPr>
      </w:pPr>
      <w:r w:rsidRPr="00C851EC">
        <w:rPr>
          <w:b/>
          <w:szCs w:val="22"/>
        </w:rPr>
        <w:t>How often are readers who frequently use this material finding themselves flipping back to clause 4, while discussing behaviour in clause 12, or vice-versa?</w:t>
      </w:r>
    </w:p>
    <w:p w14:paraId="642B4279" w14:textId="77777777" w:rsidR="00BA2855" w:rsidRDefault="00BA2855" w:rsidP="00BA2855">
      <w:pPr>
        <w:rPr>
          <w:bCs/>
          <w:szCs w:val="22"/>
        </w:rPr>
      </w:pPr>
    </w:p>
    <w:p w14:paraId="6AA20F58" w14:textId="77777777" w:rsidR="00BA2855" w:rsidRDefault="00BA2855" w:rsidP="00BA2855">
      <w:pPr>
        <w:rPr>
          <w:bCs/>
          <w:szCs w:val="22"/>
        </w:rPr>
      </w:pPr>
    </w:p>
    <w:p w14:paraId="663398AE" w14:textId="77777777" w:rsidR="00BA2855" w:rsidRPr="00F62AC7" w:rsidRDefault="00BA2855" w:rsidP="00BA2855">
      <w:pPr>
        <w:rPr>
          <w:bCs/>
          <w:szCs w:val="22"/>
        </w:rPr>
      </w:pPr>
      <w:r>
        <w:rPr>
          <w:bCs/>
          <w:szCs w:val="22"/>
        </w:rPr>
        <w:t>For now, let’s claim this isn’t a significant problem, and the commenter was not specific about what changes would address it without causing further disruption.</w:t>
      </w:r>
    </w:p>
    <w:p w14:paraId="647532C3" w14:textId="77777777" w:rsidR="00BA2855" w:rsidRDefault="00BA2855" w:rsidP="00BA2855">
      <w:pPr>
        <w:rPr>
          <w:bCs/>
          <w:szCs w:val="22"/>
        </w:rPr>
      </w:pPr>
    </w:p>
    <w:p w14:paraId="7F293DB9" w14:textId="77777777" w:rsidR="00BA2855" w:rsidRDefault="00BA2855" w:rsidP="00BA2855">
      <w:pPr>
        <w:rPr>
          <w:bCs/>
          <w:szCs w:val="22"/>
        </w:rPr>
      </w:pPr>
      <w:r w:rsidRPr="00C851EC">
        <w:rPr>
          <w:bCs/>
          <w:szCs w:val="22"/>
          <w:highlight w:val="green"/>
          <w:u w:val="single"/>
        </w:rPr>
        <w:t>Proposed Resolution:</w:t>
      </w:r>
    </w:p>
    <w:p w14:paraId="6C31EF12" w14:textId="77777777" w:rsidR="00BA2855" w:rsidRDefault="00BA2855" w:rsidP="00BA2855">
      <w:pPr>
        <w:rPr>
          <w:bCs/>
          <w:szCs w:val="22"/>
        </w:rPr>
      </w:pPr>
    </w:p>
    <w:p w14:paraId="52AD71F6" w14:textId="77777777" w:rsidR="00BA2855" w:rsidRDefault="00BA2855" w:rsidP="00BA2855">
      <w:pPr>
        <w:rPr>
          <w:bCs/>
          <w:szCs w:val="22"/>
        </w:rPr>
      </w:pPr>
      <w:r>
        <w:rPr>
          <w:bCs/>
          <w:szCs w:val="22"/>
        </w:rPr>
        <w:t>Revised.</w:t>
      </w:r>
    </w:p>
    <w:p w14:paraId="62F9BDE9" w14:textId="77777777" w:rsidR="00BA2855" w:rsidRDefault="00BA2855" w:rsidP="00BA2855">
      <w:pPr>
        <w:rPr>
          <w:bCs/>
          <w:szCs w:val="22"/>
        </w:rPr>
      </w:pPr>
    </w:p>
    <w:p w14:paraId="21F781CB" w14:textId="77777777" w:rsidR="00BA2855" w:rsidRDefault="00BA2855" w:rsidP="00BA2855">
      <w:pPr>
        <w:rPr>
          <w:bCs/>
          <w:szCs w:val="22"/>
        </w:rPr>
      </w:pPr>
      <w:r>
        <w:rPr>
          <w:bCs/>
          <w:szCs w:val="22"/>
        </w:rPr>
        <w:t>At P266.48, replace “may” with “might”</w:t>
      </w:r>
    </w:p>
    <w:p w14:paraId="2F3AFCAC" w14:textId="77777777" w:rsidR="00BA2855" w:rsidRDefault="00BA2855" w:rsidP="00BA2855">
      <w:pPr>
        <w:rPr>
          <w:bCs/>
          <w:szCs w:val="22"/>
        </w:rPr>
      </w:pPr>
      <w:r>
        <w:rPr>
          <w:bCs/>
          <w:szCs w:val="22"/>
        </w:rPr>
        <w:t>At P271.6, replace “may” with “can”</w:t>
      </w:r>
    </w:p>
    <w:p w14:paraId="04FC279B" w14:textId="77777777" w:rsidR="00BA2855" w:rsidRDefault="00BA2855" w:rsidP="00BA2855">
      <w:pPr>
        <w:rPr>
          <w:bCs/>
          <w:szCs w:val="22"/>
        </w:rPr>
      </w:pPr>
      <w:r>
        <w:rPr>
          <w:bCs/>
          <w:szCs w:val="22"/>
        </w:rPr>
        <w:t>At P298.17, replace “may” with “can”</w:t>
      </w:r>
    </w:p>
    <w:p w14:paraId="588825F8" w14:textId="77777777" w:rsidR="00BA2855" w:rsidRDefault="00BA2855" w:rsidP="00BA2855">
      <w:pPr>
        <w:rPr>
          <w:bCs/>
          <w:szCs w:val="22"/>
        </w:rPr>
      </w:pPr>
    </w:p>
    <w:p w14:paraId="7A2591ED" w14:textId="77777777" w:rsidR="00BA2855" w:rsidRDefault="00BA2855" w:rsidP="00BA2855">
      <w:pPr>
        <w:rPr>
          <w:bCs/>
          <w:szCs w:val="22"/>
        </w:rPr>
      </w:pPr>
      <w:r>
        <w:rPr>
          <w:bCs/>
          <w:szCs w:val="22"/>
        </w:rPr>
        <w:lastRenderedPageBreak/>
        <w:t>Note to commenter: These three locations are the only occurrences of a normative verb in clause 4, so these corrections now complete clause 4 being scrubbed for normative language.  Uses of “can” are not normative, per the 802.11 Style Guide, and the CRC deemed these appropriate in clause 4 for references to normative behaviour specified elsewhere in the standard.  As for clause 4 being “quite detailed”, the CRC considered several examples of the more detailed text in clause 4, and found that while the distinction between “general description” and “detailed” is a grey line, there was consistency to what material is in, for example, subclause 4.10 versus clause 12, so no material was moved.</w:t>
      </w:r>
    </w:p>
    <w:p w14:paraId="0E5C3473" w14:textId="77777777" w:rsidR="00BA2855" w:rsidRDefault="00BA2855" w:rsidP="00BA2855">
      <w:pPr>
        <w:rPr>
          <w:bCs/>
          <w:szCs w:val="22"/>
        </w:rPr>
      </w:pPr>
    </w:p>
    <w:p w14:paraId="0254E34B"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366248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DA05A9D"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BC0EC8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33E464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71A6F0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C222E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0E94569" w14:textId="77777777" w:rsidTr="00CC5391">
        <w:trPr>
          <w:trHeight w:val="1530"/>
        </w:trPr>
        <w:tc>
          <w:tcPr>
            <w:tcW w:w="738" w:type="dxa"/>
            <w:hideMark/>
          </w:tcPr>
          <w:p w14:paraId="7393649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7885CD5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4022709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04456A4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760B0C71"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bl>
    <w:p w14:paraId="30189873" w14:textId="77777777" w:rsidR="00BA2855" w:rsidRDefault="00BA2855" w:rsidP="00BA2855">
      <w:pPr>
        <w:rPr>
          <w:bCs/>
          <w:szCs w:val="22"/>
        </w:rPr>
      </w:pPr>
    </w:p>
    <w:p w14:paraId="3A9D3C4F" w14:textId="77777777" w:rsidR="00BA2855" w:rsidRDefault="00BA2855" w:rsidP="00BA2855">
      <w:pPr>
        <w:rPr>
          <w:bCs/>
          <w:szCs w:val="22"/>
        </w:rPr>
      </w:pPr>
      <w:r>
        <w:rPr>
          <w:bCs/>
          <w:szCs w:val="22"/>
          <w:u w:val="single"/>
        </w:rPr>
        <w:t>Discussion:</w:t>
      </w:r>
    </w:p>
    <w:p w14:paraId="3D1F75F2" w14:textId="77777777" w:rsidR="00BA2855" w:rsidRDefault="00BA2855" w:rsidP="00BA2855">
      <w:pPr>
        <w:rPr>
          <w:bCs/>
          <w:szCs w:val="22"/>
        </w:rPr>
      </w:pPr>
    </w:p>
    <w:p w14:paraId="7AFC972F" w14:textId="77777777" w:rsidR="00BA2855" w:rsidRPr="00391797" w:rsidRDefault="00BA2855" w:rsidP="00BA2855">
      <w:pPr>
        <w:rPr>
          <w:bCs/>
          <w:noProof/>
          <w:szCs w:val="22"/>
          <w:bdr w:val="single" w:sz="8" w:space="0" w:color="auto" w:shadow="1"/>
        </w:rPr>
      </w:pPr>
      <w:r w:rsidRPr="00391797">
        <w:rPr>
          <w:bCs/>
          <w:noProof/>
          <w:szCs w:val="22"/>
          <w:bdr w:val="single" w:sz="8" w:space="0" w:color="auto" w:shadow="1"/>
        </w:rPr>
        <w:drawing>
          <wp:inline distT="0" distB="0" distL="0" distR="0" wp14:anchorId="156307E7" wp14:editId="1332ED2E">
            <wp:extent cx="64008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400800" cy="495300"/>
                    </a:xfrm>
                    <a:prstGeom prst="rect">
                      <a:avLst/>
                    </a:prstGeom>
                    <a:noFill/>
                    <a:ln>
                      <a:noFill/>
                    </a:ln>
                  </pic:spPr>
                </pic:pic>
              </a:graphicData>
            </a:graphic>
          </wp:inline>
        </w:drawing>
      </w:r>
    </w:p>
    <w:p w14:paraId="4740D0D9" w14:textId="77777777" w:rsidR="00BA2855" w:rsidRDefault="00BA2855" w:rsidP="00BA2855">
      <w:pPr>
        <w:rPr>
          <w:bCs/>
          <w:szCs w:val="22"/>
        </w:rPr>
      </w:pPr>
    </w:p>
    <w:p w14:paraId="1C98E888" w14:textId="77777777" w:rsidR="00BA2855" w:rsidRDefault="00BA2855" w:rsidP="00BA2855">
      <w:pPr>
        <w:rPr>
          <w:bCs/>
          <w:szCs w:val="22"/>
        </w:rPr>
      </w:pPr>
      <w:r>
        <w:rPr>
          <w:bCs/>
          <w:szCs w:val="22"/>
        </w:rPr>
        <w:t>Agree the “decimal” is unnecessary and potentially confusing.  This appears to be the only occurrence of a usage like this in the Draft.</w:t>
      </w:r>
    </w:p>
    <w:p w14:paraId="311D58C3" w14:textId="77777777" w:rsidR="00BA2855" w:rsidRDefault="00BA2855" w:rsidP="00BA2855">
      <w:pPr>
        <w:rPr>
          <w:bCs/>
          <w:szCs w:val="22"/>
        </w:rPr>
      </w:pPr>
    </w:p>
    <w:p w14:paraId="4DE302E3" w14:textId="77777777" w:rsidR="00BA2855" w:rsidRDefault="00BA2855" w:rsidP="00BA2855">
      <w:pPr>
        <w:rPr>
          <w:bCs/>
          <w:szCs w:val="22"/>
        </w:rPr>
      </w:pPr>
      <w:r w:rsidRPr="00C851EC">
        <w:rPr>
          <w:bCs/>
          <w:szCs w:val="22"/>
          <w:highlight w:val="green"/>
          <w:u w:val="single"/>
        </w:rPr>
        <w:t>Proposed Resolution</w:t>
      </w:r>
      <w:r w:rsidRPr="00C851EC">
        <w:rPr>
          <w:bCs/>
          <w:szCs w:val="22"/>
          <w:highlight w:val="green"/>
        </w:rPr>
        <w:t>:</w:t>
      </w:r>
    </w:p>
    <w:p w14:paraId="18F29456" w14:textId="77777777" w:rsidR="00BA2855" w:rsidRDefault="00BA2855" w:rsidP="00BA2855">
      <w:pPr>
        <w:rPr>
          <w:bCs/>
          <w:szCs w:val="22"/>
        </w:rPr>
      </w:pPr>
    </w:p>
    <w:p w14:paraId="2D3160DD" w14:textId="77777777" w:rsidR="00BA2855" w:rsidRPr="002E5A43" w:rsidRDefault="00BA2855" w:rsidP="00BA2855">
      <w:pPr>
        <w:rPr>
          <w:bCs/>
          <w:szCs w:val="22"/>
        </w:rPr>
      </w:pPr>
      <w:r>
        <w:rPr>
          <w:bCs/>
          <w:szCs w:val="22"/>
        </w:rPr>
        <w:t>Accepted.</w:t>
      </w:r>
    </w:p>
    <w:p w14:paraId="5A5DCBE9" w14:textId="77777777" w:rsidR="00BA2855" w:rsidRPr="00391797" w:rsidRDefault="00BA2855" w:rsidP="00BA2855">
      <w:pPr>
        <w:rPr>
          <w:bCs/>
          <w:szCs w:val="22"/>
        </w:rPr>
      </w:pPr>
    </w:p>
    <w:p w14:paraId="5B648A6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1E59AD9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B1D71D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3A4632C"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D7FA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97F0E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900CA3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C13B8E8" w14:textId="77777777" w:rsidTr="00CC5391">
        <w:trPr>
          <w:trHeight w:val="2040"/>
        </w:trPr>
        <w:tc>
          <w:tcPr>
            <w:tcW w:w="738" w:type="dxa"/>
            <w:hideMark/>
          </w:tcPr>
          <w:p w14:paraId="71645F8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32B0AACF"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3E95A409"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0DC2C92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04AAEB5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bl>
    <w:p w14:paraId="0BA974A0" w14:textId="77777777" w:rsidR="00BA2855" w:rsidRDefault="00BA2855" w:rsidP="00BA2855">
      <w:pPr>
        <w:rPr>
          <w:bCs/>
          <w:szCs w:val="22"/>
        </w:rPr>
      </w:pPr>
    </w:p>
    <w:p w14:paraId="7EEBD784" w14:textId="77777777" w:rsidR="00BA2855" w:rsidRDefault="00BA2855" w:rsidP="00BA2855">
      <w:pPr>
        <w:rPr>
          <w:bCs/>
          <w:szCs w:val="22"/>
        </w:rPr>
      </w:pPr>
      <w:r>
        <w:rPr>
          <w:bCs/>
          <w:szCs w:val="22"/>
          <w:u w:val="single"/>
        </w:rPr>
        <w:t>Discussion:</w:t>
      </w:r>
    </w:p>
    <w:p w14:paraId="38B7E867" w14:textId="77777777" w:rsidR="00BA2855" w:rsidRDefault="00BA2855" w:rsidP="00BA2855">
      <w:pPr>
        <w:rPr>
          <w:bCs/>
          <w:szCs w:val="22"/>
        </w:rPr>
      </w:pPr>
    </w:p>
    <w:p w14:paraId="025B7E3B" w14:textId="77777777" w:rsidR="00BA2855" w:rsidRDefault="00BA2855" w:rsidP="00BA2855">
      <w:pPr>
        <w:rPr>
          <w:bCs/>
          <w:szCs w:val="22"/>
        </w:rPr>
      </w:pPr>
      <w:r>
        <w:rPr>
          <w:bCs/>
          <w:szCs w:val="22"/>
        </w:rPr>
        <w:t>Context:</w:t>
      </w:r>
    </w:p>
    <w:p w14:paraId="0B064380" w14:textId="77777777" w:rsidR="00BA2855" w:rsidRDefault="00BA2855" w:rsidP="00BA2855">
      <w:pPr>
        <w:rPr>
          <w:bCs/>
          <w:szCs w:val="22"/>
        </w:rPr>
      </w:pPr>
    </w:p>
    <w:p w14:paraId="0A584379" w14:textId="77777777" w:rsidR="00BA2855" w:rsidRPr="00BA02D1" w:rsidRDefault="00BA2855" w:rsidP="00BA2855">
      <w:pPr>
        <w:rPr>
          <w:bCs/>
          <w:noProof/>
          <w:szCs w:val="22"/>
          <w:bdr w:val="single" w:sz="8" w:space="0" w:color="auto" w:shadow="1"/>
        </w:rPr>
      </w:pPr>
      <w:r w:rsidRPr="00BA02D1">
        <w:rPr>
          <w:bCs/>
          <w:noProof/>
          <w:szCs w:val="22"/>
          <w:bdr w:val="single" w:sz="8" w:space="0" w:color="auto" w:shadow="1"/>
        </w:rPr>
        <w:drawing>
          <wp:inline distT="0" distB="0" distL="0" distR="0" wp14:anchorId="23C1C365" wp14:editId="5B71D0AF">
            <wp:extent cx="64008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00800" cy="3571875"/>
                    </a:xfrm>
                    <a:prstGeom prst="rect">
                      <a:avLst/>
                    </a:prstGeom>
                    <a:noFill/>
                    <a:ln>
                      <a:noFill/>
                    </a:ln>
                  </pic:spPr>
                </pic:pic>
              </a:graphicData>
            </a:graphic>
          </wp:inline>
        </w:drawing>
      </w:r>
    </w:p>
    <w:p w14:paraId="77212561" w14:textId="77777777" w:rsidR="00BA2855" w:rsidRDefault="00BA2855" w:rsidP="00BA2855">
      <w:pPr>
        <w:rPr>
          <w:bCs/>
          <w:szCs w:val="22"/>
        </w:rPr>
      </w:pPr>
    </w:p>
    <w:p w14:paraId="4DA3E02B" w14:textId="77777777" w:rsidR="00BA2855" w:rsidRDefault="00BA2855" w:rsidP="00BA2855">
      <w:pPr>
        <w:rPr>
          <w:bCs/>
          <w:szCs w:val="22"/>
        </w:rPr>
      </w:pPr>
      <w:r>
        <w:rPr>
          <w:bCs/>
          <w:szCs w:val="22"/>
        </w:rPr>
        <w:t>From a similar comment, CID 1400:</w:t>
      </w:r>
    </w:p>
    <w:p w14:paraId="22DBB427" w14:textId="77777777" w:rsidR="00BA2855" w:rsidRDefault="00BA2855" w:rsidP="00BA2855">
      <w:pPr>
        <w:rPr>
          <w:bCs/>
          <w:szCs w:val="22"/>
        </w:rPr>
      </w:pPr>
    </w:p>
    <w:tbl>
      <w:tblPr>
        <w:tblStyle w:val="TableGrid"/>
        <w:tblW w:w="10302" w:type="dxa"/>
        <w:tblInd w:w="720" w:type="dxa"/>
        <w:tblLayout w:type="fixed"/>
        <w:tblLook w:val="04A0" w:firstRow="1" w:lastRow="0" w:firstColumn="1" w:lastColumn="0" w:noHBand="0" w:noVBand="1"/>
      </w:tblPr>
      <w:tblGrid>
        <w:gridCol w:w="738"/>
        <w:gridCol w:w="990"/>
        <w:gridCol w:w="630"/>
        <w:gridCol w:w="1080"/>
        <w:gridCol w:w="1260"/>
        <w:gridCol w:w="2880"/>
        <w:gridCol w:w="2724"/>
      </w:tblGrid>
      <w:tr w:rsidR="00BA2855" w:rsidRPr="007837C2" w14:paraId="26479A77" w14:textId="77777777" w:rsidTr="00CC5391">
        <w:trPr>
          <w:trHeight w:val="1020"/>
        </w:trPr>
        <w:tc>
          <w:tcPr>
            <w:tcW w:w="738" w:type="dxa"/>
            <w:hideMark/>
          </w:tcPr>
          <w:p w14:paraId="619B1089"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1400</w:t>
            </w:r>
          </w:p>
        </w:tc>
        <w:tc>
          <w:tcPr>
            <w:tcW w:w="990" w:type="dxa"/>
            <w:hideMark/>
          </w:tcPr>
          <w:p w14:paraId="14D645D8"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B421C6C"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32495AD7"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432EAA78" w14:textId="77777777" w:rsidR="00BA2855" w:rsidRPr="007837C2" w:rsidRDefault="00BA2855" w:rsidP="00CC5391">
            <w:pPr>
              <w:autoSpaceDE w:val="0"/>
              <w:autoSpaceDN w:val="0"/>
              <w:adjustRightInd w:val="0"/>
              <w:rPr>
                <w:rFonts w:ascii="Arial" w:hAnsi="Arial" w:cs="Arial"/>
                <w:sz w:val="20"/>
                <w:lang w:eastAsia="ja-JP" w:bidi="he-IL"/>
              </w:rPr>
            </w:pPr>
          </w:p>
        </w:tc>
        <w:tc>
          <w:tcPr>
            <w:tcW w:w="2880" w:type="dxa"/>
            <w:hideMark/>
          </w:tcPr>
          <w:p w14:paraId="704E988E"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8(n-1)+7" should be clearer as to what kind of MCS</w:t>
            </w:r>
          </w:p>
        </w:tc>
        <w:tc>
          <w:tcPr>
            <w:tcW w:w="2724" w:type="dxa"/>
            <w:hideMark/>
          </w:tcPr>
          <w:p w14:paraId="123F6D0F"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23FD7BAF" w14:textId="77777777" w:rsidR="00BA2855" w:rsidRDefault="00BA2855" w:rsidP="00BA2855">
      <w:pPr>
        <w:ind w:left="720"/>
      </w:pPr>
    </w:p>
    <w:p w14:paraId="4E7EA1BE" w14:textId="77777777" w:rsidR="00BA2855" w:rsidRPr="00FD405F" w:rsidRDefault="00BA2855" w:rsidP="00BA2855">
      <w:pPr>
        <w:ind w:left="720"/>
        <w:rPr>
          <w:u w:val="single"/>
        </w:rPr>
      </w:pPr>
      <w:r w:rsidRPr="00FD405F">
        <w:rPr>
          <w:u w:val="single"/>
        </w:rPr>
        <w:t>Discussion:</w:t>
      </w:r>
    </w:p>
    <w:p w14:paraId="6B0FE690" w14:textId="77777777" w:rsidR="00BA2855" w:rsidRDefault="00BA2855" w:rsidP="00BA2855">
      <w:pPr>
        <w:ind w:left="720"/>
      </w:pPr>
    </w:p>
    <w:p w14:paraId="5C0D1BC5" w14:textId="77777777" w:rsidR="00BA2855" w:rsidRDefault="00BA2855" w:rsidP="00BA2855">
      <w:pPr>
        <w:ind w:left="720"/>
      </w:pPr>
      <w:r>
        <w:t xml:space="preserve">Context: </w:t>
      </w:r>
    </w:p>
    <w:p w14:paraId="7DEF3F56" w14:textId="77777777" w:rsidR="00BA2855" w:rsidRPr="00BA02D1" w:rsidRDefault="00BA2855" w:rsidP="00BA2855">
      <w:pPr>
        <w:ind w:left="720"/>
        <w:rPr>
          <w:bCs/>
          <w:noProof/>
          <w:szCs w:val="22"/>
          <w:bdr w:val="single" w:sz="8" w:space="0" w:color="auto" w:shadow="1"/>
        </w:rPr>
      </w:pPr>
      <w:r w:rsidRPr="00BA02D1">
        <w:rPr>
          <w:bCs/>
          <w:noProof/>
          <w:szCs w:val="22"/>
          <w:bdr w:val="single" w:sz="8" w:space="0" w:color="auto" w:shadow="1"/>
        </w:rPr>
        <w:lastRenderedPageBreak/>
        <w:drawing>
          <wp:inline distT="0" distB="0" distL="0" distR="0" wp14:anchorId="385F9EFE" wp14:editId="476352CF">
            <wp:extent cx="5924550" cy="1118494"/>
            <wp:effectExtent l="0" t="0" r="0" b="57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55168" cy="1124274"/>
                    </a:xfrm>
                    <a:prstGeom prst="rect">
                      <a:avLst/>
                    </a:prstGeom>
                    <a:noFill/>
                    <a:ln>
                      <a:noFill/>
                    </a:ln>
                  </pic:spPr>
                </pic:pic>
              </a:graphicData>
            </a:graphic>
          </wp:inline>
        </w:drawing>
      </w:r>
    </w:p>
    <w:p w14:paraId="5E5DC039" w14:textId="77777777" w:rsidR="00BA2855" w:rsidRDefault="00BA2855" w:rsidP="00BA2855">
      <w:pPr>
        <w:ind w:left="720"/>
      </w:pPr>
    </w:p>
    <w:p w14:paraId="4DA43FD2" w14:textId="77777777" w:rsidR="00BA2855" w:rsidRDefault="00BA2855" w:rsidP="00BA2855">
      <w:pPr>
        <w:ind w:left="720"/>
      </w:pPr>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31313175" w14:textId="77777777" w:rsidR="00BA2855" w:rsidRDefault="00BA2855" w:rsidP="00BA2855">
      <w:pPr>
        <w:ind w:left="720"/>
      </w:pPr>
    </w:p>
    <w:p w14:paraId="47432AFF" w14:textId="77777777" w:rsidR="00BA2855" w:rsidRDefault="00BA2855" w:rsidP="00BA2855">
      <w:pPr>
        <w:ind w:left="720"/>
      </w:pPr>
      <w:r>
        <w:t>The use of “HT-MCS” (with the hyphen) seems to be limited to “Basic HT-MCS Set” (the fieldname), however.  The usage is “HT MCS” where the “HT” is an adjective.</w:t>
      </w:r>
    </w:p>
    <w:p w14:paraId="76D55C23" w14:textId="77777777" w:rsidR="00BA2855" w:rsidRDefault="00BA2855" w:rsidP="00BA2855">
      <w:pPr>
        <w:ind w:left="720"/>
      </w:pPr>
    </w:p>
    <w:p w14:paraId="723CB34E" w14:textId="77777777" w:rsidR="00BA2855" w:rsidRPr="004964AA" w:rsidRDefault="00BA2855" w:rsidP="00BA2855">
      <w:pPr>
        <w:ind w:left="720"/>
        <w:rPr>
          <w:u w:val="single"/>
        </w:rPr>
      </w:pPr>
      <w:r w:rsidRPr="00BA2855">
        <w:rPr>
          <w:u w:val="single"/>
        </w:rPr>
        <w:t>Proposed Resolution:</w:t>
      </w:r>
    </w:p>
    <w:p w14:paraId="1DB7BCA3" w14:textId="77777777" w:rsidR="00BA2855" w:rsidRDefault="00BA2855" w:rsidP="00BA2855">
      <w:pPr>
        <w:ind w:left="720"/>
      </w:pPr>
    </w:p>
    <w:p w14:paraId="2CCC7216" w14:textId="77777777" w:rsidR="00BA2855" w:rsidRDefault="00BA2855" w:rsidP="00BA2855">
      <w:pPr>
        <w:ind w:left="720"/>
      </w:pPr>
      <w:r>
        <w:t>Revised.  On lines 22 and 23 at the referenced page change “MCSs” to “HT MCSs”.</w:t>
      </w:r>
    </w:p>
    <w:p w14:paraId="3A418AA9" w14:textId="77777777" w:rsidR="00BA2855" w:rsidRDefault="00BA2855" w:rsidP="00BA2855">
      <w:pPr>
        <w:rPr>
          <w:bCs/>
          <w:szCs w:val="22"/>
        </w:rPr>
      </w:pPr>
    </w:p>
    <w:p w14:paraId="7F7158F8" w14:textId="77777777" w:rsidR="00BA2855" w:rsidRDefault="00BA2855" w:rsidP="00BA2855">
      <w:pPr>
        <w:rPr>
          <w:bCs/>
          <w:szCs w:val="22"/>
        </w:rPr>
      </w:pPr>
      <w:r>
        <w:rPr>
          <w:bCs/>
          <w:szCs w:val="22"/>
        </w:rPr>
        <w:t>There has been a general move to make uses of “MCS” clear as to their applicable scope, “HT-MCS”, “VHT-MCS”, etc.  Only in situations where the applicability is meant to be general, do we leave it as “MCS”.  While this almost certainly hasn’t been followed 100%, the proposed direction seems okay.  Also, the uses of “MCS” in the paragraph before Table 9-386, which have general applicability, are okay, as is.</w:t>
      </w:r>
    </w:p>
    <w:p w14:paraId="3A6F31A8" w14:textId="77777777" w:rsidR="00BA2855" w:rsidRDefault="00BA2855" w:rsidP="00BA2855">
      <w:pPr>
        <w:rPr>
          <w:bCs/>
          <w:szCs w:val="22"/>
        </w:rPr>
      </w:pPr>
    </w:p>
    <w:p w14:paraId="56D0D4C5" w14:textId="77777777" w:rsidR="00BA2855" w:rsidRDefault="00BA2855" w:rsidP="00BA2855">
      <w:pPr>
        <w:rPr>
          <w:bCs/>
          <w:szCs w:val="22"/>
        </w:rPr>
      </w:pPr>
      <w:r>
        <w:rPr>
          <w:bCs/>
          <w:szCs w:val="22"/>
        </w:rPr>
        <w:t>Also, CID 2446, in document 11-19/0838r1, corrected a number of instances of the phrase without a hyphen (such as “HT MCS”) to have the hyphen.  So, the hyphenated version is correct.</w:t>
      </w:r>
    </w:p>
    <w:p w14:paraId="247F6222" w14:textId="77777777" w:rsidR="00BA2855" w:rsidRDefault="00BA2855" w:rsidP="00BA2855">
      <w:pPr>
        <w:rPr>
          <w:bCs/>
          <w:szCs w:val="22"/>
        </w:rPr>
      </w:pPr>
    </w:p>
    <w:p w14:paraId="45E480A7" w14:textId="77777777" w:rsidR="00BA2855" w:rsidRDefault="00BA2855" w:rsidP="00BA2855">
      <w:pPr>
        <w:rPr>
          <w:bCs/>
          <w:szCs w:val="22"/>
        </w:rPr>
      </w:pPr>
      <w:r w:rsidRPr="00C851EC">
        <w:rPr>
          <w:bCs/>
          <w:szCs w:val="22"/>
          <w:highlight w:val="green"/>
          <w:u w:val="single"/>
        </w:rPr>
        <w:t>Proposed Resolution:</w:t>
      </w:r>
    </w:p>
    <w:p w14:paraId="6A285963" w14:textId="77777777" w:rsidR="00BA2855" w:rsidRDefault="00BA2855" w:rsidP="00BA2855">
      <w:pPr>
        <w:rPr>
          <w:bCs/>
          <w:szCs w:val="22"/>
        </w:rPr>
      </w:pPr>
    </w:p>
    <w:p w14:paraId="28FA1930" w14:textId="77777777" w:rsidR="00BA2855" w:rsidRDefault="00BA2855" w:rsidP="00BA2855">
      <w:pPr>
        <w:rPr>
          <w:bCs/>
          <w:szCs w:val="22"/>
        </w:rPr>
      </w:pPr>
      <w:r>
        <w:rPr>
          <w:bCs/>
          <w:szCs w:val="22"/>
        </w:rPr>
        <w:t>Accepted.</w:t>
      </w:r>
    </w:p>
    <w:p w14:paraId="1DA50155" w14:textId="77777777" w:rsidR="00BA2855" w:rsidRPr="00074D61" w:rsidRDefault="00BA2855" w:rsidP="00BA2855">
      <w:pPr>
        <w:rPr>
          <w:bCs/>
          <w:szCs w:val="22"/>
        </w:rPr>
      </w:pPr>
    </w:p>
    <w:p w14:paraId="5E30EAE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A7C2FD"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15AF7AC7"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805F14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704C64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370A6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395DF6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305DF99" w14:textId="77777777" w:rsidTr="00CC5391">
        <w:trPr>
          <w:trHeight w:val="1275"/>
        </w:trPr>
        <w:tc>
          <w:tcPr>
            <w:tcW w:w="738" w:type="dxa"/>
            <w:hideMark/>
          </w:tcPr>
          <w:p w14:paraId="69F03E92"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409D5F0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052556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1A3E2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273839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035FBB97" w14:textId="77777777" w:rsidR="00BA2855" w:rsidRDefault="00BA2855" w:rsidP="00BA2855">
      <w:pPr>
        <w:rPr>
          <w:bCs/>
          <w:szCs w:val="22"/>
        </w:rPr>
      </w:pPr>
    </w:p>
    <w:p w14:paraId="0AAC3C84" w14:textId="77777777" w:rsidR="00BA2855" w:rsidRDefault="00BA2855" w:rsidP="00BA2855">
      <w:pPr>
        <w:rPr>
          <w:bCs/>
          <w:szCs w:val="22"/>
        </w:rPr>
      </w:pPr>
      <w:r>
        <w:rPr>
          <w:bCs/>
          <w:szCs w:val="22"/>
          <w:u w:val="single"/>
        </w:rPr>
        <w:t>Discussion:</w:t>
      </w:r>
    </w:p>
    <w:p w14:paraId="0C9A5153" w14:textId="77777777" w:rsidR="00BA2855" w:rsidRDefault="00BA2855" w:rsidP="00BA2855">
      <w:pPr>
        <w:rPr>
          <w:bCs/>
          <w:szCs w:val="22"/>
        </w:rPr>
      </w:pPr>
    </w:p>
    <w:p w14:paraId="172E8791"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486CB58D" wp14:editId="0D7DC0B6">
            <wp:extent cx="6400800" cy="1457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6F1371CE" w14:textId="77777777" w:rsidR="00BA2855" w:rsidRDefault="00BA2855" w:rsidP="00BA2855">
      <w:pPr>
        <w:rPr>
          <w:bCs/>
          <w:szCs w:val="22"/>
        </w:rPr>
      </w:pPr>
    </w:p>
    <w:p w14:paraId="5801EB83"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2C56BB78" wp14:editId="1662AAA9">
            <wp:extent cx="6400800" cy="1333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CB4EE35" w14:textId="77777777" w:rsidR="00BA2855" w:rsidRDefault="00BA2855" w:rsidP="00BA2855">
      <w:pPr>
        <w:rPr>
          <w:bCs/>
          <w:szCs w:val="22"/>
        </w:rPr>
      </w:pPr>
    </w:p>
    <w:p w14:paraId="24235D7E" w14:textId="77777777" w:rsidR="00BA2855" w:rsidRDefault="00BA2855" w:rsidP="00BA2855">
      <w:pPr>
        <w:rPr>
          <w:bCs/>
          <w:szCs w:val="22"/>
        </w:rPr>
      </w:pPr>
      <w:r>
        <w:rPr>
          <w:bCs/>
          <w:szCs w:val="22"/>
        </w:rPr>
        <w:t xml:space="preserve">Agree with the comment, these should be </w:t>
      </w:r>
      <w:proofErr w:type="spellStart"/>
      <w:r>
        <w:rPr>
          <w:bCs/>
          <w:szCs w:val="22"/>
        </w:rPr>
        <w:t>lablled</w:t>
      </w:r>
      <w:proofErr w:type="spellEnd"/>
      <w:r>
        <w:rPr>
          <w:bCs/>
          <w:szCs w:val="22"/>
        </w:rPr>
        <w:t xml:space="preserve"> “B0 B1”.</w:t>
      </w:r>
    </w:p>
    <w:p w14:paraId="7BC6765F" w14:textId="77777777" w:rsidR="00BA2855" w:rsidRDefault="00BA2855" w:rsidP="00BA2855">
      <w:pPr>
        <w:rPr>
          <w:bCs/>
          <w:szCs w:val="22"/>
        </w:rPr>
      </w:pPr>
    </w:p>
    <w:p w14:paraId="07B82548" w14:textId="77777777" w:rsidR="00BA2855" w:rsidRDefault="00BA2855" w:rsidP="00BA2855">
      <w:pPr>
        <w:rPr>
          <w:bCs/>
          <w:szCs w:val="22"/>
        </w:rPr>
      </w:pPr>
      <w:r w:rsidRPr="00C851EC">
        <w:rPr>
          <w:bCs/>
          <w:szCs w:val="22"/>
          <w:highlight w:val="green"/>
          <w:u w:val="single"/>
        </w:rPr>
        <w:t>Proposed Resolution:</w:t>
      </w:r>
    </w:p>
    <w:p w14:paraId="3E7AFDEB" w14:textId="77777777" w:rsidR="00BA2855" w:rsidRDefault="00BA2855" w:rsidP="00BA2855">
      <w:pPr>
        <w:rPr>
          <w:bCs/>
          <w:szCs w:val="22"/>
        </w:rPr>
      </w:pPr>
    </w:p>
    <w:p w14:paraId="0F6BF425" w14:textId="77777777" w:rsidR="00BA2855" w:rsidRDefault="00BA2855" w:rsidP="00BA2855">
      <w:pPr>
        <w:rPr>
          <w:bCs/>
          <w:szCs w:val="22"/>
        </w:rPr>
      </w:pPr>
      <w:r>
        <w:rPr>
          <w:bCs/>
          <w:szCs w:val="22"/>
        </w:rPr>
        <w:t>Accepted.</w:t>
      </w:r>
    </w:p>
    <w:p w14:paraId="3B81E5C4" w14:textId="77777777" w:rsidR="00BA2855" w:rsidRPr="00386B9B" w:rsidRDefault="00BA2855" w:rsidP="00BA2855">
      <w:pPr>
        <w:rPr>
          <w:bCs/>
          <w:szCs w:val="22"/>
        </w:rPr>
      </w:pPr>
    </w:p>
    <w:p w14:paraId="01585E22"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9806229"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FEE3B"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0329E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6B210A"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EDF573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22075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309580C" w14:textId="77777777" w:rsidTr="00CC5391">
        <w:trPr>
          <w:trHeight w:val="2040"/>
        </w:trPr>
        <w:tc>
          <w:tcPr>
            <w:tcW w:w="738" w:type="dxa"/>
            <w:hideMark/>
          </w:tcPr>
          <w:p w14:paraId="1D42724C"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1927985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1F0B129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06D45F4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 xml:space="preserve">"Each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starts with the ID and</w:t>
            </w:r>
            <w:r w:rsidRPr="00DE7477">
              <w:rPr>
                <w:rFonts w:ascii="Arial" w:eastAsia="Times New Roman" w:hAnsi="Arial" w:cs="Arial"/>
                <w:sz w:val="20"/>
                <w:lang w:val="en-US"/>
              </w:rPr>
              <w:br/>
              <w:t xml:space="preserve">Length fields. The Length field in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the length of the contents of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duplication of the general rules for </w:t>
            </w:r>
            <w:proofErr w:type="spellStart"/>
            <w:r w:rsidRPr="00DE7477">
              <w:rPr>
                <w:rFonts w:ascii="Arial" w:eastAsia="Times New Roman" w:hAnsi="Arial" w:cs="Arial"/>
                <w:sz w:val="20"/>
                <w:lang w:val="en-US"/>
              </w:rPr>
              <w:t>subelements</w:t>
            </w:r>
            <w:proofErr w:type="spellEnd"/>
          </w:p>
        </w:tc>
        <w:tc>
          <w:tcPr>
            <w:tcW w:w="3600" w:type="dxa"/>
            <w:hideMark/>
          </w:tcPr>
          <w:p w14:paraId="1C570FE4"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2883A35F" w14:textId="77777777" w:rsidR="00BA2855" w:rsidRDefault="00BA2855" w:rsidP="00BA2855">
      <w:pPr>
        <w:rPr>
          <w:bCs/>
          <w:szCs w:val="22"/>
        </w:rPr>
      </w:pPr>
    </w:p>
    <w:p w14:paraId="5D1F3346" w14:textId="77777777" w:rsidR="00BA2855" w:rsidRDefault="00BA2855" w:rsidP="00BA2855">
      <w:pPr>
        <w:rPr>
          <w:bCs/>
          <w:szCs w:val="22"/>
        </w:rPr>
      </w:pPr>
      <w:r>
        <w:rPr>
          <w:bCs/>
          <w:szCs w:val="22"/>
          <w:u w:val="single"/>
        </w:rPr>
        <w:t>Discussion</w:t>
      </w:r>
      <w:r>
        <w:rPr>
          <w:bCs/>
          <w:szCs w:val="22"/>
        </w:rPr>
        <w:t>:</w:t>
      </w:r>
    </w:p>
    <w:p w14:paraId="10FEF460" w14:textId="77777777" w:rsidR="00BA2855" w:rsidRDefault="00BA2855" w:rsidP="00BA2855">
      <w:pPr>
        <w:rPr>
          <w:bCs/>
          <w:szCs w:val="22"/>
        </w:rPr>
      </w:pPr>
    </w:p>
    <w:p w14:paraId="1FF1C897"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6239D47B" wp14:editId="5F9970A3">
            <wp:extent cx="6400800" cy="1200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14:paraId="19A907CC" w14:textId="77777777" w:rsidR="00BA2855" w:rsidRDefault="00BA2855" w:rsidP="00BA2855">
      <w:pPr>
        <w:rPr>
          <w:bCs/>
          <w:szCs w:val="22"/>
        </w:rPr>
      </w:pPr>
    </w:p>
    <w:p w14:paraId="049CE6C5" w14:textId="77777777" w:rsidR="00BA2855" w:rsidRDefault="00BA2855" w:rsidP="00BA2855">
      <w:pPr>
        <w:rPr>
          <w:bCs/>
          <w:szCs w:val="22"/>
        </w:rPr>
      </w:pPr>
      <w:r>
        <w:rPr>
          <w:bCs/>
          <w:szCs w:val="22"/>
        </w:rPr>
        <w:t xml:space="preserve">The cited text is describing how to format </w:t>
      </w:r>
      <w:proofErr w:type="spellStart"/>
      <w:r>
        <w:rPr>
          <w:bCs/>
          <w:szCs w:val="22"/>
        </w:rPr>
        <w:t>subelements</w:t>
      </w:r>
      <w:proofErr w:type="spellEnd"/>
      <w:r>
        <w:rPr>
          <w:bCs/>
          <w:szCs w:val="22"/>
        </w:rPr>
        <w:t xml:space="preserve"> within the Key Data field of WNM Sleep Mode Response frames.</w:t>
      </w:r>
    </w:p>
    <w:p w14:paraId="124DB5E3" w14:textId="77777777" w:rsidR="00BA2855" w:rsidRDefault="00BA2855" w:rsidP="00BA2855">
      <w:pPr>
        <w:rPr>
          <w:bCs/>
          <w:szCs w:val="22"/>
        </w:rPr>
      </w:pPr>
    </w:p>
    <w:p w14:paraId="4A478049" w14:textId="77777777" w:rsidR="00BA2855" w:rsidRDefault="00BA2855" w:rsidP="00BA2855">
      <w:pPr>
        <w:rPr>
          <w:bCs/>
          <w:szCs w:val="22"/>
        </w:rPr>
      </w:pPr>
      <w:r>
        <w:rPr>
          <w:bCs/>
          <w:szCs w:val="22"/>
        </w:rPr>
        <w:t xml:space="preserve">Subclause 9.4.3 does define the general format for all </w:t>
      </w:r>
      <w:proofErr w:type="spellStart"/>
      <w:r>
        <w:rPr>
          <w:bCs/>
          <w:szCs w:val="22"/>
        </w:rPr>
        <w:t>Subelements</w:t>
      </w:r>
      <w:proofErr w:type="spellEnd"/>
      <w:r>
        <w:rPr>
          <w:bCs/>
          <w:szCs w:val="22"/>
        </w:rPr>
        <w:t>, which does include the quoted information, already.</w:t>
      </w:r>
    </w:p>
    <w:p w14:paraId="34113A8D" w14:textId="77777777" w:rsidR="00BA2855" w:rsidRDefault="00BA2855" w:rsidP="00BA2855">
      <w:pPr>
        <w:rPr>
          <w:bCs/>
          <w:szCs w:val="22"/>
        </w:rPr>
      </w:pPr>
    </w:p>
    <w:p w14:paraId="13FFF862"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1C830405" wp14:editId="693DEF62">
            <wp:extent cx="6400800" cy="2009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2009775"/>
                    </a:xfrm>
                    <a:prstGeom prst="rect">
                      <a:avLst/>
                    </a:prstGeom>
                    <a:noFill/>
                    <a:ln>
                      <a:noFill/>
                    </a:ln>
                  </pic:spPr>
                </pic:pic>
              </a:graphicData>
            </a:graphic>
          </wp:inline>
        </w:drawing>
      </w:r>
    </w:p>
    <w:p w14:paraId="5DE8942D" w14:textId="77777777" w:rsidR="00BA2855" w:rsidRDefault="00BA2855" w:rsidP="00BA2855">
      <w:pPr>
        <w:rPr>
          <w:bCs/>
          <w:szCs w:val="22"/>
        </w:rPr>
      </w:pPr>
    </w:p>
    <w:p w14:paraId="3E89749D" w14:textId="77777777" w:rsidR="00BA2855" w:rsidRDefault="00BA2855" w:rsidP="00BA2855">
      <w:pPr>
        <w:rPr>
          <w:bCs/>
          <w:szCs w:val="22"/>
        </w:rPr>
      </w:pPr>
      <w:r w:rsidRPr="00F86125">
        <w:rPr>
          <w:bCs/>
          <w:szCs w:val="22"/>
          <w:highlight w:val="green"/>
          <w:u w:val="single"/>
        </w:rPr>
        <w:t>Proposed Resolution:</w:t>
      </w:r>
    </w:p>
    <w:p w14:paraId="3A4B84F3" w14:textId="77777777" w:rsidR="00BA2855" w:rsidRDefault="00BA2855" w:rsidP="00BA2855">
      <w:pPr>
        <w:rPr>
          <w:bCs/>
          <w:szCs w:val="22"/>
        </w:rPr>
      </w:pPr>
    </w:p>
    <w:p w14:paraId="7E3836EA" w14:textId="77777777" w:rsidR="00BA2855" w:rsidRDefault="00BA2855" w:rsidP="00BA2855">
      <w:pPr>
        <w:rPr>
          <w:bCs/>
          <w:szCs w:val="22"/>
        </w:rPr>
      </w:pPr>
      <w:r>
        <w:rPr>
          <w:bCs/>
          <w:szCs w:val="22"/>
        </w:rPr>
        <w:t>Accepted.</w:t>
      </w:r>
    </w:p>
    <w:p w14:paraId="4D9FAAA4" w14:textId="77777777" w:rsidR="00BA2855" w:rsidRPr="006D672A" w:rsidRDefault="00BA2855" w:rsidP="00BA2855">
      <w:pPr>
        <w:rPr>
          <w:bCs/>
          <w:szCs w:val="22"/>
        </w:rPr>
      </w:pPr>
    </w:p>
    <w:p w14:paraId="01622455"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DCC09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1880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00D8F1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3366E2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A2DCB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E83F29"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76432665" w14:textId="77777777" w:rsidTr="00CC5391">
        <w:trPr>
          <w:trHeight w:val="765"/>
        </w:trPr>
        <w:tc>
          <w:tcPr>
            <w:tcW w:w="738" w:type="dxa"/>
            <w:hideMark/>
          </w:tcPr>
          <w:p w14:paraId="67A475A6"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2B424AE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293F70F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01DD2AF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1CC615E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924DB9E" w14:textId="77777777" w:rsidR="00BA2855" w:rsidRDefault="00BA2855" w:rsidP="00BA2855">
      <w:pPr>
        <w:rPr>
          <w:bCs/>
          <w:szCs w:val="22"/>
        </w:rPr>
      </w:pPr>
    </w:p>
    <w:p w14:paraId="6609F7AA" w14:textId="77777777" w:rsidR="00BA2855" w:rsidRDefault="00BA2855" w:rsidP="00BA2855">
      <w:pPr>
        <w:rPr>
          <w:bCs/>
          <w:szCs w:val="22"/>
        </w:rPr>
      </w:pPr>
      <w:r>
        <w:rPr>
          <w:bCs/>
          <w:szCs w:val="22"/>
          <w:u w:val="single"/>
        </w:rPr>
        <w:t>Discussion:</w:t>
      </w:r>
    </w:p>
    <w:p w14:paraId="276F2899" w14:textId="77777777" w:rsidR="00BA2855" w:rsidRDefault="00BA2855" w:rsidP="00BA2855">
      <w:pPr>
        <w:rPr>
          <w:bCs/>
          <w:szCs w:val="22"/>
        </w:rPr>
      </w:pPr>
    </w:p>
    <w:p w14:paraId="6E754860" w14:textId="77777777" w:rsidR="00BA2855" w:rsidRPr="00535155" w:rsidRDefault="00BA2855" w:rsidP="00BA2855">
      <w:pPr>
        <w:rPr>
          <w:bCs/>
          <w:noProof/>
          <w:szCs w:val="22"/>
          <w:bdr w:val="single" w:sz="8" w:space="0" w:color="auto" w:shadow="1"/>
        </w:rPr>
      </w:pPr>
      <w:r w:rsidRPr="00535155">
        <w:rPr>
          <w:bCs/>
          <w:noProof/>
          <w:szCs w:val="22"/>
          <w:bdr w:val="single" w:sz="8" w:space="0" w:color="auto" w:shadow="1"/>
        </w:rPr>
        <w:drawing>
          <wp:inline distT="0" distB="0" distL="0" distR="0" wp14:anchorId="08156BF4" wp14:editId="38DB31F4">
            <wp:extent cx="6400800" cy="695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4668011" w14:textId="77777777" w:rsidR="00BA2855" w:rsidRDefault="00BA2855" w:rsidP="00BA2855">
      <w:pPr>
        <w:rPr>
          <w:bCs/>
          <w:szCs w:val="22"/>
        </w:rPr>
      </w:pPr>
    </w:p>
    <w:p w14:paraId="0B4BC2F4" w14:textId="77777777" w:rsidR="00BA2855" w:rsidRDefault="00BA2855" w:rsidP="00BA2855">
      <w:pPr>
        <w:rPr>
          <w:bCs/>
          <w:szCs w:val="22"/>
        </w:rPr>
      </w:pPr>
      <w:r>
        <w:rPr>
          <w:bCs/>
          <w:szCs w:val="22"/>
        </w:rPr>
        <w:t>The commenter is correct.  Per 11.22.6.3, the frame is called initial Fine Timing Measurement Request frame:</w:t>
      </w:r>
    </w:p>
    <w:p w14:paraId="7482B5A6" w14:textId="77777777" w:rsidR="00BA2855" w:rsidRDefault="00BA2855" w:rsidP="00BA2855">
      <w:pPr>
        <w:rPr>
          <w:bCs/>
          <w:szCs w:val="22"/>
        </w:rPr>
      </w:pPr>
    </w:p>
    <w:p w14:paraId="557F852F" w14:textId="77777777" w:rsidR="00BA2855" w:rsidRPr="00F8428C" w:rsidRDefault="00BA2855" w:rsidP="00BA2855">
      <w:pPr>
        <w:rPr>
          <w:bCs/>
          <w:noProof/>
          <w:szCs w:val="22"/>
          <w:bdr w:val="single" w:sz="8" w:space="0" w:color="auto" w:shadow="1"/>
        </w:rPr>
      </w:pPr>
      <w:r w:rsidRPr="00F8428C">
        <w:rPr>
          <w:bCs/>
          <w:noProof/>
          <w:szCs w:val="22"/>
          <w:bdr w:val="single" w:sz="8" w:space="0" w:color="auto" w:shadow="1"/>
        </w:rPr>
        <w:drawing>
          <wp:inline distT="0" distB="0" distL="0" distR="0" wp14:anchorId="4C182DF7" wp14:editId="56A82BC7">
            <wp:extent cx="64008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885825"/>
                    </a:xfrm>
                    <a:prstGeom prst="rect">
                      <a:avLst/>
                    </a:prstGeom>
                    <a:noFill/>
                    <a:ln>
                      <a:noFill/>
                    </a:ln>
                  </pic:spPr>
                </pic:pic>
              </a:graphicData>
            </a:graphic>
          </wp:inline>
        </w:drawing>
      </w:r>
    </w:p>
    <w:p w14:paraId="18253ADC" w14:textId="77777777" w:rsidR="00BA2855" w:rsidRDefault="00BA2855" w:rsidP="00BA2855">
      <w:pPr>
        <w:rPr>
          <w:bCs/>
          <w:szCs w:val="22"/>
        </w:rPr>
      </w:pPr>
    </w:p>
    <w:p w14:paraId="674FDB24" w14:textId="77777777" w:rsidR="00BA2855" w:rsidRDefault="00BA2855" w:rsidP="00BA2855">
      <w:pPr>
        <w:rPr>
          <w:bCs/>
          <w:szCs w:val="22"/>
        </w:rPr>
      </w:pPr>
      <w:r>
        <w:rPr>
          <w:bCs/>
          <w:szCs w:val="22"/>
        </w:rPr>
        <w:t xml:space="preserve">This is the only occurrence of “initial Fine Timing Request” in the draft.  </w:t>
      </w:r>
    </w:p>
    <w:p w14:paraId="7D96F061" w14:textId="77777777" w:rsidR="00BA2855" w:rsidRDefault="00BA2855" w:rsidP="00BA2855">
      <w:pPr>
        <w:rPr>
          <w:bCs/>
          <w:szCs w:val="22"/>
        </w:rPr>
      </w:pPr>
    </w:p>
    <w:p w14:paraId="2290C68E" w14:textId="77777777" w:rsidR="00BA2855" w:rsidRDefault="00BA2855" w:rsidP="00BA2855">
      <w:pPr>
        <w:rPr>
          <w:bCs/>
          <w:szCs w:val="22"/>
        </w:rPr>
      </w:pPr>
      <w:r w:rsidRPr="00F86125">
        <w:rPr>
          <w:bCs/>
          <w:szCs w:val="22"/>
          <w:highlight w:val="green"/>
          <w:u w:val="single"/>
        </w:rPr>
        <w:t>Proposed Resolution:</w:t>
      </w:r>
    </w:p>
    <w:p w14:paraId="271DFF3E" w14:textId="77777777" w:rsidR="00BA2855" w:rsidRDefault="00BA2855" w:rsidP="00BA2855">
      <w:pPr>
        <w:rPr>
          <w:bCs/>
          <w:szCs w:val="22"/>
        </w:rPr>
      </w:pPr>
    </w:p>
    <w:p w14:paraId="44D5B634" w14:textId="77777777" w:rsidR="00BA2855" w:rsidRDefault="00BA2855" w:rsidP="00BA2855">
      <w:pPr>
        <w:rPr>
          <w:bCs/>
          <w:szCs w:val="22"/>
        </w:rPr>
      </w:pPr>
      <w:r>
        <w:rPr>
          <w:bCs/>
          <w:szCs w:val="22"/>
        </w:rPr>
        <w:t>Accepted.</w:t>
      </w:r>
    </w:p>
    <w:p w14:paraId="55BBCA12" w14:textId="77777777" w:rsidR="00BA2855" w:rsidRDefault="00BA2855" w:rsidP="00BA2855">
      <w:pPr>
        <w:rPr>
          <w:bCs/>
          <w:szCs w:val="22"/>
        </w:rPr>
      </w:pPr>
    </w:p>
    <w:p w14:paraId="70346A51" w14:textId="77777777" w:rsidR="00ED5648"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6FDC021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5DF8F7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C8F0985"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6CE58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AADED9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D81991E"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DBB13FD" w14:textId="77777777" w:rsidTr="00CC5391">
        <w:trPr>
          <w:trHeight w:val="765"/>
        </w:trPr>
        <w:tc>
          <w:tcPr>
            <w:tcW w:w="738" w:type="dxa"/>
            <w:hideMark/>
          </w:tcPr>
          <w:p w14:paraId="664A1A3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43DD217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155A0935"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3A1FFF7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78981719"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bl>
    <w:p w14:paraId="0CFABF22" w14:textId="77777777" w:rsidR="00ED5648" w:rsidRDefault="00ED5648" w:rsidP="00ED5648">
      <w:pPr>
        <w:rPr>
          <w:bCs/>
          <w:szCs w:val="22"/>
        </w:rPr>
      </w:pPr>
    </w:p>
    <w:p w14:paraId="0A833653" w14:textId="77777777" w:rsidR="00ED5648" w:rsidRDefault="00ED5648" w:rsidP="00ED5648">
      <w:pPr>
        <w:rPr>
          <w:bCs/>
          <w:szCs w:val="22"/>
          <w:u w:val="single"/>
        </w:rPr>
      </w:pPr>
      <w:r>
        <w:rPr>
          <w:bCs/>
          <w:szCs w:val="22"/>
          <w:u w:val="single"/>
        </w:rPr>
        <w:t>Discussion:</w:t>
      </w:r>
    </w:p>
    <w:p w14:paraId="66C7BFC1" w14:textId="77777777" w:rsidR="00ED5648" w:rsidRPr="00793AB9" w:rsidRDefault="00ED5648" w:rsidP="00ED5648">
      <w:pPr>
        <w:rPr>
          <w:bCs/>
          <w:szCs w:val="22"/>
        </w:rPr>
      </w:pPr>
    </w:p>
    <w:p w14:paraId="18143265" w14:textId="77777777" w:rsidR="00ED5648" w:rsidRPr="00793AB9" w:rsidRDefault="00ED5648" w:rsidP="00ED5648">
      <w:pPr>
        <w:rPr>
          <w:bCs/>
          <w:noProof/>
          <w:szCs w:val="22"/>
          <w:bdr w:val="single" w:sz="8" w:space="0" w:color="auto" w:shadow="1"/>
        </w:rPr>
      </w:pPr>
      <w:r w:rsidRPr="00793AB9">
        <w:rPr>
          <w:bCs/>
          <w:noProof/>
          <w:szCs w:val="22"/>
          <w:bdr w:val="single" w:sz="8" w:space="0" w:color="auto" w:shadow="1"/>
        </w:rPr>
        <w:drawing>
          <wp:inline distT="0" distB="0" distL="0" distR="0" wp14:anchorId="41ACFF1B" wp14:editId="24C373D2">
            <wp:extent cx="6400800" cy="342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59DE1A04" w14:textId="77777777" w:rsidR="00ED5648" w:rsidRDefault="00ED5648" w:rsidP="00ED5648">
      <w:pPr>
        <w:rPr>
          <w:bCs/>
          <w:szCs w:val="22"/>
        </w:rPr>
      </w:pPr>
    </w:p>
    <w:p w14:paraId="3898F6AD" w14:textId="77777777" w:rsidR="00ED5648" w:rsidRDefault="00ED5648" w:rsidP="00ED5648">
      <w:pPr>
        <w:rPr>
          <w:bCs/>
          <w:szCs w:val="22"/>
        </w:rPr>
      </w:pPr>
      <w:r>
        <w:rPr>
          <w:bCs/>
          <w:szCs w:val="22"/>
        </w:rPr>
        <w:t>Similar, and related to the comments above, the commenter is correct, the field is called the Fine Timing Measurement Parameters field (within the Fine Timing Measurement Parameters element), per 9.4.2.167:</w:t>
      </w:r>
    </w:p>
    <w:p w14:paraId="5F3C21EA" w14:textId="77777777" w:rsidR="00ED5648" w:rsidRDefault="00ED5648" w:rsidP="00ED5648">
      <w:pPr>
        <w:rPr>
          <w:bCs/>
          <w:szCs w:val="22"/>
        </w:rPr>
      </w:pPr>
    </w:p>
    <w:p w14:paraId="20EDEA66" w14:textId="77777777" w:rsidR="00ED5648" w:rsidRPr="008B3A60" w:rsidRDefault="00ED5648" w:rsidP="00ED5648">
      <w:pPr>
        <w:rPr>
          <w:bCs/>
          <w:noProof/>
          <w:szCs w:val="22"/>
          <w:bdr w:val="single" w:sz="8" w:space="0" w:color="auto" w:shadow="1"/>
        </w:rPr>
      </w:pPr>
      <w:r w:rsidRPr="008B3A60">
        <w:rPr>
          <w:bCs/>
          <w:noProof/>
          <w:szCs w:val="22"/>
          <w:bdr w:val="single" w:sz="8" w:space="0" w:color="auto" w:shadow="1"/>
        </w:rPr>
        <w:drawing>
          <wp:inline distT="0" distB="0" distL="0" distR="0" wp14:anchorId="793EFDED" wp14:editId="00A0679C">
            <wp:extent cx="6400800" cy="971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00800" cy="971550"/>
                    </a:xfrm>
                    <a:prstGeom prst="rect">
                      <a:avLst/>
                    </a:prstGeom>
                    <a:noFill/>
                    <a:ln>
                      <a:noFill/>
                    </a:ln>
                  </pic:spPr>
                </pic:pic>
              </a:graphicData>
            </a:graphic>
          </wp:inline>
        </w:drawing>
      </w:r>
    </w:p>
    <w:p w14:paraId="6245FD1B" w14:textId="77777777" w:rsidR="00ED5648" w:rsidRDefault="00ED5648" w:rsidP="00ED5648">
      <w:pPr>
        <w:rPr>
          <w:bCs/>
          <w:szCs w:val="22"/>
        </w:rPr>
      </w:pPr>
    </w:p>
    <w:p w14:paraId="320BDB89" w14:textId="77777777" w:rsidR="00ED5648" w:rsidRDefault="00ED5648" w:rsidP="00ED5648">
      <w:pPr>
        <w:rPr>
          <w:bCs/>
          <w:szCs w:val="22"/>
        </w:rPr>
      </w:pPr>
      <w:r w:rsidRPr="00637500">
        <w:rPr>
          <w:bCs/>
          <w:noProof/>
          <w:szCs w:val="22"/>
          <w:bdr w:val="single" w:sz="8" w:space="0" w:color="auto" w:shadow="1"/>
        </w:rPr>
        <w:drawing>
          <wp:inline distT="0" distB="0" distL="0" distR="0" wp14:anchorId="24B37E8D" wp14:editId="150AA784">
            <wp:extent cx="6400800" cy="2819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BF1F1BC" w14:textId="77777777" w:rsidR="00ED5648" w:rsidRDefault="00ED5648" w:rsidP="00ED5648">
      <w:pPr>
        <w:rPr>
          <w:bCs/>
          <w:szCs w:val="22"/>
        </w:rPr>
      </w:pPr>
    </w:p>
    <w:p w14:paraId="5BD38067" w14:textId="77777777" w:rsidR="00ED5648" w:rsidRDefault="00ED5648" w:rsidP="00ED5648">
      <w:pPr>
        <w:rPr>
          <w:bCs/>
          <w:szCs w:val="22"/>
        </w:rPr>
      </w:pPr>
      <w:r w:rsidRPr="00A1330B">
        <w:rPr>
          <w:bCs/>
          <w:szCs w:val="22"/>
          <w:highlight w:val="green"/>
          <w:u w:val="single"/>
        </w:rPr>
        <w:t>Proposed Resolution:</w:t>
      </w:r>
    </w:p>
    <w:p w14:paraId="5BF1D7B7" w14:textId="77777777" w:rsidR="00ED5648" w:rsidRDefault="00ED5648" w:rsidP="00ED5648">
      <w:pPr>
        <w:rPr>
          <w:bCs/>
          <w:szCs w:val="22"/>
        </w:rPr>
      </w:pPr>
    </w:p>
    <w:p w14:paraId="67ED81B0" w14:textId="77777777" w:rsidR="00ED5648" w:rsidRDefault="00ED5648" w:rsidP="00ED5648">
      <w:pPr>
        <w:rPr>
          <w:bCs/>
          <w:szCs w:val="22"/>
        </w:rPr>
      </w:pPr>
      <w:r>
        <w:rPr>
          <w:bCs/>
          <w:szCs w:val="22"/>
        </w:rPr>
        <w:t>Accepted.</w:t>
      </w:r>
    </w:p>
    <w:p w14:paraId="1D952098" w14:textId="77777777" w:rsidR="00ED5648" w:rsidRPr="008B3A60" w:rsidRDefault="00ED5648" w:rsidP="00ED5648">
      <w:pPr>
        <w:rPr>
          <w:bCs/>
          <w:szCs w:val="22"/>
        </w:rPr>
      </w:pPr>
    </w:p>
    <w:p w14:paraId="7D103105" w14:textId="77777777" w:rsidR="00ED5648" w:rsidRPr="00793AB9" w:rsidRDefault="00ED5648" w:rsidP="00ED5648">
      <w:pPr>
        <w:rPr>
          <w:bCs/>
          <w:szCs w:val="22"/>
        </w:rPr>
      </w:pPr>
      <w:r w:rsidRPr="00793AB9">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565F6E7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F4300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2D9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B54BD9"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52BAFC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441D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0858BA6" w14:textId="77777777" w:rsidTr="00CC5391">
        <w:trPr>
          <w:trHeight w:val="765"/>
        </w:trPr>
        <w:tc>
          <w:tcPr>
            <w:tcW w:w="738" w:type="dxa"/>
            <w:hideMark/>
          </w:tcPr>
          <w:p w14:paraId="261D811B"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54EEB34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460E67D"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477239F"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99E7F47"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bl>
    <w:p w14:paraId="4E4B5CBC" w14:textId="77777777" w:rsidR="00ED5648" w:rsidRDefault="00ED5648" w:rsidP="00ED5648">
      <w:pPr>
        <w:rPr>
          <w:bCs/>
          <w:szCs w:val="22"/>
        </w:rPr>
      </w:pPr>
    </w:p>
    <w:p w14:paraId="3C3174D5" w14:textId="77777777" w:rsidR="00ED5648" w:rsidRDefault="00ED5648" w:rsidP="00ED5648">
      <w:pPr>
        <w:rPr>
          <w:bCs/>
          <w:szCs w:val="22"/>
        </w:rPr>
      </w:pPr>
      <w:r>
        <w:rPr>
          <w:bCs/>
          <w:szCs w:val="22"/>
          <w:u w:val="single"/>
        </w:rPr>
        <w:t>Discussion:</w:t>
      </w:r>
    </w:p>
    <w:p w14:paraId="505BF5BB" w14:textId="77777777" w:rsidR="00ED5648" w:rsidRDefault="00ED5648" w:rsidP="00ED5648">
      <w:pPr>
        <w:rPr>
          <w:bCs/>
          <w:szCs w:val="22"/>
        </w:rPr>
      </w:pPr>
    </w:p>
    <w:p w14:paraId="72EEE56A" w14:textId="77777777" w:rsidR="00ED5648" w:rsidRDefault="00ED5648" w:rsidP="00ED5648">
      <w:pPr>
        <w:rPr>
          <w:bCs/>
          <w:szCs w:val="22"/>
        </w:rPr>
      </w:pPr>
      <w:r>
        <w:rPr>
          <w:bCs/>
          <w:szCs w:val="22"/>
        </w:rPr>
        <w:t>This is actually a “duplicate” comment to CID 4488, which has already been discussed and agreed:</w:t>
      </w:r>
    </w:p>
    <w:p w14:paraId="51E41595" w14:textId="77777777" w:rsidR="00ED5648" w:rsidRDefault="00ED5648" w:rsidP="00ED564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45B198E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CDB8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C1FBC0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87DA33A"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6EBA882"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AC6528"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51E9027F" w14:textId="77777777" w:rsidTr="00CC5391">
        <w:trPr>
          <w:trHeight w:val="765"/>
        </w:trPr>
        <w:tc>
          <w:tcPr>
            <w:tcW w:w="738" w:type="dxa"/>
            <w:hideMark/>
          </w:tcPr>
          <w:p w14:paraId="4942D86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24752AD5"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DF8FC6E"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3F8D3A4"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4BDBFF9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73119647" w14:textId="77777777" w:rsidR="00ED5648" w:rsidRDefault="00ED5648" w:rsidP="00ED5648">
      <w:pPr>
        <w:rPr>
          <w:bCs/>
          <w:szCs w:val="22"/>
        </w:rPr>
      </w:pPr>
    </w:p>
    <w:p w14:paraId="04BF2153" w14:textId="77777777" w:rsidR="00ED5648" w:rsidRDefault="00ED5648" w:rsidP="00ED5648">
      <w:pPr>
        <w:rPr>
          <w:bCs/>
          <w:szCs w:val="22"/>
        </w:rPr>
      </w:pPr>
      <w:r w:rsidRPr="00793AB9">
        <w:rPr>
          <w:bCs/>
          <w:szCs w:val="22"/>
          <w:u w:val="single"/>
        </w:rPr>
        <w:t>Proposed Resolution (to CID 4488):</w:t>
      </w:r>
    </w:p>
    <w:p w14:paraId="336E26A0" w14:textId="77777777" w:rsidR="00ED5648" w:rsidRDefault="00ED5648" w:rsidP="00ED5648">
      <w:pPr>
        <w:rPr>
          <w:bCs/>
          <w:szCs w:val="22"/>
        </w:rPr>
      </w:pPr>
    </w:p>
    <w:p w14:paraId="23CC87D1" w14:textId="77777777" w:rsidR="00ED5648" w:rsidRPr="00675F01" w:rsidRDefault="00ED5648" w:rsidP="00ED5648">
      <w:pPr>
        <w:rPr>
          <w:bCs/>
          <w:szCs w:val="22"/>
        </w:rPr>
      </w:pPr>
      <w:r>
        <w:rPr>
          <w:bCs/>
          <w:szCs w:val="22"/>
        </w:rPr>
        <w:t>Revised.  Change each “Remaining BI field” (singular) in the cited paragraph to “Handover Remaining BI field”.</w:t>
      </w:r>
    </w:p>
    <w:p w14:paraId="78831F89" w14:textId="77777777" w:rsidR="00ED5648" w:rsidRPr="00354B32" w:rsidRDefault="00ED5648" w:rsidP="00ED5648">
      <w:pPr>
        <w:rPr>
          <w:bCs/>
          <w:szCs w:val="22"/>
        </w:rPr>
      </w:pPr>
    </w:p>
    <w:p w14:paraId="595DB6F7" w14:textId="77777777" w:rsidR="00ED5648" w:rsidRPr="00793AB9" w:rsidRDefault="00ED5648" w:rsidP="00ED5648">
      <w:pPr>
        <w:rPr>
          <w:bCs/>
          <w:szCs w:val="22"/>
        </w:rPr>
      </w:pPr>
      <w:r>
        <w:rPr>
          <w:bCs/>
          <w:szCs w:val="22"/>
        </w:rPr>
        <w:t xml:space="preserve">Thus, the group ended up agreeing with the Proposed Change from CID 4489, without looking at it.  It’s nice when a plan comes together! </w:t>
      </w:r>
      <w:r w:rsidRPr="00793AB9">
        <w:rPr>
          <w:rFonts w:ascii="Segoe UI Emoji" w:hAnsi="Segoe UI Emoji" w:cs="Segoe UI Emoji"/>
          <w:bCs/>
          <w:szCs w:val="22"/>
        </w:rPr>
        <w:t>😊</w:t>
      </w:r>
    </w:p>
    <w:p w14:paraId="7B4106A8" w14:textId="77777777" w:rsidR="00ED5648" w:rsidRPr="00793AB9" w:rsidRDefault="00ED5648" w:rsidP="00ED5648">
      <w:pPr>
        <w:rPr>
          <w:bCs/>
          <w:szCs w:val="22"/>
        </w:rPr>
      </w:pPr>
    </w:p>
    <w:p w14:paraId="08A94E93" w14:textId="77777777" w:rsidR="00ED5648" w:rsidRPr="00793AB9" w:rsidRDefault="00ED5648" w:rsidP="00ED5648">
      <w:pPr>
        <w:rPr>
          <w:bCs/>
          <w:szCs w:val="22"/>
        </w:rPr>
      </w:pPr>
      <w:r w:rsidRPr="00A1330B">
        <w:rPr>
          <w:bCs/>
          <w:szCs w:val="22"/>
          <w:highlight w:val="green"/>
        </w:rPr>
        <w:t>Proposed Resolution (for CID 4489):</w:t>
      </w:r>
    </w:p>
    <w:p w14:paraId="62381479" w14:textId="77777777" w:rsidR="00ED5648" w:rsidRPr="00793AB9" w:rsidRDefault="00ED5648" w:rsidP="00ED5648">
      <w:pPr>
        <w:rPr>
          <w:bCs/>
          <w:szCs w:val="22"/>
        </w:rPr>
      </w:pPr>
    </w:p>
    <w:p w14:paraId="1C765334" w14:textId="77777777" w:rsidR="00ED5648" w:rsidRDefault="00ED5648" w:rsidP="00ED5648">
      <w:pPr>
        <w:rPr>
          <w:bCs/>
          <w:szCs w:val="22"/>
        </w:rPr>
      </w:pPr>
      <w:r w:rsidRPr="00793AB9">
        <w:rPr>
          <w:bCs/>
          <w:szCs w:val="22"/>
        </w:rPr>
        <w:t>Accepted.</w:t>
      </w:r>
    </w:p>
    <w:p w14:paraId="0262C54A" w14:textId="77777777" w:rsidR="00ED5648" w:rsidRPr="00793AB9" w:rsidRDefault="00ED5648" w:rsidP="00ED5648">
      <w:pPr>
        <w:rPr>
          <w:bCs/>
          <w:szCs w:val="22"/>
        </w:rPr>
      </w:pPr>
    </w:p>
    <w:p w14:paraId="223761BB" w14:textId="77777777" w:rsidR="00ED5648" w:rsidRDefault="00ED5648" w:rsidP="00ED5648">
      <w:pPr>
        <w:rPr>
          <w:bCs/>
          <w:szCs w:val="22"/>
        </w:rPr>
      </w:pPr>
      <w:r>
        <w:rPr>
          <w:bCs/>
          <w:szCs w:val="22"/>
        </w:rPr>
        <w:br w:type="page"/>
      </w:r>
    </w:p>
    <w:p w14:paraId="78BD676B" w14:textId="3300039E" w:rsidR="002C154C" w:rsidRDefault="002C154C" w:rsidP="00B700E1"/>
    <w:sectPr w:rsidR="002C154C" w:rsidSect="009E579C">
      <w:headerReference w:type="default" r:id="rId211"/>
      <w:footerReference w:type="default" r:id="rId212"/>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Hamilton, Mark" w:date="2020-06-17T14:19:00Z" w:initials="HM">
    <w:p w14:paraId="5C91E6A0" w14:textId="77777777" w:rsidR="00CC5391" w:rsidRDefault="00CC5391" w:rsidP="001004CD">
      <w:pPr>
        <w:pStyle w:val="CommentText"/>
      </w:pPr>
      <w:r>
        <w:rPr>
          <w:rStyle w:val="CommentReference"/>
        </w:rPr>
        <w:annotationRef/>
      </w:r>
      <w:r>
        <w:t>Should it be 1 invocation with 3 params, or 3 invocations?</w:t>
      </w:r>
    </w:p>
  </w:comment>
  <w:comment w:id="4" w:author="Hamilton, Mark" w:date="2020-06-25T19:08:00Z" w:initials="HM">
    <w:p w14:paraId="020C047D" w14:textId="77777777" w:rsidR="00CC5391" w:rsidRDefault="00CC5391">
      <w:pPr>
        <w:pStyle w:val="CommentText"/>
      </w:pPr>
      <w:r>
        <w:rPr>
          <w:rStyle w:val="CommentReference"/>
        </w:rPr>
        <w:annotationRef/>
      </w:r>
      <w:r>
        <w:t>Per 12.7.2(j) (D3.0, P2656.54), the Key Data field in an EAPOL-KEY frame may contain zero or more KDEs, and per following text, each KDE has one wrapped key.</w:t>
      </w:r>
    </w:p>
    <w:p w14:paraId="17D7DE8E" w14:textId="77777777" w:rsidR="00CC5391" w:rsidRDefault="00CC5391">
      <w:pPr>
        <w:pStyle w:val="CommentText"/>
      </w:pPr>
    </w:p>
    <w:p w14:paraId="781DBA5B" w14:textId="08331CE6" w:rsidR="00CC5391" w:rsidRDefault="00CC5391">
      <w:pPr>
        <w:pStyle w:val="CommentText"/>
      </w:pPr>
      <w:r>
        <w:t>How to show this is the (very)pseudo flow diagrams is not obvious.</w:t>
      </w:r>
    </w:p>
  </w:comment>
  <w:comment w:id="5" w:author="Hamilton, Mark" w:date="2020-06-17T14:19:00Z" w:initials="HM">
    <w:p w14:paraId="644975AB" w14:textId="77777777" w:rsidR="00CC5391" w:rsidRDefault="00CC5391" w:rsidP="001004CD">
      <w:pPr>
        <w:pStyle w:val="CommentText"/>
      </w:pPr>
      <w:r>
        <w:rPr>
          <w:rStyle w:val="CommentReference"/>
        </w:rPr>
        <w:annotationRef/>
      </w:r>
      <w:r>
        <w:t>Where is this specified?</w:t>
      </w:r>
    </w:p>
  </w:comment>
  <w:comment w:id="6" w:author="Hamilton, Mark" w:date="2020-06-25T19:05:00Z" w:initials="HM">
    <w:p w14:paraId="75659C0D" w14:textId="1B35C044" w:rsidR="00CC5391" w:rsidRDefault="00CC5391" w:rsidP="001004CD">
      <w:pPr>
        <w:autoSpaceDE w:val="0"/>
        <w:autoSpaceDN w:val="0"/>
        <w:adjustRightInd w:val="0"/>
      </w:pPr>
      <w:r>
        <w:rPr>
          <w:rStyle w:val="CommentReference"/>
        </w:rPr>
        <w:annotationRef/>
      </w:r>
      <w:r>
        <w:t>In 12.7.2 (D3.0, P2657.51): “</w:t>
      </w:r>
      <w:r>
        <w:rPr>
          <w:rFonts w:ascii="TimesNewRomanPSMT" w:eastAsia="TimesNewRomanPSMT" w:cs="TimesNewRomanPSMT"/>
          <w:sz w:val="20"/>
          <w:lang w:val="en-US" w:eastAsia="ja-JP"/>
        </w:rPr>
        <w:t>If the Key Data field uses the NIST AES key wrap, then the Key Data field shall be padded before encrypting if the key data length is less than 16 octets or if it is not a multiple of 8.</w:t>
      </w:r>
      <w:r>
        <w:t>”</w:t>
      </w:r>
    </w:p>
  </w:comment>
  <w:comment w:id="7" w:author="Hamilton, Mark" w:date="2020-06-17T14:20:00Z" w:initials="HM">
    <w:p w14:paraId="71341063" w14:textId="77777777" w:rsidR="00CC5391" w:rsidRDefault="00CC5391" w:rsidP="001004CD">
      <w:pPr>
        <w:pStyle w:val="CommentText"/>
      </w:pPr>
      <w:r>
        <w:rPr>
          <w:rStyle w:val="CommentReference"/>
        </w:rPr>
        <w:annotationRef/>
      </w:r>
      <w:r>
        <w:t>Do we ever use _both_?</w:t>
      </w:r>
    </w:p>
  </w:comment>
  <w:comment w:id="10" w:author="Mark Rison" w:date="2020-02-17T16:36:00Z" w:initials="MR">
    <w:p w14:paraId="3DE650A7" w14:textId="77777777" w:rsidR="00CC5391" w:rsidRDefault="00CC5391" w:rsidP="00F040EF">
      <w:pPr>
        <w:pStyle w:val="CommentText"/>
      </w:pPr>
      <w:r>
        <w:rPr>
          <w:rStyle w:val="CommentReference"/>
        </w:rPr>
        <w:annotationRef/>
      </w:r>
      <w:r>
        <w:t>Consider changing to “at”</w:t>
      </w:r>
    </w:p>
  </w:comment>
  <w:comment w:id="11" w:author="Graham Smith" w:date="2020-02-20T15:43:00Z" w:initials="GS">
    <w:p w14:paraId="47B0E1D2" w14:textId="77777777" w:rsidR="00CC5391" w:rsidRDefault="00CC5391" w:rsidP="00F040EF">
      <w:pPr>
        <w:pStyle w:val="CommentText"/>
      </w:pPr>
      <w:r>
        <w:rPr>
          <w:rStyle w:val="CommentReference"/>
        </w:rPr>
        <w:annotationRef/>
      </w:r>
      <w:r>
        <w:t>Mark H is not sure about “a value of”</w:t>
      </w:r>
    </w:p>
  </w:comment>
  <w:comment w:id="13" w:author="Hamilton, Mark" w:date="2020-06-09T09:58:00Z" w:initials="HM">
    <w:p w14:paraId="3E75A188" w14:textId="77777777" w:rsidR="00CC5391" w:rsidRDefault="00CC5391" w:rsidP="005D1BCF">
      <w:pPr>
        <w:pStyle w:val="CommentText"/>
      </w:pPr>
      <w:r>
        <w:rPr>
          <w:rStyle w:val="CommentReference"/>
        </w:rPr>
        <w:annotationRef/>
      </w:r>
      <w:r>
        <w:t>Mark R comments:</w:t>
      </w:r>
    </w:p>
    <w:p w14:paraId="41C2BC4B" w14:textId="77777777" w:rsidR="00CC5391" w:rsidRDefault="00CC5391" w:rsidP="005D1BCF">
      <w:pPr>
        <w:pStyle w:val="CommentText"/>
      </w:pPr>
      <w:r>
        <w:t>This is incredibly confusing and the rot must be stopped now.  If I missed some figures with this problem (e.g. F9-8/9-9) then those should be fixed too.  The Sequence Number field is a 12-bit field, so it cannot have a b15!</w:t>
      </w:r>
    </w:p>
    <w:p w14:paraId="66BE5393" w14:textId="77777777" w:rsidR="00CC5391" w:rsidRDefault="00CC5391" w:rsidP="005D1BCF">
      <w:pPr>
        <w:pStyle w:val="CommentText"/>
      </w:pPr>
    </w:p>
    <w:p w14:paraId="2E990F70" w14:textId="77777777" w:rsidR="00CC5391" w:rsidRDefault="00CC5391" w:rsidP="005D1BCF">
      <w:pPr>
        <w:pStyle w:val="CommentText"/>
      </w:pPr>
      <w:r>
        <w:t xml:space="preserve">If you want to stick to the numbering from &gt;0, then the caption has to be something like “Bits in the xxx field corresponding to the </w:t>
      </w:r>
      <w:proofErr w:type="spellStart"/>
      <w:r>
        <w:t>yyy</w:t>
      </w:r>
      <w:proofErr w:type="spellEnd"/>
      <w:r>
        <w:t xml:space="preserve"> subfield”</w:t>
      </w:r>
    </w:p>
  </w:comment>
  <w:comment w:id="14" w:author="Hamilton, Mark" w:date="2020-06-17T14:28:00Z" w:initials="HM">
    <w:p w14:paraId="0CA46356" w14:textId="77777777" w:rsidR="00CC5391" w:rsidRDefault="00CC5391" w:rsidP="00BA2855">
      <w:pPr>
        <w:pStyle w:val="CommentText"/>
      </w:pPr>
      <w:r>
        <w:rPr>
          <w:rStyle w:val="CommentReference"/>
        </w:rPr>
        <w:annotationRef/>
      </w:r>
      <w:r>
        <w:t>Fix the “valid TSF timestamp”,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91E6A0" w15:done="0"/>
  <w15:commentEx w15:paraId="781DBA5B" w15:paraIdParent="5C91E6A0" w15:done="0"/>
  <w15:commentEx w15:paraId="644975AB" w15:done="0"/>
  <w15:commentEx w15:paraId="75659C0D" w15:paraIdParent="644975AB" w15:done="0"/>
  <w15:commentEx w15:paraId="71341063" w15:done="0"/>
  <w15:commentEx w15:paraId="3DE650A7" w15:done="0"/>
  <w15:commentEx w15:paraId="47B0E1D2" w15:done="0"/>
  <w15:commentEx w15:paraId="2E990F70" w15:done="0"/>
  <w15:commentEx w15:paraId="0CA463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91E6A0" w16cid:durableId="2294A4EB"/>
  <w16cid:commentId w16cid:paraId="781DBA5B" w16cid:durableId="229F74B2"/>
  <w16cid:commentId w16cid:paraId="644975AB" w16cid:durableId="2294A4E2"/>
  <w16cid:commentId w16cid:paraId="75659C0D" w16cid:durableId="229F73FA"/>
  <w16cid:commentId w16cid:paraId="71341063" w16cid:durableId="2294A547"/>
  <w16cid:commentId w16cid:paraId="3DE650A7" w16cid:durableId="22791356"/>
  <w16cid:commentId w16cid:paraId="47B0E1D2" w16cid:durableId="22791355"/>
  <w16cid:commentId w16cid:paraId="2E990F70" w16cid:durableId="2289DBE1"/>
  <w16cid:commentId w16cid:paraId="0CA46356" w16cid:durableId="2294A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7A7CA" w14:textId="77777777" w:rsidR="00C156A2" w:rsidRDefault="00C156A2">
      <w:r>
        <w:separator/>
      </w:r>
    </w:p>
  </w:endnote>
  <w:endnote w:type="continuationSeparator" w:id="0">
    <w:p w14:paraId="25CAF42E" w14:textId="77777777" w:rsidR="00C156A2" w:rsidRDefault="00C15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3267805" w:rsidR="00CC5391" w:rsidRDefault="00CC5391"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CC5391" w:rsidRDefault="00CC53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45545" w14:textId="77777777" w:rsidR="00C156A2" w:rsidRDefault="00C156A2">
      <w:r>
        <w:separator/>
      </w:r>
    </w:p>
  </w:footnote>
  <w:footnote w:type="continuationSeparator" w:id="0">
    <w:p w14:paraId="0F0C370F" w14:textId="77777777" w:rsidR="00C156A2" w:rsidRDefault="00C156A2">
      <w:r>
        <w:continuationSeparator/>
      </w:r>
    </w:p>
  </w:footnote>
  <w:footnote w:id="1">
    <w:p w14:paraId="67D4163F" w14:textId="77777777" w:rsidR="00CC5391" w:rsidRDefault="00CC5391"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5E57D28" w:rsidR="00CC5391" w:rsidRDefault="00325A69" w:rsidP="005942A6">
    <w:pPr>
      <w:pStyle w:val="Header"/>
      <w:tabs>
        <w:tab w:val="clear" w:pos="6480"/>
        <w:tab w:val="center" w:pos="4680"/>
        <w:tab w:val="right" w:pos="9360"/>
      </w:tabs>
    </w:pPr>
    <w:r>
      <w:t>July</w:t>
    </w:r>
    <w:r w:rsidR="00CC5391">
      <w:t xml:space="preserve"> 2020</w:t>
    </w:r>
    <w:r w:rsidR="00CC5391">
      <w:tab/>
    </w:r>
    <w:r w:rsidR="00CC5391">
      <w:tab/>
    </w:r>
    <w:fldSimple w:instr=" TITLE  \* MERGEFORMAT ">
      <w:r w:rsidR="00CC5391">
        <w:t>doc.: IEEE 802.11-20/0338r1</w:t>
      </w:r>
      <w:r>
        <w:t>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26C7"/>
    <w:multiLevelType w:val="hybridMultilevel"/>
    <w:tmpl w:val="D08AB336"/>
    <w:lvl w:ilvl="0" w:tplc="C812F3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D2760"/>
    <w:multiLevelType w:val="hybridMultilevel"/>
    <w:tmpl w:val="8F7E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3"/>
  </w:num>
  <w:num w:numId="3">
    <w:abstractNumId w:val="19"/>
  </w:num>
  <w:num w:numId="4">
    <w:abstractNumId w:val="3"/>
  </w:num>
  <w:num w:numId="5">
    <w:abstractNumId w:val="43"/>
  </w:num>
  <w:num w:numId="6">
    <w:abstractNumId w:val="42"/>
  </w:num>
  <w:num w:numId="7">
    <w:abstractNumId w:val="7"/>
  </w:num>
  <w:num w:numId="8">
    <w:abstractNumId w:val="14"/>
  </w:num>
  <w:num w:numId="9">
    <w:abstractNumId w:val="18"/>
  </w:num>
  <w:num w:numId="10">
    <w:abstractNumId w:val="25"/>
  </w:num>
  <w:num w:numId="11">
    <w:abstractNumId w:val="48"/>
  </w:num>
  <w:num w:numId="12">
    <w:abstractNumId w:val="27"/>
  </w:num>
  <w:num w:numId="13">
    <w:abstractNumId w:val="9"/>
  </w:num>
  <w:num w:numId="14">
    <w:abstractNumId w:val="35"/>
  </w:num>
  <w:num w:numId="15">
    <w:abstractNumId w:val="8"/>
  </w:num>
  <w:num w:numId="16">
    <w:abstractNumId w:val="0"/>
  </w:num>
  <w:num w:numId="17">
    <w:abstractNumId w:val="39"/>
  </w:num>
  <w:num w:numId="18">
    <w:abstractNumId w:val="24"/>
  </w:num>
  <w:num w:numId="19">
    <w:abstractNumId w:val="41"/>
  </w:num>
  <w:num w:numId="20">
    <w:abstractNumId w:val="4"/>
  </w:num>
  <w:num w:numId="21">
    <w:abstractNumId w:val="1"/>
  </w:num>
  <w:num w:numId="22">
    <w:abstractNumId w:val="28"/>
  </w:num>
  <w:num w:numId="23">
    <w:abstractNumId w:val="6"/>
  </w:num>
  <w:num w:numId="24">
    <w:abstractNumId w:val="16"/>
  </w:num>
  <w:num w:numId="25">
    <w:abstractNumId w:val="36"/>
  </w:num>
  <w:num w:numId="26">
    <w:abstractNumId w:val="29"/>
  </w:num>
  <w:num w:numId="27">
    <w:abstractNumId w:val="15"/>
  </w:num>
  <w:num w:numId="28">
    <w:abstractNumId w:val="44"/>
  </w:num>
  <w:num w:numId="29">
    <w:abstractNumId w:val="45"/>
  </w:num>
  <w:num w:numId="30">
    <w:abstractNumId w:val="31"/>
  </w:num>
  <w:num w:numId="31">
    <w:abstractNumId w:val="34"/>
  </w:num>
  <w:num w:numId="32">
    <w:abstractNumId w:val="20"/>
  </w:num>
  <w:num w:numId="33">
    <w:abstractNumId w:val="4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2"/>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49"/>
  </w:num>
  <w:num w:numId="44">
    <w:abstractNumId w:val="26"/>
  </w:num>
  <w:num w:numId="45">
    <w:abstractNumId w:val="37"/>
  </w:num>
  <w:num w:numId="46">
    <w:abstractNumId w:val="23"/>
  </w:num>
  <w:num w:numId="47">
    <w:abstractNumId w:val="21"/>
  </w:num>
  <w:num w:numId="48">
    <w:abstractNumId w:val="38"/>
  </w:num>
  <w:num w:numId="49">
    <w:abstractNumId w:val="22"/>
  </w:num>
  <w:num w:numId="50">
    <w:abstractNumId w:val="3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64B0"/>
    <w:rsid w:val="00007582"/>
    <w:rsid w:val="000076A4"/>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6F57"/>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4D61"/>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6653"/>
    <w:rsid w:val="000B7C86"/>
    <w:rsid w:val="000C0F6F"/>
    <w:rsid w:val="000C1613"/>
    <w:rsid w:val="000C372E"/>
    <w:rsid w:val="000C3891"/>
    <w:rsid w:val="000C5BCC"/>
    <w:rsid w:val="000C6E75"/>
    <w:rsid w:val="000D077C"/>
    <w:rsid w:val="000D098E"/>
    <w:rsid w:val="000D1BF3"/>
    <w:rsid w:val="000D1E62"/>
    <w:rsid w:val="000D1E8B"/>
    <w:rsid w:val="000D2589"/>
    <w:rsid w:val="000D2B26"/>
    <w:rsid w:val="000D2D95"/>
    <w:rsid w:val="000D3071"/>
    <w:rsid w:val="000D3301"/>
    <w:rsid w:val="000D377F"/>
    <w:rsid w:val="000D3DAD"/>
    <w:rsid w:val="000D4963"/>
    <w:rsid w:val="000D4BC2"/>
    <w:rsid w:val="000D53DF"/>
    <w:rsid w:val="000D5648"/>
    <w:rsid w:val="000D62AA"/>
    <w:rsid w:val="000D6E23"/>
    <w:rsid w:val="000D6E92"/>
    <w:rsid w:val="000D712B"/>
    <w:rsid w:val="000D7C2E"/>
    <w:rsid w:val="000D7E98"/>
    <w:rsid w:val="000E00AB"/>
    <w:rsid w:val="000E0E04"/>
    <w:rsid w:val="000E0ED7"/>
    <w:rsid w:val="000E1B61"/>
    <w:rsid w:val="000E1C0A"/>
    <w:rsid w:val="000E25C2"/>
    <w:rsid w:val="000E3913"/>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54A"/>
    <w:rsid w:val="000F49FD"/>
    <w:rsid w:val="000F547F"/>
    <w:rsid w:val="000F5627"/>
    <w:rsid w:val="000F5E0A"/>
    <w:rsid w:val="000F66F3"/>
    <w:rsid w:val="000F6C38"/>
    <w:rsid w:val="000F6D95"/>
    <w:rsid w:val="000F7195"/>
    <w:rsid w:val="000F7FBD"/>
    <w:rsid w:val="001004C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0905"/>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47F26"/>
    <w:rsid w:val="00150AE1"/>
    <w:rsid w:val="00151761"/>
    <w:rsid w:val="001518B7"/>
    <w:rsid w:val="001524C1"/>
    <w:rsid w:val="00152FA9"/>
    <w:rsid w:val="00152FF4"/>
    <w:rsid w:val="00153184"/>
    <w:rsid w:val="00153996"/>
    <w:rsid w:val="00153C61"/>
    <w:rsid w:val="00154396"/>
    <w:rsid w:val="001546E8"/>
    <w:rsid w:val="00155148"/>
    <w:rsid w:val="001553FB"/>
    <w:rsid w:val="0015600E"/>
    <w:rsid w:val="001561C6"/>
    <w:rsid w:val="0015622B"/>
    <w:rsid w:val="0015786B"/>
    <w:rsid w:val="00157BE1"/>
    <w:rsid w:val="001612F0"/>
    <w:rsid w:val="001631EA"/>
    <w:rsid w:val="00163A68"/>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7D7"/>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9F7"/>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488"/>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5F1"/>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5A09"/>
    <w:rsid w:val="002E5A43"/>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A69"/>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235"/>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6B9B"/>
    <w:rsid w:val="003873F3"/>
    <w:rsid w:val="003905E1"/>
    <w:rsid w:val="003909D1"/>
    <w:rsid w:val="00391686"/>
    <w:rsid w:val="00391797"/>
    <w:rsid w:val="00391AEC"/>
    <w:rsid w:val="0039273E"/>
    <w:rsid w:val="00392802"/>
    <w:rsid w:val="00393367"/>
    <w:rsid w:val="003933C7"/>
    <w:rsid w:val="00393F3A"/>
    <w:rsid w:val="00394949"/>
    <w:rsid w:val="00395110"/>
    <w:rsid w:val="00395876"/>
    <w:rsid w:val="00397784"/>
    <w:rsid w:val="003979D0"/>
    <w:rsid w:val="00397CBC"/>
    <w:rsid w:val="003A03AA"/>
    <w:rsid w:val="003A0B8B"/>
    <w:rsid w:val="003A0E1B"/>
    <w:rsid w:val="003A0F99"/>
    <w:rsid w:val="003A1141"/>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4B4"/>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CFE"/>
    <w:rsid w:val="004C2D16"/>
    <w:rsid w:val="004C2DB8"/>
    <w:rsid w:val="004C3650"/>
    <w:rsid w:val="004C36AD"/>
    <w:rsid w:val="004C3A22"/>
    <w:rsid w:val="004C3BCB"/>
    <w:rsid w:val="004C4644"/>
    <w:rsid w:val="004C4C3F"/>
    <w:rsid w:val="004C5428"/>
    <w:rsid w:val="004C6C0E"/>
    <w:rsid w:val="004C77DB"/>
    <w:rsid w:val="004D025F"/>
    <w:rsid w:val="004D02A8"/>
    <w:rsid w:val="004D0823"/>
    <w:rsid w:val="004D0E28"/>
    <w:rsid w:val="004D1D56"/>
    <w:rsid w:val="004D2310"/>
    <w:rsid w:val="004D24F2"/>
    <w:rsid w:val="004D296B"/>
    <w:rsid w:val="004D35B8"/>
    <w:rsid w:val="004D3E12"/>
    <w:rsid w:val="004D4AA7"/>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155"/>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2ACC"/>
    <w:rsid w:val="00573B99"/>
    <w:rsid w:val="005741B0"/>
    <w:rsid w:val="005749CB"/>
    <w:rsid w:val="00574D84"/>
    <w:rsid w:val="00575326"/>
    <w:rsid w:val="00575703"/>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5BEE"/>
    <w:rsid w:val="005B61CD"/>
    <w:rsid w:val="005B73A0"/>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BC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4D7"/>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9FF"/>
    <w:rsid w:val="00625AFD"/>
    <w:rsid w:val="00626228"/>
    <w:rsid w:val="00626891"/>
    <w:rsid w:val="006269AA"/>
    <w:rsid w:val="0062700C"/>
    <w:rsid w:val="006273D0"/>
    <w:rsid w:val="00627C61"/>
    <w:rsid w:val="00627D9A"/>
    <w:rsid w:val="0063039B"/>
    <w:rsid w:val="00630533"/>
    <w:rsid w:val="00631775"/>
    <w:rsid w:val="006318C4"/>
    <w:rsid w:val="006320F2"/>
    <w:rsid w:val="006324AD"/>
    <w:rsid w:val="00633A73"/>
    <w:rsid w:val="00634863"/>
    <w:rsid w:val="0063689B"/>
    <w:rsid w:val="00636FD4"/>
    <w:rsid w:val="00637372"/>
    <w:rsid w:val="00637440"/>
    <w:rsid w:val="006374B3"/>
    <w:rsid w:val="00637500"/>
    <w:rsid w:val="00637AB0"/>
    <w:rsid w:val="00637B25"/>
    <w:rsid w:val="00640328"/>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39B"/>
    <w:rsid w:val="006615A7"/>
    <w:rsid w:val="00661941"/>
    <w:rsid w:val="00661AF4"/>
    <w:rsid w:val="00662059"/>
    <w:rsid w:val="0066224A"/>
    <w:rsid w:val="00662DB5"/>
    <w:rsid w:val="00663DF7"/>
    <w:rsid w:val="00663F12"/>
    <w:rsid w:val="00664079"/>
    <w:rsid w:val="006648CD"/>
    <w:rsid w:val="00664F48"/>
    <w:rsid w:val="00665FA0"/>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763E4"/>
    <w:rsid w:val="00680482"/>
    <w:rsid w:val="00680C00"/>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616"/>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672A"/>
    <w:rsid w:val="006D7F09"/>
    <w:rsid w:val="006E02B5"/>
    <w:rsid w:val="006E07A3"/>
    <w:rsid w:val="006E0D06"/>
    <w:rsid w:val="006E1319"/>
    <w:rsid w:val="006E145F"/>
    <w:rsid w:val="006E3269"/>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485"/>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116"/>
    <w:rsid w:val="00750F6A"/>
    <w:rsid w:val="007526C7"/>
    <w:rsid w:val="00752A5F"/>
    <w:rsid w:val="00752C82"/>
    <w:rsid w:val="007534A4"/>
    <w:rsid w:val="00753728"/>
    <w:rsid w:val="00753835"/>
    <w:rsid w:val="00753AA6"/>
    <w:rsid w:val="00753C05"/>
    <w:rsid w:val="00754932"/>
    <w:rsid w:val="00754F17"/>
    <w:rsid w:val="00755255"/>
    <w:rsid w:val="0075544F"/>
    <w:rsid w:val="00755E6E"/>
    <w:rsid w:val="00756227"/>
    <w:rsid w:val="007569C1"/>
    <w:rsid w:val="007571A0"/>
    <w:rsid w:val="00757BB7"/>
    <w:rsid w:val="00757D45"/>
    <w:rsid w:val="007601B8"/>
    <w:rsid w:val="007607C8"/>
    <w:rsid w:val="00760E1E"/>
    <w:rsid w:val="00760FD8"/>
    <w:rsid w:val="007611DF"/>
    <w:rsid w:val="00761653"/>
    <w:rsid w:val="0076175F"/>
    <w:rsid w:val="00762B54"/>
    <w:rsid w:val="00763B19"/>
    <w:rsid w:val="00763C2B"/>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3AB9"/>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388D"/>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B31"/>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02DA"/>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5939"/>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0128"/>
    <w:rsid w:val="008B3A60"/>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6CD4"/>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1460"/>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11B"/>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56D0"/>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442E"/>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D7A9D"/>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30B"/>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1E8"/>
    <w:rsid w:val="00A4172F"/>
    <w:rsid w:val="00A4210E"/>
    <w:rsid w:val="00A43389"/>
    <w:rsid w:val="00A43B6B"/>
    <w:rsid w:val="00A43BD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4508"/>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34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0E"/>
    <w:rsid w:val="00AD2E82"/>
    <w:rsid w:val="00AD4178"/>
    <w:rsid w:val="00AD4706"/>
    <w:rsid w:val="00AD4BDE"/>
    <w:rsid w:val="00AD4C7C"/>
    <w:rsid w:val="00AD5339"/>
    <w:rsid w:val="00AD5A2A"/>
    <w:rsid w:val="00AD614F"/>
    <w:rsid w:val="00AD6C92"/>
    <w:rsid w:val="00AD74CA"/>
    <w:rsid w:val="00AD7E80"/>
    <w:rsid w:val="00AE05E3"/>
    <w:rsid w:val="00AE12E3"/>
    <w:rsid w:val="00AE133D"/>
    <w:rsid w:val="00AE40D3"/>
    <w:rsid w:val="00AE4C41"/>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28A4"/>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E1"/>
    <w:rsid w:val="00B70501"/>
    <w:rsid w:val="00B70A02"/>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981"/>
    <w:rsid w:val="00B93D2D"/>
    <w:rsid w:val="00B95072"/>
    <w:rsid w:val="00B97127"/>
    <w:rsid w:val="00B9761B"/>
    <w:rsid w:val="00B97D88"/>
    <w:rsid w:val="00BA02D1"/>
    <w:rsid w:val="00BA0B73"/>
    <w:rsid w:val="00BA107A"/>
    <w:rsid w:val="00BA1BA2"/>
    <w:rsid w:val="00BA1DA3"/>
    <w:rsid w:val="00BA2853"/>
    <w:rsid w:val="00BA2855"/>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1417"/>
    <w:rsid w:val="00BC20EE"/>
    <w:rsid w:val="00BC2CE8"/>
    <w:rsid w:val="00BC362E"/>
    <w:rsid w:val="00BC38B4"/>
    <w:rsid w:val="00BC4460"/>
    <w:rsid w:val="00BC4F67"/>
    <w:rsid w:val="00BC575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6E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A2"/>
    <w:rsid w:val="00C156BB"/>
    <w:rsid w:val="00C16508"/>
    <w:rsid w:val="00C165C5"/>
    <w:rsid w:val="00C169E7"/>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88D"/>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8FB"/>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5AB0"/>
    <w:rsid w:val="00C5686D"/>
    <w:rsid w:val="00C5735F"/>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1EC"/>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5391"/>
    <w:rsid w:val="00CC752E"/>
    <w:rsid w:val="00CD1752"/>
    <w:rsid w:val="00CD30F5"/>
    <w:rsid w:val="00CD320A"/>
    <w:rsid w:val="00CD3EA1"/>
    <w:rsid w:val="00CD412F"/>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643"/>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242"/>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BE0"/>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CB3"/>
    <w:rsid w:val="00DA7F0C"/>
    <w:rsid w:val="00DB0232"/>
    <w:rsid w:val="00DB0E6A"/>
    <w:rsid w:val="00DB15B0"/>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0FD"/>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27F3"/>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1BF"/>
    <w:rsid w:val="00E2633B"/>
    <w:rsid w:val="00E26BA0"/>
    <w:rsid w:val="00E27C85"/>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3C00"/>
    <w:rsid w:val="00E4542D"/>
    <w:rsid w:val="00E464A5"/>
    <w:rsid w:val="00E47099"/>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E4B"/>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B7DD3"/>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648"/>
    <w:rsid w:val="00ED58EC"/>
    <w:rsid w:val="00ED6140"/>
    <w:rsid w:val="00ED6DD1"/>
    <w:rsid w:val="00ED7604"/>
    <w:rsid w:val="00ED7827"/>
    <w:rsid w:val="00EE2428"/>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21D"/>
    <w:rsid w:val="00F507DB"/>
    <w:rsid w:val="00F50817"/>
    <w:rsid w:val="00F51250"/>
    <w:rsid w:val="00F514DB"/>
    <w:rsid w:val="00F51A61"/>
    <w:rsid w:val="00F5222C"/>
    <w:rsid w:val="00F526FD"/>
    <w:rsid w:val="00F52CE3"/>
    <w:rsid w:val="00F52E36"/>
    <w:rsid w:val="00F53F01"/>
    <w:rsid w:val="00F54379"/>
    <w:rsid w:val="00F55B23"/>
    <w:rsid w:val="00F574EB"/>
    <w:rsid w:val="00F579FD"/>
    <w:rsid w:val="00F57BA4"/>
    <w:rsid w:val="00F57EDC"/>
    <w:rsid w:val="00F603CC"/>
    <w:rsid w:val="00F626E4"/>
    <w:rsid w:val="00F62AC7"/>
    <w:rsid w:val="00F6322F"/>
    <w:rsid w:val="00F63608"/>
    <w:rsid w:val="00F63771"/>
    <w:rsid w:val="00F65B6E"/>
    <w:rsid w:val="00F6753D"/>
    <w:rsid w:val="00F67CC9"/>
    <w:rsid w:val="00F70084"/>
    <w:rsid w:val="00F706E6"/>
    <w:rsid w:val="00F70B97"/>
    <w:rsid w:val="00F70BA3"/>
    <w:rsid w:val="00F70BEE"/>
    <w:rsid w:val="00F70BF8"/>
    <w:rsid w:val="00F70C97"/>
    <w:rsid w:val="00F71192"/>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28C"/>
    <w:rsid w:val="00F84867"/>
    <w:rsid w:val="00F84B84"/>
    <w:rsid w:val="00F84FEE"/>
    <w:rsid w:val="00F8584F"/>
    <w:rsid w:val="00F86125"/>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740"/>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4.png"/><Relationship Id="rId42" Type="http://schemas.openxmlformats.org/officeDocument/2006/relationships/image" Target="media/image31.png"/><Relationship Id="rId63" Type="http://schemas.openxmlformats.org/officeDocument/2006/relationships/image" Target="media/image48.png"/><Relationship Id="rId84" Type="http://schemas.openxmlformats.org/officeDocument/2006/relationships/customXml" Target="ink/ink9.xml"/><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hyperlink" Target="https://mentor.ieee.org/802.11/dcn/09/11-09-1063-01-000m-lb149-ma-unitdata-rejection-of-un-admitted-traffic.doc" TargetMode="External"/><Relationship Id="rId191" Type="http://schemas.openxmlformats.org/officeDocument/2006/relationships/image" Target="media/image162.png"/><Relationship Id="rId205" Type="http://schemas.openxmlformats.org/officeDocument/2006/relationships/image" Target="media/image176.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customXml" Target="ink/ink5.xml"/><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1.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60" Type="http://schemas.openxmlformats.org/officeDocument/2006/relationships/image" Target="media/image138.png"/><Relationship Id="rId165" Type="http://schemas.openxmlformats.org/officeDocument/2006/relationships/image" Target="media/image143.png"/><Relationship Id="rId181" Type="http://schemas.openxmlformats.org/officeDocument/2006/relationships/customXml" Target="ink/ink16.xml"/><Relationship Id="rId186" Type="http://schemas.openxmlformats.org/officeDocument/2006/relationships/image" Target="media/image157.png"/><Relationship Id="rId211"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2.png"/><Relationship Id="rId85" Type="http://schemas.openxmlformats.org/officeDocument/2006/relationships/image" Target="media/image66.png"/><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image" Target="media/image148.png"/><Relationship Id="rId176" Type="http://schemas.openxmlformats.org/officeDocument/2006/relationships/customXml" Target="ink/ink14.xml"/><Relationship Id="rId192" Type="http://schemas.openxmlformats.org/officeDocument/2006/relationships/image" Target="media/image163.png"/><Relationship Id="rId197" Type="http://schemas.openxmlformats.org/officeDocument/2006/relationships/image" Target="media/image168.png"/><Relationship Id="rId206" Type="http://schemas.openxmlformats.org/officeDocument/2006/relationships/image" Target="media/image177.png"/><Relationship Id="rId201" Type="http://schemas.openxmlformats.org/officeDocument/2006/relationships/image" Target="media/image17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customXml" Target="ink/ink1.xml"/><Relationship Id="rId59" Type="http://schemas.openxmlformats.org/officeDocument/2006/relationships/image" Target="media/image44.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9.png"/><Relationship Id="rId70" Type="http://schemas.openxmlformats.org/officeDocument/2006/relationships/customXml" Target="ink/ink6.xml"/><Relationship Id="rId75" Type="http://schemas.openxmlformats.org/officeDocument/2006/relationships/customXml" Target="ink/ink7.xml"/><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image" Target="media/image144.png"/><Relationship Id="rId182" Type="http://schemas.openxmlformats.org/officeDocument/2006/relationships/image" Target="media/image155.png"/><Relationship Id="rId187"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customXml" Target="ink/ink3.xml"/><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3.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3.png"/><Relationship Id="rId86" Type="http://schemas.openxmlformats.org/officeDocument/2006/relationships/image" Target="media/image67.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image" Target="media/image134.png"/><Relationship Id="rId177" Type="http://schemas.openxmlformats.org/officeDocument/2006/relationships/image" Target="media/image152.png"/><Relationship Id="rId198" Type="http://schemas.openxmlformats.org/officeDocument/2006/relationships/image" Target="media/image169.png"/><Relationship Id="rId172" Type="http://schemas.openxmlformats.org/officeDocument/2006/relationships/image" Target="media/image149.png"/><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image" Target="media/image17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87.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customXml" Target="ink/ink11.xml"/><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2.png"/><Relationship Id="rId162" Type="http://schemas.openxmlformats.org/officeDocument/2006/relationships/image" Target="media/image140.png"/><Relationship Id="rId183" Type="http://schemas.openxmlformats.org/officeDocument/2006/relationships/customXml" Target="ink/ink17.xm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1.png"/><Relationship Id="rId87" Type="http://schemas.openxmlformats.org/officeDocument/2006/relationships/customXml" Target="ink/ink10.xml"/><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customXml" Target="ink/ink15.xml"/><Relationship Id="rId61" Type="http://schemas.openxmlformats.org/officeDocument/2006/relationships/image" Target="media/image46.png"/><Relationship Id="rId82" Type="http://schemas.openxmlformats.org/officeDocument/2006/relationships/image" Target="media/image64.png"/><Relationship Id="rId152" Type="http://schemas.openxmlformats.org/officeDocument/2006/relationships/image" Target="media/image130.png"/><Relationship Id="rId173" Type="http://schemas.openxmlformats.org/officeDocument/2006/relationships/image" Target="media/image150.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openxmlformats.org/officeDocument/2006/relationships/image" Target="media/image179.png"/><Relationship Id="rId19" Type="http://schemas.openxmlformats.org/officeDocument/2006/relationships/image" Target="media/image12.png"/><Relationship Id="rId14" Type="http://schemas.openxmlformats.org/officeDocument/2006/relationships/image" Target="media/image7.png"/><Relationship Id="rId30" Type="http://schemas.microsoft.com/office/2011/relationships/commentsExtended" Target="commentsExtended.xml"/><Relationship Id="rId35" Type="http://schemas.openxmlformats.org/officeDocument/2006/relationships/image" Target="media/image25.png"/><Relationship Id="rId56" Type="http://schemas.openxmlformats.org/officeDocument/2006/relationships/image" Target="media/image41.png"/><Relationship Id="rId77" Type="http://schemas.openxmlformats.org/officeDocument/2006/relationships/customXml" Target="ink/ink8.xml"/><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image" Target="media/image1.png"/><Relationship Id="rId51" Type="http://schemas.openxmlformats.org/officeDocument/2006/relationships/customXml" Target="ink/ink4.xml"/><Relationship Id="rId72" Type="http://schemas.openxmlformats.org/officeDocument/2006/relationships/image" Target="media/image56.png"/><Relationship Id="rId93" Type="http://schemas.openxmlformats.org/officeDocument/2006/relationships/image" Target="media/image73.png"/><Relationship Id="rId98" Type="http://schemas.openxmlformats.org/officeDocument/2006/relationships/image" Target="media/image77.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56.png"/><Relationship Id="rId189" Type="http://schemas.openxmlformats.org/officeDocument/2006/relationships/image" Target="media/image160.png"/><Relationship Id="rId3" Type="http://schemas.openxmlformats.org/officeDocument/2006/relationships/styles" Target="styles.xml"/><Relationship Id="rId214" Type="http://schemas.microsoft.com/office/2011/relationships/people" Target="people.xml"/><Relationship Id="rId25" Type="http://schemas.openxmlformats.org/officeDocument/2006/relationships/image" Target="media/image18.png"/><Relationship Id="rId46" Type="http://schemas.openxmlformats.org/officeDocument/2006/relationships/image" Target="media/image35.png"/><Relationship Id="rId67" Type="http://schemas.openxmlformats.org/officeDocument/2006/relationships/image" Target="media/image52.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47.png"/><Relationship Id="rId83" Type="http://schemas.openxmlformats.org/officeDocument/2006/relationships/image" Target="media/image65.png"/><Relationship Id="rId88" Type="http://schemas.openxmlformats.org/officeDocument/2006/relationships/image" Target="media/image68.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customXml" Target="ink/ink13.xml"/><Relationship Id="rId179" Type="http://schemas.openxmlformats.org/officeDocument/2006/relationships/image" Target="media/image153.png"/><Relationship Id="rId195" Type="http://schemas.openxmlformats.org/officeDocument/2006/relationships/image" Target="media/image166.png"/><Relationship Id="rId209" Type="http://schemas.openxmlformats.org/officeDocument/2006/relationships/image" Target="media/image180.png"/><Relationship Id="rId190" Type="http://schemas.openxmlformats.org/officeDocument/2006/relationships/image" Target="media/image161.png"/><Relationship Id="rId204" Type="http://schemas.openxmlformats.org/officeDocument/2006/relationships/image" Target="media/image175.pn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2.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3.png"/><Relationship Id="rId31" Type="http://schemas.microsoft.com/office/2016/09/relationships/commentsIds" Target="commentsIds.xml"/><Relationship Id="rId52" Type="http://schemas.openxmlformats.org/officeDocument/2006/relationships/image" Target="media/image38.png"/><Relationship Id="rId73" Type="http://schemas.openxmlformats.org/officeDocument/2006/relationships/image" Target="media/image57.png"/><Relationship Id="rId78" Type="http://schemas.openxmlformats.org/officeDocument/2006/relationships/image" Target="media/image60.png"/><Relationship Id="rId94" Type="http://schemas.openxmlformats.org/officeDocument/2006/relationships/image" Target="media/image74.png"/><Relationship Id="rId99" Type="http://schemas.openxmlformats.org/officeDocument/2006/relationships/customXml" Target="ink/ink12.xml"/><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customXml" Target="ink/ink18.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4.png"/><Relationship Id="rId210" Type="http://schemas.openxmlformats.org/officeDocument/2006/relationships/image" Target="media/image181.png"/><Relationship Id="rId215" Type="http://schemas.openxmlformats.org/officeDocument/2006/relationships/theme" Target="theme/theme1.xml"/><Relationship Id="rId26" Type="http://schemas.openxmlformats.org/officeDocument/2006/relationships/image" Target="media/image19.png"/><Relationship Id="rId47" Type="http://schemas.openxmlformats.org/officeDocument/2006/relationships/customXml" Target="ink/ink2.xml"/><Relationship Id="rId68" Type="http://schemas.openxmlformats.org/officeDocument/2006/relationships/image" Target="media/image53.png"/><Relationship Id="rId89" Type="http://schemas.openxmlformats.org/officeDocument/2006/relationships/image" Target="media/image69.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1.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A40577-AA62-48E2-A742-42F1BEAFB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1036</TotalTime>
  <Pages>129</Pages>
  <Words>17758</Words>
  <Characters>101223</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doc.: IEEE 802.11-20/0338r9</vt:lpstr>
    </vt:vector>
  </TitlesOfParts>
  <Company>Some Company</Company>
  <LinksUpToDate>false</LinksUpToDate>
  <CharactersWithSpaces>118744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802.11-20/0338r9</dc:title>
  <dc:subject>Submission</dc:subject>
  <dc:creator>mark.hamilton@commscope.com</dc:creator>
  <cp:keywords>June 2020</cp:keywords>
  <cp:lastModifiedBy>Hamilton, Mark</cp:lastModifiedBy>
  <cp:revision>9</cp:revision>
  <cp:lastPrinted>1901-01-01T04:00:00Z</cp:lastPrinted>
  <dcterms:created xsi:type="dcterms:W3CDTF">2020-07-06T23:48:00Z</dcterms:created>
  <dcterms:modified xsi:type="dcterms:W3CDTF">2020-07-07T17:18:00Z</dcterms:modified>
</cp:coreProperties>
</file>