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56D25438"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576C16">
              <w:rPr>
                <w:b w:val="0"/>
                <w:sz w:val="20"/>
              </w:rPr>
              <w:t>6</w:t>
            </w:r>
            <w:r w:rsidR="00D818C4">
              <w:rPr>
                <w:b w:val="0"/>
                <w:sz w:val="20"/>
              </w:rPr>
              <w:t>-</w:t>
            </w:r>
            <w:r w:rsidR="00C368FB">
              <w:rPr>
                <w:b w:val="0"/>
                <w:sz w:val="20"/>
              </w:rPr>
              <w:t>26</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793AB9" w:rsidRDefault="00793AB9">
                            <w:pPr>
                              <w:pStyle w:val="T1"/>
                              <w:spacing w:after="120"/>
                            </w:pPr>
                            <w:r>
                              <w:t>Abstract</w:t>
                            </w:r>
                          </w:p>
                          <w:p w14:paraId="1C3BCE3F" w14:textId="77777777" w:rsidR="00793AB9" w:rsidRDefault="00793AB9" w:rsidP="00083FE0">
                            <w:pPr>
                              <w:jc w:val="both"/>
                            </w:pPr>
                          </w:p>
                          <w:p w14:paraId="4C4DB0CB" w14:textId="645C4A0F" w:rsidR="00793AB9" w:rsidRPr="007710CD" w:rsidRDefault="00793AB9"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793AB9" w:rsidRPr="007710CD" w:rsidRDefault="00793AB9" w:rsidP="00083FE0">
                            <w:pPr>
                              <w:jc w:val="both"/>
                              <w:rPr>
                                <w:sz w:val="20"/>
                              </w:rPr>
                            </w:pPr>
                          </w:p>
                          <w:p w14:paraId="3C7C8D20" w14:textId="76D5A191" w:rsidR="00793AB9" w:rsidRPr="007710CD" w:rsidRDefault="00793AB9"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793AB9" w:rsidRPr="007710CD" w:rsidRDefault="00793AB9" w:rsidP="006832AA">
                            <w:pPr>
                              <w:jc w:val="both"/>
                              <w:rPr>
                                <w:sz w:val="20"/>
                              </w:rPr>
                            </w:pPr>
                          </w:p>
                          <w:p w14:paraId="366971AF" w14:textId="77777777" w:rsidR="00793AB9" w:rsidRPr="007710CD" w:rsidRDefault="00793AB9" w:rsidP="006832AA">
                            <w:pPr>
                              <w:jc w:val="both"/>
                              <w:rPr>
                                <w:sz w:val="20"/>
                              </w:rPr>
                            </w:pPr>
                          </w:p>
                          <w:p w14:paraId="38020449" w14:textId="66756B0E" w:rsidR="00793AB9" w:rsidRDefault="00793AB9"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793AB9" w:rsidRDefault="00793AB9"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793AB9" w:rsidRDefault="00793AB9"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793AB9" w:rsidRDefault="00793AB9"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793AB9" w:rsidRDefault="00793AB9"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793AB9" w:rsidRDefault="00793AB9"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793AB9" w:rsidRDefault="00793AB9"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793AB9" w:rsidRDefault="00793AB9" w:rsidP="00C45154">
                            <w:pPr>
                              <w:jc w:val="both"/>
                              <w:rPr>
                                <w:sz w:val="20"/>
                              </w:rPr>
                            </w:pPr>
                            <w:r>
                              <w:rPr>
                                <w:sz w:val="20"/>
                              </w:rPr>
                              <w:t>R7 – Minor updates to CIDs 4723, 4221, 4067, 4377, 4056, 4454, 4447, 4418, from reviewer comments.</w:t>
                            </w:r>
                          </w:p>
                          <w:p w14:paraId="407D1071" w14:textId="5D9659D1" w:rsidR="00793AB9" w:rsidRDefault="00793AB9"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7692DB58" w:rsidR="00793AB9" w:rsidRPr="00531427" w:rsidRDefault="00793AB9" w:rsidP="00C45154">
                            <w:pPr>
                              <w:jc w:val="both"/>
                              <w:rPr>
                                <w:sz w:val="20"/>
                              </w:rPr>
                            </w:pPr>
                            <w:r>
                              <w:rPr>
                                <w:sz w:val="20"/>
                              </w:rPr>
                              <w:t xml:space="preserve">R9 – Agreed resolutions marked in </w:t>
                            </w:r>
                            <w:r w:rsidRPr="005D1BCF">
                              <w:rPr>
                                <w:sz w:val="20"/>
                                <w:highlight w:val="green"/>
                              </w:rPr>
                              <w:t>green highlight</w:t>
                            </w:r>
                            <w:r>
                              <w:rPr>
                                <w:sz w:val="20"/>
                              </w:rPr>
                              <w:t xml:space="preserve">: CIDs: 4377, 4485, 4442, 4418.  CID ready to be reviewed again: 4221.  CIDs with resolutions ready for review: </w:t>
                            </w:r>
                            <w:r w:rsidR="00147F26">
                              <w:rPr>
                                <w:sz w:val="20"/>
                              </w:rPr>
                              <w:t>4814,</w:t>
                            </w:r>
                            <w:r w:rsidR="00C368FB">
                              <w:rPr>
                                <w:sz w:val="20"/>
                              </w:rPr>
                              <w:t xml:space="preserve"> 4780,</w:t>
                            </w:r>
                            <w:r w:rsidR="00147F26">
                              <w:rPr>
                                <w:sz w:val="20"/>
                              </w:rPr>
                              <w:t xml:space="preserve"> </w:t>
                            </w:r>
                            <w:r>
                              <w:rPr>
                                <w:sz w:val="20"/>
                              </w:rPr>
                              <w:t>4323, 4342, 4376, 4373 4371, 4370</w:t>
                            </w:r>
                            <w:r w:rsidR="008B3A60">
                              <w:rPr>
                                <w:sz w:val="20"/>
                              </w:rPr>
                              <w:t>, 4410, 4489</w:t>
                            </w: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793AB9" w:rsidRDefault="00793AB9">
                      <w:pPr>
                        <w:pStyle w:val="T1"/>
                        <w:spacing w:after="120"/>
                      </w:pPr>
                      <w:r>
                        <w:t>Abstract</w:t>
                      </w:r>
                    </w:p>
                    <w:p w14:paraId="1C3BCE3F" w14:textId="77777777" w:rsidR="00793AB9" w:rsidRDefault="00793AB9" w:rsidP="00083FE0">
                      <w:pPr>
                        <w:jc w:val="both"/>
                      </w:pPr>
                    </w:p>
                    <w:p w14:paraId="4C4DB0CB" w14:textId="645C4A0F" w:rsidR="00793AB9" w:rsidRPr="007710CD" w:rsidRDefault="00793AB9"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793AB9" w:rsidRPr="007710CD" w:rsidRDefault="00793AB9" w:rsidP="00083FE0">
                      <w:pPr>
                        <w:jc w:val="both"/>
                        <w:rPr>
                          <w:sz w:val="20"/>
                        </w:rPr>
                      </w:pPr>
                    </w:p>
                    <w:p w14:paraId="3C7C8D20" w14:textId="76D5A191" w:rsidR="00793AB9" w:rsidRPr="007710CD" w:rsidRDefault="00793AB9"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793AB9" w:rsidRPr="007710CD" w:rsidRDefault="00793AB9" w:rsidP="006832AA">
                      <w:pPr>
                        <w:jc w:val="both"/>
                        <w:rPr>
                          <w:sz w:val="20"/>
                        </w:rPr>
                      </w:pPr>
                    </w:p>
                    <w:p w14:paraId="366971AF" w14:textId="77777777" w:rsidR="00793AB9" w:rsidRPr="007710CD" w:rsidRDefault="00793AB9" w:rsidP="006832AA">
                      <w:pPr>
                        <w:jc w:val="both"/>
                        <w:rPr>
                          <w:sz w:val="20"/>
                        </w:rPr>
                      </w:pPr>
                    </w:p>
                    <w:p w14:paraId="38020449" w14:textId="66756B0E" w:rsidR="00793AB9" w:rsidRDefault="00793AB9"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793AB9" w:rsidRDefault="00793AB9"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793AB9" w:rsidRDefault="00793AB9"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793AB9" w:rsidRDefault="00793AB9"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793AB9" w:rsidRDefault="00793AB9"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793AB9" w:rsidRDefault="00793AB9"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793AB9" w:rsidRDefault="00793AB9"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793AB9" w:rsidRDefault="00793AB9" w:rsidP="00C45154">
                      <w:pPr>
                        <w:jc w:val="both"/>
                        <w:rPr>
                          <w:sz w:val="20"/>
                        </w:rPr>
                      </w:pPr>
                      <w:r>
                        <w:rPr>
                          <w:sz w:val="20"/>
                        </w:rPr>
                        <w:t>R7 – Minor updates to CIDs 4723, 4221, 4067, 4377, 4056, 4454, 4447, 4418, from reviewer comments.</w:t>
                      </w:r>
                    </w:p>
                    <w:p w14:paraId="407D1071" w14:textId="5D9659D1" w:rsidR="00793AB9" w:rsidRDefault="00793AB9"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7692DB58" w:rsidR="00793AB9" w:rsidRPr="00531427" w:rsidRDefault="00793AB9" w:rsidP="00C45154">
                      <w:pPr>
                        <w:jc w:val="both"/>
                        <w:rPr>
                          <w:sz w:val="20"/>
                        </w:rPr>
                      </w:pPr>
                      <w:r>
                        <w:rPr>
                          <w:sz w:val="20"/>
                        </w:rPr>
                        <w:t xml:space="preserve">R9 – Agreed resolutions marked in </w:t>
                      </w:r>
                      <w:r w:rsidRPr="005D1BCF">
                        <w:rPr>
                          <w:sz w:val="20"/>
                          <w:highlight w:val="green"/>
                        </w:rPr>
                        <w:t>green highlight</w:t>
                      </w:r>
                      <w:r>
                        <w:rPr>
                          <w:sz w:val="20"/>
                        </w:rPr>
                        <w:t xml:space="preserve">: CIDs: 4377, 4485, 4442, 4418.  CID ready to be reviewed again: 4221.  CIDs with resolutions ready for review: </w:t>
                      </w:r>
                      <w:r w:rsidR="00147F26">
                        <w:rPr>
                          <w:sz w:val="20"/>
                        </w:rPr>
                        <w:t>4814,</w:t>
                      </w:r>
                      <w:r w:rsidR="00C368FB">
                        <w:rPr>
                          <w:sz w:val="20"/>
                        </w:rPr>
                        <w:t xml:space="preserve"> 4780,</w:t>
                      </w:r>
                      <w:r w:rsidR="00147F26">
                        <w:rPr>
                          <w:sz w:val="20"/>
                        </w:rPr>
                        <w:t xml:space="preserve"> </w:t>
                      </w:r>
                      <w:r>
                        <w:rPr>
                          <w:sz w:val="20"/>
                        </w:rPr>
                        <w:t>4323, 4342, 4376, 4373 4371, 4370</w:t>
                      </w:r>
                      <w:r w:rsidR="008B3A60">
                        <w:rPr>
                          <w:sz w:val="20"/>
                        </w:rPr>
                        <w:t>, 4410, 4489</w:t>
                      </w:r>
                      <w:r>
                        <w:rPr>
                          <w:sz w:val="20"/>
                        </w:rPr>
                        <w:t>.</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2B07A0E9" w14:textId="3778A3DA" w:rsidR="007C000C" w:rsidRDefault="007C000C">
      <w:pPr>
        <w:rPr>
          <w:bCs/>
          <w:szCs w:val="22"/>
        </w:rPr>
      </w:pPr>
    </w:p>
    <w:p w14:paraId="2D17CAAF" w14:textId="064EBD8C" w:rsidR="00C715E8" w:rsidRDefault="00C715E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715E8" w14:paraId="34958047"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4C7611D"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FE53839"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7AAE6BB"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2626FE0"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6A92FC" w14:textId="77777777" w:rsidR="00C715E8" w:rsidRDefault="00C715E8"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715E8" w:rsidRPr="00DE7477" w14:paraId="1B323C91" w14:textId="77777777" w:rsidTr="001546E8">
        <w:trPr>
          <w:trHeight w:val="765"/>
        </w:trPr>
        <w:tc>
          <w:tcPr>
            <w:tcW w:w="738" w:type="dxa"/>
            <w:hideMark/>
          </w:tcPr>
          <w:p w14:paraId="6666ED25"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15A49DFA" w14:textId="77777777" w:rsidR="00C715E8" w:rsidRPr="00DE7477" w:rsidRDefault="00C715E8" w:rsidP="001546E8">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674D4B1F"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B47D328"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2D7C78C7" w14:textId="77777777" w:rsidR="00C715E8" w:rsidRPr="00DE7477" w:rsidRDefault="00C715E8" w:rsidP="001546E8">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5B7C2893" w14:textId="714A4B15" w:rsidR="0066762A" w:rsidRDefault="0066762A">
      <w:pPr>
        <w:rPr>
          <w:bCs/>
          <w:szCs w:val="22"/>
        </w:rPr>
      </w:pPr>
    </w:p>
    <w:p w14:paraId="4A2F5E9D" w14:textId="09B87496" w:rsidR="00C715E8" w:rsidRDefault="00C715E8">
      <w:pPr>
        <w:rPr>
          <w:bCs/>
          <w:szCs w:val="22"/>
        </w:rPr>
      </w:pPr>
      <w:r>
        <w:rPr>
          <w:bCs/>
          <w:szCs w:val="22"/>
          <w:u w:val="single"/>
        </w:rPr>
        <w:t>Discussion</w:t>
      </w:r>
      <w:r>
        <w:rPr>
          <w:bCs/>
          <w:szCs w:val="22"/>
        </w:rPr>
        <w:t>:</w:t>
      </w:r>
    </w:p>
    <w:p w14:paraId="045D59EA" w14:textId="0C4F1B0F" w:rsidR="00C715E8" w:rsidRDefault="00C715E8">
      <w:pPr>
        <w:rPr>
          <w:bCs/>
          <w:szCs w:val="22"/>
        </w:rPr>
      </w:pPr>
    </w:p>
    <w:p w14:paraId="51CDD901" w14:textId="4A8747A5" w:rsidR="00C715E8"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080903C7" wp14:editId="458D179D">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42D45C02" w14:textId="67DA951C" w:rsidR="00CF38B7" w:rsidRDefault="00CF38B7">
      <w:pPr>
        <w:rPr>
          <w:bCs/>
          <w:szCs w:val="22"/>
        </w:rPr>
      </w:pPr>
    </w:p>
    <w:p w14:paraId="479751F3" w14:textId="743DDDE7" w:rsidR="00CF38B7" w:rsidRPr="00CF38B7" w:rsidRDefault="00CF38B7">
      <w:pPr>
        <w:rPr>
          <w:bCs/>
          <w:noProof/>
          <w:szCs w:val="22"/>
          <w:bdr w:val="single" w:sz="8" w:space="0" w:color="auto" w:shadow="1"/>
        </w:rPr>
      </w:pPr>
      <w:r w:rsidRPr="00CF38B7">
        <w:rPr>
          <w:bCs/>
          <w:noProof/>
          <w:szCs w:val="22"/>
          <w:bdr w:val="single" w:sz="8" w:space="0" w:color="auto" w:shadow="1"/>
        </w:rPr>
        <w:drawing>
          <wp:inline distT="0" distB="0" distL="0" distR="0" wp14:anchorId="533F58F6" wp14:editId="38AE2C8E">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0476DCEF" w14:textId="759E5E06" w:rsidR="00CF38B7" w:rsidRDefault="00CF38B7">
      <w:pPr>
        <w:rPr>
          <w:bCs/>
          <w:szCs w:val="22"/>
        </w:rPr>
      </w:pPr>
    </w:p>
    <w:p w14:paraId="4DA303BB" w14:textId="77777777" w:rsidR="004A6814" w:rsidRDefault="00CF38B7">
      <w:pPr>
        <w:rPr>
          <w:bCs/>
          <w:szCs w:val="22"/>
        </w:rPr>
      </w:pPr>
      <w:r>
        <w:rPr>
          <w:bCs/>
          <w:szCs w:val="22"/>
        </w:rPr>
        <w:t xml:space="preserve">This is on the Timestamp field of the TIM action frame.  </w:t>
      </w:r>
    </w:p>
    <w:p w14:paraId="1893761A" w14:textId="6C2670A1" w:rsidR="004A6814" w:rsidRDefault="004A6814">
      <w:pPr>
        <w:rPr>
          <w:bCs/>
          <w:szCs w:val="22"/>
        </w:rPr>
      </w:pPr>
    </w:p>
    <w:p w14:paraId="5789FCCC" w14:textId="37F9C297" w:rsidR="00CF38B7" w:rsidRDefault="004A6814">
      <w:pPr>
        <w:rPr>
          <w:bCs/>
          <w:szCs w:val="22"/>
        </w:rPr>
      </w:pPr>
      <w:r>
        <w:rPr>
          <w:bCs/>
          <w:szCs w:val="22"/>
        </w:rPr>
        <w:t xml:space="preserve">The Timestamp field is not optional, so the TIM frame will always include </w:t>
      </w:r>
      <w:r w:rsidR="0081371F">
        <w:rPr>
          <w:bCs/>
          <w:szCs w:val="22"/>
        </w:rPr>
        <w:t>something in the</w:t>
      </w:r>
      <w:r>
        <w:rPr>
          <w:bCs/>
          <w:szCs w:val="22"/>
        </w:rPr>
        <w:t xml:space="preserve"> </w:t>
      </w:r>
      <w:r w:rsidR="0081371F">
        <w:rPr>
          <w:bCs/>
          <w:szCs w:val="22"/>
        </w:rPr>
        <w:t>field</w:t>
      </w:r>
      <w:r>
        <w:rPr>
          <w:bCs/>
          <w:szCs w:val="22"/>
        </w:rPr>
        <w:t xml:space="preserve">.  </w:t>
      </w:r>
      <w:r w:rsidR="00260FFF">
        <w:rPr>
          <w:bCs/>
          <w:szCs w:val="22"/>
        </w:rPr>
        <w:t>Per ppg 2199-2200, i</w:t>
      </w:r>
      <w:r>
        <w:rPr>
          <w:bCs/>
          <w:szCs w:val="22"/>
        </w:rPr>
        <w:t xml:space="preserve">f the result of the TIM Broadcast setup (Request/Response) is a status that says a “valid” timestamp will be present then the value is present in this field is a “valid” TSF – </w:t>
      </w:r>
      <w:r w:rsidR="00260FFF">
        <w:rPr>
          <w:bCs/>
          <w:szCs w:val="22"/>
        </w:rPr>
        <w:t>otherwise, per pg 1618, the field is reserved.</w:t>
      </w:r>
    </w:p>
    <w:p w14:paraId="03AAFBE4" w14:textId="518E15EB" w:rsidR="004C2CFE" w:rsidRDefault="004C2CFE">
      <w:pPr>
        <w:rPr>
          <w:bCs/>
          <w:szCs w:val="22"/>
        </w:rPr>
      </w:pPr>
    </w:p>
    <w:p w14:paraId="52EBCC22" w14:textId="38713665" w:rsidR="004C2CFE" w:rsidRDefault="004C2CFE">
      <w:pPr>
        <w:rPr>
          <w:bCs/>
          <w:szCs w:val="22"/>
        </w:rPr>
      </w:pPr>
      <w:r w:rsidRPr="000064B0">
        <w:rPr>
          <w:bCs/>
          <w:szCs w:val="22"/>
        </w:rPr>
        <w:t>(At June 10 teleconference, the “The field is reserved otherwise” was pointed out.)</w:t>
      </w:r>
    </w:p>
    <w:p w14:paraId="2583AE3E" w14:textId="47C0526B" w:rsidR="00260FFF" w:rsidRDefault="00260FFF">
      <w:pPr>
        <w:rPr>
          <w:bCs/>
          <w:szCs w:val="22"/>
        </w:rPr>
      </w:pPr>
    </w:p>
    <w:p w14:paraId="3826C12B" w14:textId="1076D40A" w:rsidR="00260FFF" w:rsidRDefault="00260FFF">
      <w:pPr>
        <w:rPr>
          <w:bCs/>
          <w:szCs w:val="22"/>
        </w:rPr>
      </w:pPr>
      <w:r>
        <w:rPr>
          <w:bCs/>
          <w:szCs w:val="22"/>
        </w:rPr>
        <w:t>Ppg: 2199-2200:</w:t>
      </w:r>
    </w:p>
    <w:p w14:paraId="76182F47" w14:textId="749FFAFE" w:rsidR="00C715E8" w:rsidRDefault="00C715E8">
      <w:pPr>
        <w:rPr>
          <w:bCs/>
          <w:szCs w:val="22"/>
        </w:rPr>
      </w:pPr>
    </w:p>
    <w:p w14:paraId="386CC70E" w14:textId="59F741C6" w:rsidR="004A6814" w:rsidRPr="004A6814" w:rsidRDefault="00260FFF">
      <w:pPr>
        <w:rPr>
          <w:bCs/>
          <w:noProof/>
          <w:szCs w:val="22"/>
          <w:bdr w:val="single" w:sz="8" w:space="0" w:color="auto" w:shadow="1"/>
        </w:rPr>
      </w:pPr>
      <w:r>
        <w:rPr>
          <w:bCs/>
          <w:noProof/>
          <w:szCs w:val="22"/>
        </w:rPr>
        <mc:AlternateContent>
          <mc:Choice Requires="wpi">
            <w:drawing>
              <wp:anchor distT="0" distB="0" distL="114300" distR="114300" simplePos="0" relativeHeight="251694080" behindDoc="0" locked="0" layoutInCell="1" allowOverlap="1" wp14:anchorId="7DA32A68" wp14:editId="2CB9A40A">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0">
                      <w14:nvContentPartPr>
                        <w14:cNvContentPartPr/>
                      </w14:nvContentPartPr>
                      <w14:xfrm>
                        <a:off x="0" y="0"/>
                        <a:ext cx="614880" cy="66960"/>
                      </w14:xfrm>
                    </w14:contentPart>
                  </a:graphicData>
                </a:graphic>
              </wp:anchor>
            </w:drawing>
          </mc:Choice>
          <mc:Fallback>
            <w:pict>
              <v:shapetype w14:anchorId="15F3B8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6.35pt;margin-top:53.75pt;width:56.9pt;height:22.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1"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4B96F684" wp14:editId="18788C69">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2">
                      <w14:nvContentPartPr>
                        <w14:cNvContentPartPr/>
                      </w14:nvContentPartPr>
                      <w14:xfrm>
                        <a:off x="0" y="0"/>
                        <a:ext cx="5820120" cy="68040"/>
                      </w14:xfrm>
                    </w14:contentPart>
                  </a:graphicData>
                </a:graphic>
              </wp:anchor>
            </w:drawing>
          </mc:Choice>
          <mc:Fallback>
            <w:pict>
              <v:shape w14:anchorId="3C6BAC2A" id="Ink 14" o:spid="_x0000_s1026" type="#_x0000_t75" style="position:absolute;margin-left:34.15pt;margin-top:38.75pt;width:466.8pt;height:22.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3" o:title=""/>
              </v:shape>
            </w:pict>
          </mc:Fallback>
        </mc:AlternateContent>
      </w:r>
      <w:r>
        <w:rPr>
          <w:bCs/>
          <w:noProof/>
          <w:szCs w:val="22"/>
        </w:rPr>
        <mc:AlternateContent>
          <mc:Choice Requires="wpi">
            <w:drawing>
              <wp:anchor distT="0" distB="0" distL="114300" distR="114300" simplePos="0" relativeHeight="251692032" behindDoc="0" locked="0" layoutInCell="1" allowOverlap="1" wp14:anchorId="603178A7" wp14:editId="549C92B6">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4">
                      <w14:nvContentPartPr>
                        <w14:cNvContentPartPr/>
                      </w14:nvContentPartPr>
                      <w14:xfrm>
                        <a:off x="0" y="0"/>
                        <a:ext cx="3228120" cy="68400"/>
                      </w14:xfrm>
                    </w14:contentPart>
                  </a:graphicData>
                </a:graphic>
              </wp:anchor>
            </w:drawing>
          </mc:Choice>
          <mc:Fallback>
            <w:pict>
              <v:shape w14:anchorId="554D7EF4" id="Ink 4" o:spid="_x0000_s1026" type="#_x0000_t75" style="position:absolute;margin-left:238.15pt;margin-top:30.5pt;width:262.7pt;height:22.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5" o:title=""/>
              </v:shape>
            </w:pict>
          </mc:Fallback>
        </mc:AlternateContent>
      </w:r>
      <w:r w:rsidR="004A6814" w:rsidRPr="004A6814">
        <w:rPr>
          <w:bCs/>
          <w:noProof/>
          <w:szCs w:val="22"/>
          <w:bdr w:val="single" w:sz="8" w:space="0" w:color="auto" w:shadow="1"/>
        </w:rPr>
        <w:drawing>
          <wp:inline distT="0" distB="0" distL="0" distR="0" wp14:anchorId="59550333" wp14:editId="27036735">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6DE642EB" w14:textId="3E8F5891" w:rsidR="004A6814" w:rsidRPr="004A6814" w:rsidRDefault="00260FFF">
      <w:pPr>
        <w:rPr>
          <w:bCs/>
          <w:noProof/>
          <w:szCs w:val="22"/>
          <w:bdr w:val="single" w:sz="8" w:space="0" w:color="auto" w:shadow="1"/>
        </w:rPr>
      </w:pPr>
      <w:r>
        <w:rPr>
          <w:bCs/>
          <w:noProof/>
          <w:szCs w:val="22"/>
        </w:rPr>
        <mc:AlternateContent>
          <mc:Choice Requires="wpi">
            <w:drawing>
              <wp:anchor distT="0" distB="0" distL="114300" distR="114300" simplePos="0" relativeHeight="251697152" behindDoc="0" locked="0" layoutInCell="1" allowOverlap="1" wp14:anchorId="1C4594AF" wp14:editId="35A0D5AF">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7">
                      <w14:nvContentPartPr>
                        <w14:cNvContentPartPr/>
                      </w14:nvContentPartPr>
                      <w14:xfrm>
                        <a:off x="0" y="0"/>
                        <a:ext cx="3825360" cy="56880"/>
                      </w14:xfrm>
                    </w14:contentPart>
                  </a:graphicData>
                </a:graphic>
              </wp:anchor>
            </w:drawing>
          </mc:Choice>
          <mc:Fallback>
            <w:pict>
              <v:shape w14:anchorId="0CA3A766" id="Ink 324" o:spid="_x0000_s1026" type="#_x0000_t75" style="position:absolute;margin-left:34.15pt;margin-top:23.6pt;width:309.7pt;height:2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8"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4E1CE3E8" wp14:editId="7E8B63A7">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9">
                      <w14:nvContentPartPr>
                        <w14:cNvContentPartPr/>
                      </w14:nvContentPartPr>
                      <w14:xfrm>
                        <a:off x="0" y="0"/>
                        <a:ext cx="5823000" cy="87120"/>
                      </w14:xfrm>
                    </w14:contentPart>
                  </a:graphicData>
                </a:graphic>
              </wp:anchor>
            </w:drawing>
          </mc:Choice>
          <mc:Fallback>
            <w:pict>
              <v:shape w14:anchorId="11E1991C" id="Ink 249" o:spid="_x0000_s1026" type="#_x0000_t75" style="position:absolute;margin-left:33.4pt;margin-top:10pt;width:467pt;height:23.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20" o:title=""/>
              </v:shape>
            </w:pict>
          </mc:Fallback>
        </mc:AlternateContent>
      </w:r>
      <w:r>
        <w:rPr>
          <w:bCs/>
          <w:noProof/>
          <w:szCs w:val="22"/>
        </w:rPr>
        <mc:AlternateContent>
          <mc:Choice Requires="wpi">
            <w:drawing>
              <wp:anchor distT="0" distB="0" distL="114300" distR="114300" simplePos="0" relativeHeight="251695104" behindDoc="0" locked="0" layoutInCell="1" allowOverlap="1" wp14:anchorId="3AF963E0" wp14:editId="4B3F754B">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21">
                      <w14:nvContentPartPr>
                        <w14:cNvContentPartPr/>
                      </w14:nvContentPartPr>
                      <w14:xfrm>
                        <a:off x="0" y="0"/>
                        <a:ext cx="646920" cy="48240"/>
                      </w14:xfrm>
                    </w14:contentPart>
                  </a:graphicData>
                </a:graphic>
              </wp:anchor>
            </w:drawing>
          </mc:Choice>
          <mc:Fallback>
            <w:pict>
              <v:shape w14:anchorId="42EF8639" id="Ink 16" o:spid="_x0000_s1026" type="#_x0000_t75" style="position:absolute;margin-left:443.65pt;margin-top:-1.25pt;width:59.45pt;height:20.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22" o:title=""/>
              </v:shape>
            </w:pict>
          </mc:Fallback>
        </mc:AlternateContent>
      </w:r>
      <w:r w:rsidR="004A6814" w:rsidRPr="004A6814">
        <w:rPr>
          <w:bCs/>
          <w:noProof/>
          <w:szCs w:val="22"/>
          <w:bdr w:val="single" w:sz="8" w:space="0" w:color="auto" w:shadow="1"/>
        </w:rPr>
        <w:drawing>
          <wp:inline distT="0" distB="0" distL="0" distR="0" wp14:anchorId="0EFEDB72" wp14:editId="43BAEB31">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38E3EC8D" w14:textId="3B1C74A5" w:rsidR="004A6814" w:rsidRDefault="004A6814">
      <w:pPr>
        <w:rPr>
          <w:bCs/>
          <w:szCs w:val="22"/>
        </w:rPr>
      </w:pPr>
    </w:p>
    <w:p w14:paraId="677F5063" w14:textId="0010106E" w:rsidR="0024006E" w:rsidRDefault="0024006E">
      <w:pPr>
        <w:rPr>
          <w:bCs/>
          <w:szCs w:val="22"/>
        </w:rPr>
      </w:pPr>
      <w:r w:rsidRPr="000064B0">
        <w:rPr>
          <w:bCs/>
          <w:szCs w:val="22"/>
          <w:u w:val="single"/>
        </w:rPr>
        <w:t>Proposed Resolution</w:t>
      </w:r>
      <w:r w:rsidR="00260FFF" w:rsidRPr="000064B0">
        <w:rPr>
          <w:bCs/>
          <w:szCs w:val="22"/>
          <w:u w:val="single"/>
        </w:rPr>
        <w:t>:</w:t>
      </w:r>
    </w:p>
    <w:p w14:paraId="32C2D033" w14:textId="76BA02F9" w:rsidR="0024006E" w:rsidRDefault="0024006E">
      <w:pPr>
        <w:rPr>
          <w:bCs/>
          <w:szCs w:val="22"/>
        </w:rPr>
      </w:pPr>
    </w:p>
    <w:p w14:paraId="344B1C04" w14:textId="6A81A3AC" w:rsidR="006F0B75" w:rsidRDefault="00260FFF">
      <w:pPr>
        <w:rPr>
          <w:bCs/>
          <w:szCs w:val="22"/>
        </w:rPr>
      </w:pPr>
      <w:r>
        <w:rPr>
          <w:bCs/>
          <w:szCs w:val="22"/>
        </w:rPr>
        <w:t>Delete “valid” at 1618.41, as requested.</w:t>
      </w:r>
    </w:p>
    <w:p w14:paraId="0A70E065" w14:textId="275D2D2D" w:rsidR="00260FFF" w:rsidRDefault="00260FFF">
      <w:pPr>
        <w:rPr>
          <w:bCs/>
          <w:szCs w:val="22"/>
        </w:rPr>
      </w:pPr>
    </w:p>
    <w:p w14:paraId="3C9AF0D0" w14:textId="745BD680" w:rsidR="00260FFF" w:rsidRDefault="00260FFF">
      <w:pPr>
        <w:rPr>
          <w:bCs/>
          <w:szCs w:val="22"/>
        </w:rPr>
      </w:pPr>
      <w:r>
        <w:rPr>
          <w:bCs/>
          <w:szCs w:val="22"/>
        </w:rPr>
        <w:t xml:space="preserve">Also, replace “no valid TSF timestamp is present” with “no </w:t>
      </w:r>
      <w:r w:rsidR="00C55AB0">
        <w:rPr>
          <w:bCs/>
          <w:szCs w:val="22"/>
        </w:rPr>
        <w:t>t</w:t>
      </w:r>
      <w:r>
        <w:rPr>
          <w:bCs/>
          <w:szCs w:val="22"/>
        </w:rPr>
        <w:t>imestamp is present</w:t>
      </w:r>
      <w:commentRangeStart w:id="0"/>
      <w:r>
        <w:rPr>
          <w:bCs/>
          <w:szCs w:val="22"/>
        </w:rPr>
        <w:t>” at both P2199.63 and P2200.2.</w:t>
      </w:r>
      <w:commentRangeEnd w:id="0"/>
      <w:r w:rsidR="00C55AB0">
        <w:rPr>
          <w:rStyle w:val="CommentReference"/>
        </w:rPr>
        <w:commentReference w:id="0"/>
      </w:r>
    </w:p>
    <w:p w14:paraId="0240EBA8" w14:textId="0F9D48F4" w:rsidR="000064B0" w:rsidRDefault="000064B0">
      <w:pPr>
        <w:rPr>
          <w:bCs/>
          <w:szCs w:val="22"/>
        </w:rPr>
      </w:pPr>
    </w:p>
    <w:p w14:paraId="63EC02CB" w14:textId="77777777" w:rsidR="000064B0" w:rsidRDefault="000064B0">
      <w:pPr>
        <w:rPr>
          <w:bCs/>
          <w:szCs w:val="22"/>
        </w:rPr>
      </w:pPr>
      <w:r w:rsidRPr="000064B0">
        <w:rPr>
          <w:bCs/>
          <w:szCs w:val="22"/>
          <w:highlight w:val="cyan"/>
        </w:rPr>
        <w:t>On June 24 teleconference, asked to add some more changes:</w:t>
      </w:r>
    </w:p>
    <w:p w14:paraId="766B6AAE" w14:textId="598E591B" w:rsidR="000064B0" w:rsidRDefault="000064B0" w:rsidP="000064B0">
      <w:pPr>
        <w:pStyle w:val="ListParagraph"/>
        <w:numPr>
          <w:ilvl w:val="0"/>
          <w:numId w:val="49"/>
        </w:numPr>
        <w:rPr>
          <w:bCs/>
          <w:szCs w:val="22"/>
        </w:rPr>
      </w:pPr>
      <w:r>
        <w:rPr>
          <w:bCs/>
          <w:szCs w:val="22"/>
        </w:rPr>
        <w:t>Fix “valid TSF timestamp” (without the “no”)</w:t>
      </w:r>
    </w:p>
    <w:p w14:paraId="38853802" w14:textId="77777777" w:rsidR="000064B0" w:rsidRDefault="000064B0" w:rsidP="000064B0">
      <w:pPr>
        <w:pStyle w:val="ListParagraph"/>
        <w:numPr>
          <w:ilvl w:val="0"/>
          <w:numId w:val="49"/>
        </w:numPr>
        <w:rPr>
          <w:bCs/>
          <w:szCs w:val="22"/>
        </w:rPr>
      </w:pPr>
      <w:r>
        <w:rPr>
          <w:bCs/>
          <w:szCs w:val="22"/>
        </w:rPr>
        <w:t>Update the descriptive strings that include “valid timestamp present”, also</w:t>
      </w:r>
    </w:p>
    <w:p w14:paraId="2E5035C2" w14:textId="562B1EA1" w:rsidR="000064B0" w:rsidRDefault="000064B0">
      <w:pPr>
        <w:rPr>
          <w:bCs/>
          <w:szCs w:val="22"/>
        </w:rPr>
      </w:pPr>
    </w:p>
    <w:p w14:paraId="4F42E772" w14:textId="03DE7879" w:rsidR="000064B0" w:rsidRDefault="000064B0">
      <w:pPr>
        <w:rPr>
          <w:bCs/>
          <w:szCs w:val="22"/>
        </w:rPr>
      </w:pPr>
      <w:r w:rsidRPr="00F8428C">
        <w:rPr>
          <w:bCs/>
          <w:szCs w:val="22"/>
          <w:highlight w:val="yellow"/>
          <w:u w:val="single"/>
        </w:rPr>
        <w:t>Proposed Resolution:</w:t>
      </w:r>
    </w:p>
    <w:p w14:paraId="08C06E1C" w14:textId="4EEA2953" w:rsidR="000064B0" w:rsidRDefault="000064B0">
      <w:pPr>
        <w:rPr>
          <w:bCs/>
          <w:szCs w:val="22"/>
        </w:rPr>
      </w:pPr>
    </w:p>
    <w:p w14:paraId="20CD9E28" w14:textId="77777777" w:rsidR="000064B0" w:rsidRDefault="000064B0" w:rsidP="000064B0">
      <w:pPr>
        <w:rPr>
          <w:bCs/>
          <w:szCs w:val="22"/>
        </w:rPr>
      </w:pPr>
      <w:r>
        <w:rPr>
          <w:bCs/>
          <w:szCs w:val="22"/>
        </w:rPr>
        <w:t>Delete “valid” at 1618.41, as requested.</w:t>
      </w:r>
    </w:p>
    <w:p w14:paraId="0B391D8E" w14:textId="77777777" w:rsidR="000064B0" w:rsidRDefault="000064B0" w:rsidP="000064B0">
      <w:pPr>
        <w:rPr>
          <w:bCs/>
          <w:szCs w:val="22"/>
        </w:rPr>
      </w:pPr>
    </w:p>
    <w:p w14:paraId="292F8CD4" w14:textId="5F544604" w:rsidR="000064B0" w:rsidRDefault="000064B0" w:rsidP="000064B0">
      <w:pPr>
        <w:rPr>
          <w:bCs/>
          <w:szCs w:val="22"/>
        </w:rPr>
      </w:pPr>
      <w:r>
        <w:rPr>
          <w:bCs/>
          <w:szCs w:val="22"/>
        </w:rPr>
        <w:t>Replace “no valid TSF timestamp is present” with “no timestamp is present” at both P2199.63 and P2200.2.</w:t>
      </w:r>
    </w:p>
    <w:p w14:paraId="203A7C5B" w14:textId="77777777" w:rsidR="000064B0" w:rsidRDefault="000064B0" w:rsidP="000064B0">
      <w:pPr>
        <w:rPr>
          <w:bCs/>
          <w:szCs w:val="22"/>
        </w:rPr>
      </w:pPr>
    </w:p>
    <w:p w14:paraId="1FBE924E" w14:textId="77777777" w:rsidR="00F8428C" w:rsidRPr="000064B0" w:rsidRDefault="00F8428C" w:rsidP="00F8428C">
      <w:pPr>
        <w:rPr>
          <w:bCs/>
          <w:szCs w:val="22"/>
        </w:rPr>
      </w:pPr>
      <w:r>
        <w:rPr>
          <w:bCs/>
          <w:szCs w:val="22"/>
        </w:rPr>
        <w:t>Replace “valid TSF timestamp” with “TSF timestamp” at P1623.41, P2193.15, P2193.19, P2193.31</w:t>
      </w:r>
    </w:p>
    <w:p w14:paraId="6CFF7B26" w14:textId="77777777" w:rsidR="00F8428C" w:rsidRPr="000064B0" w:rsidRDefault="00F8428C" w:rsidP="00F8428C">
      <w:pPr>
        <w:rPr>
          <w:bCs/>
          <w:szCs w:val="22"/>
        </w:rPr>
      </w:pPr>
    </w:p>
    <w:p w14:paraId="64746684" w14:textId="11A97D06" w:rsidR="000064B0" w:rsidRDefault="00F8428C">
      <w:pPr>
        <w:rPr>
          <w:bCs/>
          <w:szCs w:val="22"/>
        </w:rPr>
      </w:pPr>
      <w:r>
        <w:rPr>
          <w:bCs/>
          <w:szCs w:val="22"/>
        </w:rPr>
        <w:t>R</w:t>
      </w:r>
      <w:r w:rsidR="000064B0">
        <w:rPr>
          <w:bCs/>
          <w:szCs w:val="22"/>
        </w:rPr>
        <w:t>eplace:</w:t>
      </w:r>
    </w:p>
    <w:p w14:paraId="08402B66" w14:textId="3396BD99" w:rsidR="000064B0" w:rsidRDefault="000064B0" w:rsidP="000064B0">
      <w:pPr>
        <w:pStyle w:val="ListParagraph"/>
        <w:numPr>
          <w:ilvl w:val="0"/>
          <w:numId w:val="49"/>
        </w:numPr>
        <w:rPr>
          <w:bCs/>
          <w:szCs w:val="22"/>
        </w:rPr>
      </w:pPr>
      <w:r>
        <w:rPr>
          <w:bCs/>
          <w:szCs w:val="22"/>
        </w:rPr>
        <w:t>“Accept, valid timestamp present in TIM frames” with “Accept, timestamp present in TIM frames”</w:t>
      </w:r>
    </w:p>
    <w:p w14:paraId="38F45958" w14:textId="44FD4789" w:rsidR="000064B0" w:rsidRDefault="000064B0" w:rsidP="000064B0">
      <w:pPr>
        <w:pStyle w:val="ListParagraph"/>
        <w:numPr>
          <w:ilvl w:val="0"/>
          <w:numId w:val="49"/>
        </w:numPr>
        <w:rPr>
          <w:bCs/>
          <w:szCs w:val="22"/>
        </w:rPr>
      </w:pPr>
      <w:r>
        <w:rPr>
          <w:bCs/>
          <w:szCs w:val="22"/>
        </w:rPr>
        <w:t>“Overridden, valid timestamp present in TIM frames” with “Overridden, timestamp present in TIM frames”</w:t>
      </w:r>
    </w:p>
    <w:p w14:paraId="5DD82163" w14:textId="59719CF1" w:rsidR="000064B0" w:rsidRDefault="00F8428C" w:rsidP="000064B0">
      <w:pPr>
        <w:rPr>
          <w:bCs/>
          <w:szCs w:val="22"/>
        </w:rPr>
      </w:pPr>
      <w:r>
        <w:rPr>
          <w:bCs/>
          <w:szCs w:val="22"/>
        </w:rPr>
        <w:t>in Table 9-229, and</w:t>
      </w:r>
      <w:r w:rsidR="000064B0">
        <w:rPr>
          <w:bCs/>
          <w:szCs w:val="22"/>
        </w:rPr>
        <w:t xml:space="preserve"> at P1623.42, P1623.43, P2193.16, P2193.19, and P2193.28.</w:t>
      </w:r>
    </w:p>
    <w:p w14:paraId="409CE310" w14:textId="5DBFB500" w:rsidR="000064B0" w:rsidRDefault="000064B0" w:rsidP="000064B0">
      <w:pPr>
        <w:rPr>
          <w:bCs/>
          <w:szCs w:val="22"/>
        </w:rPr>
      </w:pPr>
    </w:p>
    <w:p w14:paraId="195DC66A" w14:textId="77777777" w:rsidR="00BC362E" w:rsidRDefault="000064B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362E" w14:paraId="7512EE47" w14:textId="77777777" w:rsidTr="00FB3BAA">
        <w:trPr>
          <w:trHeight w:val="524"/>
        </w:trPr>
        <w:tc>
          <w:tcPr>
            <w:tcW w:w="738" w:type="dxa"/>
            <w:tcBorders>
              <w:top w:val="single" w:sz="4" w:space="0" w:color="auto"/>
              <w:left w:val="single" w:sz="4" w:space="0" w:color="auto"/>
              <w:bottom w:val="single" w:sz="4" w:space="0" w:color="auto"/>
              <w:right w:val="single" w:sz="4" w:space="0" w:color="auto"/>
            </w:tcBorders>
            <w:hideMark/>
          </w:tcPr>
          <w:p w14:paraId="3D91A254" w14:textId="77777777" w:rsidR="00BC362E" w:rsidRDefault="00BC362E" w:rsidP="00FB3BAA">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0D57D8" w14:textId="77777777" w:rsidR="00BC362E" w:rsidRDefault="00BC362E" w:rsidP="00FB3BAA">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5EFBF73" w14:textId="77777777" w:rsidR="00BC362E" w:rsidRDefault="00BC362E" w:rsidP="00FB3BAA">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99091A5" w14:textId="77777777" w:rsidR="00BC362E" w:rsidRDefault="00BC362E" w:rsidP="00FB3BAA">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302BF4" w14:textId="77777777" w:rsidR="00BC362E" w:rsidRDefault="00BC362E" w:rsidP="00FB3BAA">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362E" w:rsidRPr="00DE7477" w14:paraId="7510FEA6" w14:textId="77777777" w:rsidTr="00FB3BAA">
        <w:trPr>
          <w:trHeight w:val="765"/>
        </w:trPr>
        <w:tc>
          <w:tcPr>
            <w:tcW w:w="738" w:type="dxa"/>
          </w:tcPr>
          <w:p w14:paraId="724C144C" w14:textId="77777777" w:rsidR="00BC362E" w:rsidRPr="00DE7477" w:rsidRDefault="00BC362E" w:rsidP="00FB3BA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6BB3A736" w14:textId="77777777" w:rsidR="00BC362E" w:rsidRPr="00DE7477" w:rsidRDefault="00BC362E" w:rsidP="00FB3BA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622A958" w14:textId="77777777" w:rsidR="00BC362E" w:rsidRPr="00DE7477" w:rsidRDefault="00BC362E" w:rsidP="00FB3BA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5AC77001" w14:textId="77777777" w:rsidR="00BC362E" w:rsidRPr="00DE7477" w:rsidRDefault="00BC362E" w:rsidP="00FB3BAA">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3020CACE" w14:textId="77777777" w:rsidR="00BC362E" w:rsidRPr="00DE7477" w:rsidRDefault="00BC362E" w:rsidP="00FB3BA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E81E4B" w:rsidRPr="00DE7477" w14:paraId="2EEA0FF7" w14:textId="77777777" w:rsidTr="00FB3BAA">
        <w:trPr>
          <w:trHeight w:val="765"/>
        </w:trPr>
        <w:tc>
          <w:tcPr>
            <w:tcW w:w="738" w:type="dxa"/>
          </w:tcPr>
          <w:p w14:paraId="4FAD5194" w14:textId="77777777" w:rsidR="00E81E4B" w:rsidRDefault="00E81E4B" w:rsidP="00FB3BAA">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471F6BB0" w14:textId="77777777" w:rsidR="00E81E4B" w:rsidRPr="00233EF1" w:rsidRDefault="00E81E4B" w:rsidP="00FB3BAA">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1B731F5F" w14:textId="77777777" w:rsidR="00E81E4B" w:rsidRPr="00233EF1" w:rsidRDefault="00E81E4B" w:rsidP="00FB3BAA">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2A875096" w14:textId="77777777" w:rsidR="00E81E4B" w:rsidRPr="00AE7C3B" w:rsidRDefault="00E81E4B" w:rsidP="00FB3BAA">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242B5280" w14:textId="77777777" w:rsidR="00E81E4B" w:rsidRDefault="00E81E4B" w:rsidP="00FB3BAA">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2D08C155" w14:textId="77777777" w:rsidR="00E81E4B" w:rsidRDefault="00E81E4B" w:rsidP="00FB3BAA">
            <w:pPr>
              <w:rPr>
                <w:rFonts w:ascii="Arial" w:eastAsia="Times New Roman" w:hAnsi="Arial" w:cs="Arial"/>
                <w:color w:val="000000"/>
                <w:sz w:val="20"/>
                <w:lang w:val="en-US"/>
              </w:rPr>
            </w:pPr>
          </w:p>
          <w:p w14:paraId="20B73146" w14:textId="747E3383" w:rsidR="00E81E4B" w:rsidRPr="00AE7C3B" w:rsidRDefault="00E81E4B" w:rsidP="00FB3BAA">
            <w:pPr>
              <w:rPr>
                <w:rFonts w:ascii="Arial" w:eastAsia="Times New Roman" w:hAnsi="Arial" w:cs="Arial"/>
                <w:color w:val="000000"/>
                <w:sz w:val="20"/>
                <w:lang w:val="en-US"/>
              </w:rPr>
            </w:pPr>
          </w:p>
        </w:tc>
      </w:tr>
    </w:tbl>
    <w:p w14:paraId="280620E4" w14:textId="77777777" w:rsidR="00BC362E" w:rsidRDefault="00BC362E" w:rsidP="00BC362E">
      <w:pPr>
        <w:rPr>
          <w:bCs/>
          <w:szCs w:val="22"/>
        </w:rPr>
      </w:pPr>
    </w:p>
    <w:p w14:paraId="0E28849A" w14:textId="77777777" w:rsidR="00BC362E" w:rsidRDefault="00BC362E" w:rsidP="00BC362E">
      <w:pPr>
        <w:rPr>
          <w:bCs/>
          <w:szCs w:val="22"/>
        </w:rPr>
      </w:pPr>
      <w:r>
        <w:rPr>
          <w:bCs/>
          <w:szCs w:val="22"/>
          <w:u w:val="single"/>
        </w:rPr>
        <w:t>Discussion:</w:t>
      </w:r>
    </w:p>
    <w:p w14:paraId="4373BD25" w14:textId="288B0D72" w:rsidR="00BC362E" w:rsidRDefault="00BC362E" w:rsidP="00BC362E">
      <w:pPr>
        <w:rPr>
          <w:bCs/>
          <w:szCs w:val="22"/>
        </w:rPr>
      </w:pPr>
    </w:p>
    <w:p w14:paraId="798F94C5" w14:textId="4F960E50" w:rsidR="00026F57" w:rsidRDefault="00026F57" w:rsidP="00BC362E">
      <w:pPr>
        <w:rPr>
          <w:bCs/>
          <w:szCs w:val="22"/>
        </w:rPr>
      </w:pPr>
      <w:r>
        <w:rPr>
          <w:bCs/>
          <w:szCs w:val="22"/>
        </w:rPr>
        <w:t>CID 4780 has been discussed previously by the CRC (</w:t>
      </w:r>
      <w:r w:rsidR="00F71192">
        <w:rPr>
          <w:bCs/>
          <w:szCs w:val="22"/>
        </w:rPr>
        <w:t>April 24)</w:t>
      </w:r>
      <w:r>
        <w:rPr>
          <w:bCs/>
          <w:szCs w:val="22"/>
        </w:rPr>
        <w:t>, with the following notes:</w:t>
      </w:r>
    </w:p>
    <w:p w14:paraId="2D618736" w14:textId="4450EF50" w:rsidR="00026F57" w:rsidRDefault="00026F57" w:rsidP="00F71192">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6FF9B55D" w14:textId="77777777" w:rsidR="00F71192" w:rsidRPr="00AE7C3B" w:rsidRDefault="00F71192" w:rsidP="00F71192">
      <w:pPr>
        <w:ind w:left="720"/>
        <w:rPr>
          <w:rFonts w:ascii="Arial" w:eastAsia="Times New Roman" w:hAnsi="Arial" w:cs="Arial"/>
          <w:color w:val="000000"/>
          <w:sz w:val="20"/>
          <w:lang w:val="en-US"/>
        </w:rPr>
      </w:pPr>
    </w:p>
    <w:p w14:paraId="118CFD5C" w14:textId="4AAFF930" w:rsidR="00026F57" w:rsidRDefault="00026F57" w:rsidP="00F71192">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5BF79661" w14:textId="77777777" w:rsidR="00F71192" w:rsidRPr="00AE7C3B" w:rsidRDefault="00F71192" w:rsidP="00F71192">
      <w:pPr>
        <w:ind w:left="720"/>
        <w:rPr>
          <w:rFonts w:ascii="Arial" w:eastAsia="Times New Roman" w:hAnsi="Arial" w:cs="Arial"/>
          <w:color w:val="000000"/>
          <w:sz w:val="20"/>
          <w:lang w:val="en-US"/>
        </w:rPr>
      </w:pPr>
    </w:p>
    <w:p w14:paraId="7106CFDF" w14:textId="68E0649F" w:rsidR="00026F57" w:rsidRDefault="00026F57" w:rsidP="00F71192">
      <w:pPr>
        <w:ind w:left="720"/>
        <w:rPr>
          <w:bCs/>
          <w:szCs w:val="22"/>
        </w:rPr>
      </w:pPr>
      <w:r w:rsidRPr="00AE7C3B">
        <w:rPr>
          <w:rFonts w:ascii="Arial" w:eastAsia="Times New Roman" w:hAnsi="Arial" w:cs="Arial"/>
          <w:color w:val="000000"/>
          <w:sz w:val="20"/>
          <w:lang w:val="en-US"/>
        </w:rPr>
        <w:t>Otherwise: REJECTED. Similar to clause 4.9 which provides the reference model for the MAC and PHY, the referenced sub-clause describe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24D3197D" w14:textId="3308A388" w:rsidR="00026F57" w:rsidRDefault="00026F57" w:rsidP="00BC362E">
      <w:pPr>
        <w:rPr>
          <w:bCs/>
          <w:szCs w:val="22"/>
        </w:rPr>
      </w:pPr>
    </w:p>
    <w:p w14:paraId="6D76588B" w14:textId="632C9511" w:rsidR="0075544F" w:rsidRDefault="0075544F" w:rsidP="00BC362E">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71D5E2EA" w14:textId="77777777" w:rsidR="0075544F" w:rsidRDefault="0075544F" w:rsidP="00BC362E">
      <w:pPr>
        <w:rPr>
          <w:bCs/>
          <w:szCs w:val="22"/>
        </w:rPr>
      </w:pPr>
    </w:p>
    <w:p w14:paraId="41B8C797" w14:textId="1EAF6FC1" w:rsidR="00F71192" w:rsidRPr="00F71192" w:rsidRDefault="00F71192" w:rsidP="00BC362E">
      <w:pPr>
        <w:rPr>
          <w:bCs/>
          <w:szCs w:val="22"/>
          <w:u w:val="single"/>
        </w:rPr>
      </w:pPr>
      <w:r w:rsidRPr="00F71192">
        <w:rPr>
          <w:bCs/>
          <w:szCs w:val="22"/>
          <w:u w:val="single"/>
        </w:rPr>
        <w:t>New discussion:</w:t>
      </w:r>
    </w:p>
    <w:p w14:paraId="4B5F0373" w14:textId="77777777" w:rsidR="00F71192" w:rsidRDefault="00F71192" w:rsidP="00BC362E">
      <w:pPr>
        <w:rPr>
          <w:bCs/>
          <w:szCs w:val="22"/>
        </w:rPr>
      </w:pPr>
    </w:p>
    <w:p w14:paraId="4A2C0CEE" w14:textId="77777777" w:rsidR="00BC362E" w:rsidRDefault="00BC362E" w:rsidP="00BC362E">
      <w:pPr>
        <w:rPr>
          <w:bCs/>
          <w:szCs w:val="22"/>
        </w:rPr>
      </w:pPr>
      <w:r>
        <w:rPr>
          <w:bCs/>
          <w:szCs w:val="22"/>
        </w:rPr>
        <w:t>Clause 4 is titled “General description”.  Its subclause headings are similarly general/high-level in tone:</w:t>
      </w:r>
    </w:p>
    <w:p w14:paraId="16F8F429" w14:textId="77777777" w:rsidR="00BC362E" w:rsidRDefault="00BC362E" w:rsidP="00BC362E">
      <w:pPr>
        <w:rPr>
          <w:bCs/>
          <w:szCs w:val="22"/>
        </w:rPr>
      </w:pPr>
    </w:p>
    <w:p w14:paraId="67BB795F" w14:textId="77777777" w:rsidR="00BC362E" w:rsidRPr="006E3269" w:rsidRDefault="00BC362E" w:rsidP="00BC362E">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4E4F8DD4" wp14:editId="5D00E20B">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1E2C1F5C" w14:textId="77777777" w:rsidR="00BC362E" w:rsidRDefault="00BC362E" w:rsidP="00BC362E">
      <w:pPr>
        <w:rPr>
          <w:bCs/>
          <w:szCs w:val="22"/>
        </w:rPr>
      </w:pPr>
    </w:p>
    <w:p w14:paraId="1DBBCAD7" w14:textId="77777777" w:rsidR="00BC362E" w:rsidRDefault="00BC362E" w:rsidP="00BC362E">
      <w:pPr>
        <w:rPr>
          <w:bCs/>
          <w:szCs w:val="22"/>
        </w:rPr>
      </w:pPr>
      <w:r>
        <w:rPr>
          <w:bCs/>
          <w:szCs w:val="22"/>
        </w:rPr>
        <w:t>The 802.11 Style Guide says, in 3.2, says:</w:t>
      </w:r>
    </w:p>
    <w:p w14:paraId="48615958" w14:textId="77777777" w:rsidR="00BC362E" w:rsidRDefault="00BC362E" w:rsidP="00BC362E">
      <w:pPr>
        <w:rPr>
          <w:bCs/>
          <w:szCs w:val="22"/>
        </w:rPr>
      </w:pPr>
    </w:p>
    <w:p w14:paraId="59AD6A7F" w14:textId="77777777" w:rsidR="00BC362E" w:rsidRPr="009B442E" w:rsidRDefault="00BC362E" w:rsidP="00BC362E">
      <w:pPr>
        <w:rPr>
          <w:bCs/>
          <w:noProof/>
          <w:szCs w:val="22"/>
          <w:bdr w:val="single" w:sz="8" w:space="0" w:color="auto" w:shadow="1"/>
        </w:rPr>
      </w:pPr>
      <w:r>
        <w:rPr>
          <w:bCs/>
          <w:noProof/>
          <w:szCs w:val="22"/>
          <w:bdr w:val="single" w:sz="8" w:space="0" w:color="auto" w:shadow="1"/>
        </w:rPr>
        <w:drawing>
          <wp:inline distT="0" distB="0" distL="0" distR="0" wp14:anchorId="05ECACA5" wp14:editId="63A7F7F4">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6CDB68B2" w14:textId="77777777" w:rsidR="00BC362E" w:rsidRDefault="00BC362E" w:rsidP="00BC362E">
      <w:pPr>
        <w:rPr>
          <w:bCs/>
          <w:szCs w:val="22"/>
        </w:rPr>
      </w:pPr>
    </w:p>
    <w:p w14:paraId="384C5758" w14:textId="77777777" w:rsidR="00BC362E" w:rsidRDefault="00BC362E" w:rsidP="00BC362E">
      <w:pPr>
        <w:rPr>
          <w:bCs/>
          <w:szCs w:val="22"/>
        </w:rPr>
      </w:pPr>
      <w:r>
        <w:rPr>
          <w:bCs/>
          <w:szCs w:val="22"/>
        </w:rPr>
        <w:t>Thus, agree with the commenter that the language should be declarative, and the intent is to be largely descriptive and not detailed.</w:t>
      </w:r>
    </w:p>
    <w:p w14:paraId="63BFAD59" w14:textId="77777777" w:rsidR="00BC362E" w:rsidRDefault="00BC362E" w:rsidP="00BC362E">
      <w:pPr>
        <w:rPr>
          <w:bCs/>
          <w:szCs w:val="22"/>
        </w:rPr>
      </w:pPr>
    </w:p>
    <w:p w14:paraId="4B6A1C21" w14:textId="77777777" w:rsidR="00BC362E" w:rsidRDefault="00BC362E" w:rsidP="00BC362E">
      <w:pPr>
        <w:rPr>
          <w:bCs/>
          <w:szCs w:val="22"/>
        </w:rPr>
      </w:pPr>
      <w:r>
        <w:rPr>
          <w:bCs/>
          <w:szCs w:val="22"/>
        </w:rPr>
        <w:t>Per the Style Guide clause 2.8, the words “shall”, “should” and “may” are normative.  There are no occurrences of shall or should in clause 4.  These occurrences of “may” exist:</w:t>
      </w:r>
    </w:p>
    <w:p w14:paraId="40C5EDF0" w14:textId="77777777" w:rsidR="00BC362E" w:rsidRDefault="00BC362E" w:rsidP="00BC362E">
      <w:pPr>
        <w:rPr>
          <w:bCs/>
          <w:szCs w:val="22"/>
        </w:rPr>
      </w:pPr>
    </w:p>
    <w:p w14:paraId="0445E2C3" w14:textId="77777777" w:rsidR="00BC362E" w:rsidRDefault="00BC362E" w:rsidP="00BC362E">
      <w:pPr>
        <w:rPr>
          <w:bCs/>
          <w:szCs w:val="22"/>
        </w:rPr>
      </w:pPr>
      <w:r>
        <w:rPr>
          <w:bCs/>
          <w:szCs w:val="22"/>
        </w:rPr>
        <w:t>P266.48:</w:t>
      </w:r>
    </w:p>
    <w:p w14:paraId="08190CC3" w14:textId="77777777" w:rsidR="00BC362E" w:rsidRPr="00C169E7" w:rsidRDefault="00BC362E" w:rsidP="00BC362E">
      <w:pPr>
        <w:rPr>
          <w:bCs/>
          <w:noProof/>
          <w:szCs w:val="22"/>
          <w:bdr w:val="single" w:sz="8" w:space="0" w:color="auto" w:shadow="1"/>
        </w:rPr>
      </w:pPr>
      <w:r w:rsidRPr="00C169E7">
        <w:rPr>
          <w:bCs/>
          <w:noProof/>
          <w:szCs w:val="22"/>
          <w:bdr w:val="single" w:sz="8" w:space="0" w:color="auto" w:shadow="1"/>
        </w:rPr>
        <w:drawing>
          <wp:inline distT="0" distB="0" distL="0" distR="0" wp14:anchorId="3DE02674" wp14:editId="5B300FAC">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440B57FA" w14:textId="77777777" w:rsidR="00BC362E" w:rsidRDefault="00BC362E" w:rsidP="00BC362E">
      <w:pPr>
        <w:rPr>
          <w:bCs/>
          <w:szCs w:val="22"/>
        </w:rPr>
      </w:pPr>
    </w:p>
    <w:p w14:paraId="023AE213" w14:textId="77777777" w:rsidR="00BC362E" w:rsidRDefault="00BC362E" w:rsidP="00BC362E">
      <w:pPr>
        <w:rPr>
          <w:bCs/>
          <w:szCs w:val="22"/>
        </w:rPr>
      </w:pPr>
      <w:r>
        <w:rPr>
          <w:bCs/>
          <w:szCs w:val="22"/>
        </w:rPr>
        <w:t>The above explicitly says the filtering in question is beyond the scope of this standard.  The “may” should be a “might”.</w:t>
      </w:r>
    </w:p>
    <w:p w14:paraId="27FF949F" w14:textId="77777777" w:rsidR="00BC362E" w:rsidRDefault="00BC362E" w:rsidP="00BC362E">
      <w:pPr>
        <w:rPr>
          <w:bCs/>
          <w:szCs w:val="22"/>
        </w:rPr>
      </w:pPr>
    </w:p>
    <w:p w14:paraId="12F56791" w14:textId="77777777" w:rsidR="00BC362E" w:rsidRDefault="00BC362E" w:rsidP="00BC362E">
      <w:pPr>
        <w:rPr>
          <w:bCs/>
          <w:szCs w:val="22"/>
        </w:rPr>
      </w:pPr>
      <w:r>
        <w:rPr>
          <w:bCs/>
          <w:szCs w:val="22"/>
        </w:rPr>
        <w:t>P271.6:</w:t>
      </w:r>
    </w:p>
    <w:p w14:paraId="6B92DAF3" w14:textId="77777777" w:rsidR="00BC362E" w:rsidRPr="00C169E7" w:rsidRDefault="00BC362E" w:rsidP="00BC362E">
      <w:pPr>
        <w:rPr>
          <w:bCs/>
          <w:noProof/>
          <w:szCs w:val="22"/>
          <w:bdr w:val="single" w:sz="8" w:space="0" w:color="auto" w:shadow="1"/>
        </w:rPr>
      </w:pPr>
      <w:r w:rsidRPr="00C169E7">
        <w:rPr>
          <w:bCs/>
          <w:noProof/>
          <w:szCs w:val="22"/>
          <w:bdr w:val="single" w:sz="8" w:space="0" w:color="auto" w:shadow="1"/>
        </w:rPr>
        <w:drawing>
          <wp:inline distT="0" distB="0" distL="0" distR="0" wp14:anchorId="5DD62A06" wp14:editId="7C1721A3">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7BE67BBC" w14:textId="77777777" w:rsidR="00BC362E" w:rsidRDefault="00BC362E" w:rsidP="00BC362E">
      <w:pPr>
        <w:rPr>
          <w:bCs/>
          <w:szCs w:val="22"/>
        </w:rPr>
      </w:pPr>
    </w:p>
    <w:p w14:paraId="5425C505" w14:textId="77777777" w:rsidR="00BC362E" w:rsidRDefault="00BC362E" w:rsidP="00BC362E">
      <w:pPr>
        <w:rPr>
          <w:bCs/>
          <w:szCs w:val="22"/>
        </w:rPr>
      </w:pPr>
      <w:r>
        <w:rPr>
          <w:bCs/>
          <w:szCs w:val="22"/>
        </w:rPr>
        <w:t>The above is discussing facilities within 802.11 itself.  The “may” should be a “can”, as this behaviour is defined elsewhere in the standard.</w:t>
      </w:r>
    </w:p>
    <w:p w14:paraId="4804360B" w14:textId="77777777" w:rsidR="00BC362E" w:rsidRDefault="00BC362E" w:rsidP="00BC362E">
      <w:pPr>
        <w:rPr>
          <w:bCs/>
          <w:szCs w:val="22"/>
        </w:rPr>
      </w:pPr>
    </w:p>
    <w:p w14:paraId="649A2D0B" w14:textId="77777777" w:rsidR="00BC362E" w:rsidRDefault="00BC362E" w:rsidP="00BC362E">
      <w:pPr>
        <w:rPr>
          <w:bCs/>
          <w:szCs w:val="22"/>
        </w:rPr>
      </w:pPr>
      <w:r>
        <w:rPr>
          <w:bCs/>
          <w:szCs w:val="22"/>
        </w:rPr>
        <w:t>P298.17:</w:t>
      </w:r>
    </w:p>
    <w:p w14:paraId="09BEF22A" w14:textId="77777777" w:rsidR="00BC362E" w:rsidRPr="00C169E7" w:rsidRDefault="00BC362E" w:rsidP="00BC362E">
      <w:pPr>
        <w:rPr>
          <w:bCs/>
          <w:noProof/>
          <w:szCs w:val="22"/>
          <w:bdr w:val="single" w:sz="8" w:space="0" w:color="auto" w:shadow="1"/>
        </w:rPr>
      </w:pPr>
      <w:r w:rsidRPr="00C169E7">
        <w:rPr>
          <w:bCs/>
          <w:noProof/>
          <w:szCs w:val="22"/>
          <w:bdr w:val="single" w:sz="8" w:space="0" w:color="auto" w:shadow="1"/>
        </w:rPr>
        <w:drawing>
          <wp:inline distT="0" distB="0" distL="0" distR="0" wp14:anchorId="1E7254EA" wp14:editId="233061A9">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7D5CEFB3" w14:textId="77777777" w:rsidR="00BC362E" w:rsidRDefault="00BC362E" w:rsidP="00BC362E">
      <w:pPr>
        <w:rPr>
          <w:bCs/>
          <w:szCs w:val="22"/>
        </w:rPr>
      </w:pPr>
    </w:p>
    <w:p w14:paraId="716499F0" w14:textId="77777777" w:rsidR="00BC362E" w:rsidRDefault="00BC362E" w:rsidP="00BC362E">
      <w:pPr>
        <w:rPr>
          <w:bCs/>
          <w:szCs w:val="22"/>
        </w:rPr>
      </w:pPr>
      <w:r>
        <w:rPr>
          <w:bCs/>
          <w:szCs w:val="22"/>
        </w:rPr>
        <w:t>The above is again discussing behaviour defined elsewhere in the standard.  The “may” should be a “can” (which is consistent with the other sentences in this paragraph).</w:t>
      </w:r>
    </w:p>
    <w:p w14:paraId="3B728C64" w14:textId="77777777" w:rsidR="00BC362E" w:rsidRDefault="00BC362E" w:rsidP="00BC362E">
      <w:pPr>
        <w:rPr>
          <w:bCs/>
          <w:szCs w:val="22"/>
        </w:rPr>
      </w:pPr>
    </w:p>
    <w:p w14:paraId="3480AA13" w14:textId="77777777" w:rsidR="00BC362E" w:rsidRDefault="00BC362E" w:rsidP="00BC362E">
      <w:pPr>
        <w:rPr>
          <w:bCs/>
          <w:szCs w:val="22"/>
        </w:rPr>
      </w:pPr>
    </w:p>
    <w:p w14:paraId="47097B43" w14:textId="77777777" w:rsidR="00BC362E" w:rsidRDefault="00BC362E" w:rsidP="00BC362E">
      <w:pPr>
        <w:rPr>
          <w:bCs/>
          <w:szCs w:val="22"/>
        </w:rPr>
      </w:pPr>
      <w:r>
        <w:rPr>
          <w:bCs/>
          <w:szCs w:val="22"/>
        </w:rPr>
        <w:t>The commenter also complains about the use of “can” in clause 4.  The Style Guide is a bit confusing on this point.  Also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51CA8371" w14:textId="77777777" w:rsidR="00BC362E" w:rsidRDefault="00BC362E" w:rsidP="00BC362E">
      <w:pPr>
        <w:rPr>
          <w:bCs/>
          <w:szCs w:val="22"/>
        </w:rPr>
      </w:pPr>
    </w:p>
    <w:p w14:paraId="6121788A" w14:textId="77777777" w:rsidR="00BC362E" w:rsidRDefault="00BC362E" w:rsidP="00BC362E">
      <w:pPr>
        <w:rPr>
          <w:bCs/>
          <w:szCs w:val="22"/>
        </w:rPr>
      </w:pPr>
      <w:r>
        <w:rPr>
          <w:bCs/>
          <w:szCs w:val="22"/>
        </w:rPr>
        <w:t>A little guidance is provided by this paragraph, just a bit later in clause 2.8 of the Style Guide:</w:t>
      </w:r>
    </w:p>
    <w:p w14:paraId="5C1A34F3" w14:textId="77777777" w:rsidR="00BC362E" w:rsidRDefault="00BC362E" w:rsidP="00BC362E">
      <w:pPr>
        <w:rPr>
          <w:bCs/>
          <w:szCs w:val="22"/>
        </w:rPr>
      </w:pPr>
    </w:p>
    <w:p w14:paraId="746E40EA" w14:textId="77777777" w:rsidR="00BC362E" w:rsidRPr="006014D7" w:rsidRDefault="00BC362E" w:rsidP="00BC362E">
      <w:pPr>
        <w:rPr>
          <w:bCs/>
          <w:noProof/>
          <w:szCs w:val="22"/>
          <w:bdr w:val="single" w:sz="8" w:space="0" w:color="auto" w:shadow="1"/>
        </w:rPr>
      </w:pPr>
      <w:r>
        <w:rPr>
          <w:bCs/>
          <w:noProof/>
          <w:szCs w:val="22"/>
          <w:bdr w:val="single" w:sz="8" w:space="0" w:color="auto" w:shadow="1"/>
        </w:rPr>
        <w:drawing>
          <wp:inline distT="0" distB="0" distL="0" distR="0" wp14:anchorId="121F6345" wp14:editId="592FFD7F">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44BD4DC3" w14:textId="77777777" w:rsidR="00BC362E" w:rsidRDefault="00BC362E" w:rsidP="00BC362E">
      <w:pPr>
        <w:rPr>
          <w:bCs/>
          <w:szCs w:val="22"/>
        </w:rPr>
      </w:pPr>
    </w:p>
    <w:p w14:paraId="2D5D1C50" w14:textId="77777777" w:rsidR="00BC362E" w:rsidRDefault="00BC362E" w:rsidP="00BC362E">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6814072C" w14:textId="77777777" w:rsidR="00BC362E" w:rsidRDefault="00BC362E" w:rsidP="00BC362E">
      <w:pPr>
        <w:rPr>
          <w:bCs/>
          <w:szCs w:val="22"/>
        </w:rPr>
      </w:pPr>
    </w:p>
    <w:p w14:paraId="63640237" w14:textId="77777777" w:rsidR="00BC362E" w:rsidRDefault="00BC362E" w:rsidP="00BC362E">
      <w:pPr>
        <w:rPr>
          <w:bCs/>
          <w:szCs w:val="22"/>
        </w:rPr>
      </w:pPr>
    </w:p>
    <w:p w14:paraId="0EB5F304" w14:textId="77777777" w:rsidR="00BC362E" w:rsidRDefault="00BC362E" w:rsidP="00BC362E">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75389DAB" w14:textId="77777777" w:rsidR="00BC362E" w:rsidRDefault="00BC362E" w:rsidP="00BC362E">
      <w:pPr>
        <w:rPr>
          <w:bCs/>
          <w:szCs w:val="22"/>
        </w:rPr>
      </w:pPr>
    </w:p>
    <w:p w14:paraId="18059253" w14:textId="77777777" w:rsidR="00BC362E" w:rsidRPr="005B5BEE" w:rsidRDefault="00BC362E" w:rsidP="00BC362E">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211CCA27" wp14:editId="68840BEA">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28CB2E87" w14:textId="77777777" w:rsidR="00BC362E" w:rsidRDefault="00BC362E" w:rsidP="00BC362E">
      <w:pPr>
        <w:rPr>
          <w:bCs/>
          <w:szCs w:val="22"/>
        </w:rPr>
      </w:pPr>
    </w:p>
    <w:p w14:paraId="15C4C99C" w14:textId="77777777" w:rsidR="00BC362E" w:rsidRDefault="00BC362E" w:rsidP="00BC362E">
      <w:pPr>
        <w:rPr>
          <w:bCs/>
          <w:szCs w:val="22"/>
        </w:rPr>
      </w:pPr>
      <w:r>
        <w:rPr>
          <w:bCs/>
          <w:szCs w:val="22"/>
        </w:rPr>
        <w:t>Flow diagrams, such as:</w:t>
      </w:r>
    </w:p>
    <w:p w14:paraId="397733F9" w14:textId="77777777" w:rsidR="00BC362E" w:rsidRDefault="00BC362E" w:rsidP="00BC362E">
      <w:pPr>
        <w:rPr>
          <w:bCs/>
          <w:noProof/>
          <w:szCs w:val="22"/>
          <w:bdr w:val="single" w:sz="8" w:space="0" w:color="auto" w:shadow="1"/>
        </w:rPr>
      </w:pPr>
      <w:r w:rsidRPr="005B5BEE">
        <w:rPr>
          <w:bCs/>
          <w:noProof/>
          <w:szCs w:val="22"/>
          <w:bdr w:val="single" w:sz="8" w:space="0" w:color="auto" w:shadow="1"/>
        </w:rPr>
        <w:drawing>
          <wp:inline distT="0" distB="0" distL="0" distR="0" wp14:anchorId="2CC9F05E" wp14:editId="5A171040">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2D11AA2E" w14:textId="77777777" w:rsidR="00BC362E" w:rsidRPr="000B6653" w:rsidRDefault="00BC362E" w:rsidP="00BC362E">
      <w:pPr>
        <w:rPr>
          <w:bCs/>
          <w:szCs w:val="22"/>
        </w:rPr>
      </w:pPr>
      <w:r>
        <w:rPr>
          <w:bCs/>
          <w:szCs w:val="22"/>
        </w:rPr>
        <w:t>a</w:t>
      </w:r>
      <w:r w:rsidRPr="000B6653">
        <w:rPr>
          <w:bCs/>
          <w:szCs w:val="22"/>
        </w:rPr>
        <w:t>nd</w:t>
      </w:r>
    </w:p>
    <w:p w14:paraId="19BA6E92" w14:textId="77777777" w:rsidR="00BC362E" w:rsidRPr="005B5BEE" w:rsidRDefault="00BC362E" w:rsidP="00BC362E">
      <w:pPr>
        <w:rPr>
          <w:bCs/>
          <w:noProof/>
          <w:szCs w:val="22"/>
          <w:bdr w:val="single" w:sz="8" w:space="0" w:color="auto" w:shadow="1"/>
        </w:rPr>
      </w:pPr>
      <w:r>
        <w:rPr>
          <w:bCs/>
          <w:noProof/>
          <w:szCs w:val="22"/>
          <w:bdr w:val="single" w:sz="8" w:space="0" w:color="auto" w:shadow="1"/>
        </w:rPr>
        <w:lastRenderedPageBreak/>
        <w:drawing>
          <wp:inline distT="0" distB="0" distL="0" distR="0" wp14:anchorId="41D759BE" wp14:editId="7D9A967A">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03091EF" w14:textId="77777777" w:rsidR="00BC362E" w:rsidRDefault="00BC362E" w:rsidP="00BC362E">
      <w:pPr>
        <w:rPr>
          <w:bCs/>
          <w:szCs w:val="22"/>
        </w:rPr>
      </w:pPr>
    </w:p>
    <w:p w14:paraId="025B4ED3" w14:textId="77777777" w:rsidR="00BC362E" w:rsidRDefault="00BC362E" w:rsidP="00BC362E">
      <w:pPr>
        <w:rPr>
          <w:bCs/>
          <w:szCs w:val="22"/>
        </w:rPr>
      </w:pPr>
      <w:r>
        <w:rPr>
          <w:bCs/>
          <w:szCs w:val="22"/>
        </w:rPr>
        <w:t>And step-by-step detailed behaviour flow such as:</w:t>
      </w:r>
    </w:p>
    <w:p w14:paraId="03EBB5B2" w14:textId="77777777" w:rsidR="00BC362E" w:rsidRDefault="00BC362E" w:rsidP="00BC362E">
      <w:pPr>
        <w:rPr>
          <w:bCs/>
          <w:szCs w:val="22"/>
        </w:rPr>
      </w:pPr>
    </w:p>
    <w:p w14:paraId="04A61442" w14:textId="77777777" w:rsidR="00BC362E" w:rsidRPr="005B5BEE" w:rsidRDefault="00BC362E" w:rsidP="00BC362E">
      <w:pPr>
        <w:rPr>
          <w:bCs/>
          <w:noProof/>
          <w:szCs w:val="22"/>
          <w:bdr w:val="single" w:sz="8" w:space="0" w:color="auto" w:shadow="1"/>
        </w:rPr>
      </w:pPr>
      <w:r w:rsidRPr="005B5BEE">
        <w:rPr>
          <w:bCs/>
          <w:noProof/>
          <w:szCs w:val="22"/>
          <w:bdr w:val="single" w:sz="8" w:space="0" w:color="auto" w:shadow="1"/>
        </w:rPr>
        <w:drawing>
          <wp:inline distT="0" distB="0" distL="0" distR="0" wp14:anchorId="2E8BB8F6" wp14:editId="41438BE9">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7263E0FC" w14:textId="77777777" w:rsidR="00BC362E" w:rsidRDefault="00BC362E" w:rsidP="00BC362E">
      <w:pPr>
        <w:rPr>
          <w:bCs/>
          <w:szCs w:val="22"/>
        </w:rPr>
      </w:pPr>
    </w:p>
    <w:p w14:paraId="7CBB1D41" w14:textId="77777777" w:rsidR="00BC362E" w:rsidRDefault="00BC362E" w:rsidP="00BC362E">
      <w:pPr>
        <w:rPr>
          <w:bCs/>
          <w:szCs w:val="22"/>
        </w:rPr>
      </w:pPr>
      <w:r>
        <w:rPr>
          <w:bCs/>
          <w:szCs w:val="22"/>
        </w:rPr>
        <w:lastRenderedPageBreak/>
        <w:t>In some of these case,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315E4DB6" w14:textId="77777777" w:rsidR="00BC362E" w:rsidRDefault="00BC362E" w:rsidP="00BC362E">
      <w:pPr>
        <w:rPr>
          <w:bCs/>
          <w:szCs w:val="22"/>
        </w:rPr>
      </w:pPr>
    </w:p>
    <w:p w14:paraId="09D805C7" w14:textId="77777777" w:rsidR="00BC362E" w:rsidRPr="003A1141" w:rsidRDefault="00BC362E" w:rsidP="00BC362E">
      <w:pPr>
        <w:rPr>
          <w:bCs/>
          <w:noProof/>
          <w:szCs w:val="22"/>
          <w:bdr w:val="single" w:sz="8" w:space="0" w:color="auto" w:shadow="1"/>
        </w:rPr>
      </w:pPr>
      <w:r w:rsidRPr="003A1141">
        <w:rPr>
          <w:bCs/>
          <w:noProof/>
          <w:szCs w:val="22"/>
          <w:bdr w:val="single" w:sz="8" w:space="0" w:color="auto" w:shadow="1"/>
        </w:rPr>
        <w:drawing>
          <wp:inline distT="0" distB="0" distL="0" distR="0" wp14:anchorId="575B3B9D" wp14:editId="620AEB4C">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3F6261C9" w14:textId="77777777" w:rsidR="00BC362E" w:rsidRDefault="00BC362E" w:rsidP="00BC362E">
      <w:pPr>
        <w:rPr>
          <w:bCs/>
          <w:szCs w:val="22"/>
        </w:rPr>
      </w:pPr>
    </w:p>
    <w:p w14:paraId="3C4E223A" w14:textId="77777777" w:rsidR="00BC362E" w:rsidRDefault="00BC362E" w:rsidP="00BC362E">
      <w:pPr>
        <w:rPr>
          <w:bCs/>
          <w:szCs w:val="22"/>
        </w:rPr>
      </w:pPr>
      <w:r>
        <w:rPr>
          <w:bCs/>
          <w:szCs w:val="22"/>
        </w:rPr>
        <w:t>In other cases, the behaviour is of a STA [sic] or AP, but the behaviour is a high-level.</w:t>
      </w:r>
    </w:p>
    <w:p w14:paraId="1C83EC7B" w14:textId="77777777" w:rsidR="00BC362E" w:rsidRDefault="00BC362E" w:rsidP="00BC362E">
      <w:pPr>
        <w:rPr>
          <w:bCs/>
          <w:szCs w:val="22"/>
        </w:rPr>
      </w:pPr>
    </w:p>
    <w:p w14:paraId="0C13E342" w14:textId="77777777" w:rsidR="00BC362E" w:rsidRDefault="00BC362E" w:rsidP="00BC362E">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720213C5" w14:textId="77777777" w:rsidR="00BC362E" w:rsidRDefault="00BC362E" w:rsidP="00BC362E">
      <w:pPr>
        <w:rPr>
          <w:bCs/>
          <w:szCs w:val="22"/>
        </w:rPr>
      </w:pPr>
    </w:p>
    <w:p w14:paraId="54BD60A1" w14:textId="77777777" w:rsidR="00BC362E" w:rsidRDefault="00BC362E" w:rsidP="00BC362E">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0030E845" w14:textId="77777777" w:rsidR="00BC362E" w:rsidRDefault="00BC362E" w:rsidP="00BC362E">
      <w:pPr>
        <w:rPr>
          <w:bCs/>
          <w:szCs w:val="22"/>
        </w:rPr>
      </w:pPr>
    </w:p>
    <w:p w14:paraId="6F4B4221" w14:textId="77777777" w:rsidR="00BC362E" w:rsidRPr="000B6653" w:rsidRDefault="00BC362E" w:rsidP="00BC362E">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57F1A6B6" wp14:editId="6C9587BB">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3534EC7E" w14:textId="77777777" w:rsidR="00BC362E" w:rsidRDefault="00BC362E" w:rsidP="00BC362E">
      <w:pPr>
        <w:rPr>
          <w:bCs/>
          <w:szCs w:val="22"/>
        </w:rPr>
      </w:pPr>
    </w:p>
    <w:p w14:paraId="4A61736B" w14:textId="77777777" w:rsidR="00BC362E" w:rsidRDefault="00BC362E" w:rsidP="00BC362E">
      <w:pPr>
        <w:rPr>
          <w:bCs/>
          <w:szCs w:val="22"/>
        </w:rPr>
      </w:pPr>
      <w:r>
        <w:rPr>
          <w:bCs/>
          <w:szCs w:val="22"/>
        </w:rPr>
        <w:t>In summary, the level of detail and appropriateness of the material in clause 4 versus clause 12 is a very fine line, if there is any distinction at all.</w:t>
      </w:r>
    </w:p>
    <w:p w14:paraId="17959AF4" w14:textId="77777777" w:rsidR="00BC362E" w:rsidRDefault="00BC362E" w:rsidP="00BC362E">
      <w:pPr>
        <w:rPr>
          <w:bCs/>
          <w:szCs w:val="22"/>
        </w:rPr>
      </w:pPr>
    </w:p>
    <w:p w14:paraId="61663644" w14:textId="77777777" w:rsidR="00BC362E" w:rsidRDefault="00BC362E" w:rsidP="00BC362E">
      <w:pPr>
        <w:rPr>
          <w:bCs/>
          <w:szCs w:val="22"/>
        </w:rPr>
      </w:pPr>
      <w:r>
        <w:rPr>
          <w:bCs/>
          <w:szCs w:val="22"/>
        </w:rPr>
        <w:t>Thus, we are left to decide what is most useful to the reader:</w:t>
      </w:r>
    </w:p>
    <w:p w14:paraId="293CAE50" w14:textId="77777777" w:rsidR="00BC362E" w:rsidRDefault="00BC362E" w:rsidP="00BC362E">
      <w:pPr>
        <w:pStyle w:val="ListParagraph"/>
        <w:numPr>
          <w:ilvl w:val="0"/>
          <w:numId w:val="49"/>
        </w:numPr>
        <w:rPr>
          <w:bCs/>
          <w:szCs w:val="22"/>
        </w:rPr>
      </w:pPr>
      <w:r>
        <w:rPr>
          <w:bCs/>
          <w:szCs w:val="22"/>
        </w:rPr>
        <w:t>Move some of the questionable material in clause 4 into a later clause, and in particular move much of subclause 4.10 into clause 12.</w:t>
      </w:r>
    </w:p>
    <w:p w14:paraId="17F80436" w14:textId="77777777" w:rsidR="00BC362E" w:rsidRDefault="00BC362E" w:rsidP="00BC362E">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20C65A98" w14:textId="77777777" w:rsidR="00BC362E" w:rsidRDefault="00BC362E" w:rsidP="00BC362E">
      <w:pPr>
        <w:rPr>
          <w:bCs/>
          <w:szCs w:val="22"/>
        </w:rPr>
      </w:pPr>
    </w:p>
    <w:p w14:paraId="748E3DED" w14:textId="77777777" w:rsidR="00BC362E" w:rsidRDefault="00BC362E" w:rsidP="00BC362E">
      <w:pPr>
        <w:rPr>
          <w:bCs/>
          <w:szCs w:val="22"/>
        </w:rPr>
      </w:pPr>
      <w:r>
        <w:rPr>
          <w:bCs/>
          <w:szCs w:val="22"/>
        </w:rPr>
        <w:t>How often are readers who frequently use this material finding themselves flipping back to clause 4, while discussing behaviour in clause 12, or vice-versa?</w:t>
      </w:r>
    </w:p>
    <w:p w14:paraId="0FEA9C98" w14:textId="77777777" w:rsidR="00BC362E" w:rsidRDefault="00BC362E" w:rsidP="00BC362E">
      <w:pPr>
        <w:rPr>
          <w:bCs/>
          <w:szCs w:val="22"/>
        </w:rPr>
      </w:pPr>
    </w:p>
    <w:p w14:paraId="3686317C" w14:textId="77777777" w:rsidR="00BC362E" w:rsidRDefault="00BC362E" w:rsidP="00BC362E">
      <w:pPr>
        <w:rPr>
          <w:bCs/>
          <w:szCs w:val="22"/>
        </w:rPr>
      </w:pPr>
    </w:p>
    <w:p w14:paraId="552539B6" w14:textId="77777777" w:rsidR="00BC362E" w:rsidRPr="00F62AC7" w:rsidRDefault="00BC362E" w:rsidP="00BC362E">
      <w:pPr>
        <w:rPr>
          <w:bCs/>
          <w:szCs w:val="22"/>
        </w:rPr>
      </w:pPr>
      <w:r>
        <w:rPr>
          <w:bCs/>
          <w:szCs w:val="22"/>
        </w:rPr>
        <w:t>For now, let’s claim this isn’t a significant problem, and the commenter was not specific about what changes would address it without causing further disruption.</w:t>
      </w:r>
    </w:p>
    <w:p w14:paraId="1023E8E4" w14:textId="77777777" w:rsidR="00BC362E" w:rsidRDefault="00BC362E" w:rsidP="00BC362E">
      <w:pPr>
        <w:rPr>
          <w:bCs/>
          <w:szCs w:val="22"/>
        </w:rPr>
      </w:pPr>
    </w:p>
    <w:p w14:paraId="4CAA2A46" w14:textId="77777777" w:rsidR="00BC362E" w:rsidRDefault="00BC362E" w:rsidP="00BC362E">
      <w:pPr>
        <w:rPr>
          <w:bCs/>
          <w:szCs w:val="22"/>
        </w:rPr>
      </w:pPr>
      <w:r w:rsidRPr="0066139B">
        <w:rPr>
          <w:bCs/>
          <w:szCs w:val="22"/>
          <w:highlight w:val="yellow"/>
          <w:u w:val="single"/>
        </w:rPr>
        <w:t>Proposed Resolution:</w:t>
      </w:r>
    </w:p>
    <w:p w14:paraId="3724A928" w14:textId="77777777" w:rsidR="00BC362E" w:rsidRDefault="00BC362E" w:rsidP="00BC362E">
      <w:pPr>
        <w:rPr>
          <w:bCs/>
          <w:szCs w:val="22"/>
        </w:rPr>
      </w:pPr>
    </w:p>
    <w:p w14:paraId="147A2253" w14:textId="77777777" w:rsidR="00BC362E" w:rsidRDefault="00BC362E" w:rsidP="00BC362E">
      <w:pPr>
        <w:rPr>
          <w:bCs/>
          <w:szCs w:val="22"/>
        </w:rPr>
      </w:pPr>
      <w:r>
        <w:rPr>
          <w:bCs/>
          <w:szCs w:val="22"/>
        </w:rPr>
        <w:t>At P266.48, replace “may” with “might”</w:t>
      </w:r>
    </w:p>
    <w:p w14:paraId="2C8385DF" w14:textId="77777777" w:rsidR="00BC362E" w:rsidRDefault="00BC362E" w:rsidP="00BC362E">
      <w:pPr>
        <w:rPr>
          <w:bCs/>
          <w:szCs w:val="22"/>
        </w:rPr>
      </w:pPr>
      <w:r>
        <w:rPr>
          <w:bCs/>
          <w:szCs w:val="22"/>
        </w:rPr>
        <w:t>At P271.6, replace “may” with “can”</w:t>
      </w:r>
    </w:p>
    <w:p w14:paraId="4CB38CEF" w14:textId="77777777" w:rsidR="00BC362E" w:rsidRDefault="00BC362E" w:rsidP="00BC362E">
      <w:pPr>
        <w:rPr>
          <w:bCs/>
          <w:szCs w:val="22"/>
        </w:rPr>
      </w:pPr>
      <w:r>
        <w:rPr>
          <w:bCs/>
          <w:szCs w:val="22"/>
        </w:rPr>
        <w:t>At P298.17, replace “may” with “can”</w:t>
      </w:r>
    </w:p>
    <w:p w14:paraId="1F328D42" w14:textId="77777777" w:rsidR="00BC362E" w:rsidRDefault="00BC362E" w:rsidP="00BC362E">
      <w:pPr>
        <w:rPr>
          <w:bCs/>
          <w:szCs w:val="22"/>
        </w:rPr>
      </w:pPr>
    </w:p>
    <w:p w14:paraId="7161EE0C" w14:textId="77777777" w:rsidR="00BC362E" w:rsidRDefault="00BC362E" w:rsidP="00BC362E">
      <w:pPr>
        <w:rPr>
          <w:bCs/>
          <w:szCs w:val="22"/>
        </w:rPr>
      </w:pPr>
      <w:r>
        <w:rPr>
          <w:bCs/>
          <w:szCs w:val="22"/>
        </w:rPr>
        <w:t xml:space="preserve">Note to commenter: These three locations are the only occurrences of a normative verb in clause 4, so these corrections now complete clause 4 being scrubbed for normative language.  Uses of “can” are not normative, per </w:t>
      </w:r>
      <w:r>
        <w:rPr>
          <w:bCs/>
          <w:szCs w:val="22"/>
        </w:rPr>
        <w:lastRenderedPageBreak/>
        <w:t>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54F630BA" w14:textId="77777777" w:rsidR="00BC362E" w:rsidRDefault="00BC362E" w:rsidP="00BC362E">
      <w:pPr>
        <w:rPr>
          <w:bCs/>
          <w:szCs w:val="22"/>
        </w:rPr>
      </w:pPr>
    </w:p>
    <w:p w14:paraId="03B83ED8" w14:textId="77777777" w:rsidR="00BC362E" w:rsidRDefault="00BC362E" w:rsidP="00BC362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1797" w14:paraId="17AB985C"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42B4A57D" w14:textId="77777777" w:rsidR="00391797" w:rsidRDefault="00391797"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73D771E" w14:textId="77777777" w:rsidR="00391797" w:rsidRDefault="00391797"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C0F710B" w14:textId="77777777" w:rsidR="00391797" w:rsidRDefault="00391797"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770A735" w14:textId="77777777" w:rsidR="00391797" w:rsidRDefault="00391797"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7CB91F8" w14:textId="77777777" w:rsidR="00391797" w:rsidRDefault="00391797"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1797" w:rsidRPr="00DE7477" w14:paraId="28EE4CED" w14:textId="77777777" w:rsidTr="00391797">
        <w:trPr>
          <w:trHeight w:val="1530"/>
        </w:trPr>
        <w:tc>
          <w:tcPr>
            <w:tcW w:w="738" w:type="dxa"/>
            <w:hideMark/>
          </w:tcPr>
          <w:p w14:paraId="2D00BCEB" w14:textId="77777777" w:rsidR="00391797" w:rsidRPr="00DE7477" w:rsidRDefault="00391797" w:rsidP="0039179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105C3F64" w14:textId="77777777" w:rsidR="00391797" w:rsidRPr="00DE7477" w:rsidRDefault="00391797" w:rsidP="0039179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3DF8A5C3" w14:textId="77777777" w:rsidR="00391797" w:rsidRPr="00DE7477" w:rsidRDefault="00391797" w:rsidP="0039179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6FBF9CB" w14:textId="77777777" w:rsidR="00391797" w:rsidRPr="00DE7477" w:rsidRDefault="00391797" w:rsidP="0039179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0BAA8CF5" w14:textId="77777777" w:rsidR="00391797" w:rsidRPr="00DE7477" w:rsidRDefault="00391797" w:rsidP="0039179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55EE5CC3" w14:textId="5909E33B" w:rsidR="00BC63F8" w:rsidRDefault="00BC63F8">
      <w:pPr>
        <w:rPr>
          <w:bCs/>
          <w:szCs w:val="22"/>
        </w:rPr>
      </w:pPr>
    </w:p>
    <w:p w14:paraId="6B5F450B" w14:textId="6C665372" w:rsidR="00391797" w:rsidRDefault="00391797">
      <w:pPr>
        <w:rPr>
          <w:bCs/>
          <w:szCs w:val="22"/>
        </w:rPr>
      </w:pPr>
      <w:r>
        <w:rPr>
          <w:bCs/>
          <w:szCs w:val="22"/>
          <w:u w:val="single"/>
        </w:rPr>
        <w:t>Discussion:</w:t>
      </w:r>
    </w:p>
    <w:p w14:paraId="2C9C2F95" w14:textId="7EDA21A5" w:rsidR="00391797" w:rsidRDefault="00391797">
      <w:pPr>
        <w:rPr>
          <w:bCs/>
          <w:szCs w:val="22"/>
        </w:rPr>
      </w:pPr>
    </w:p>
    <w:p w14:paraId="1149B1D4" w14:textId="6E29B979" w:rsidR="00391797" w:rsidRPr="00391797" w:rsidRDefault="00391797">
      <w:pPr>
        <w:rPr>
          <w:bCs/>
          <w:noProof/>
          <w:szCs w:val="22"/>
          <w:bdr w:val="single" w:sz="8" w:space="0" w:color="auto" w:shadow="1"/>
        </w:rPr>
      </w:pPr>
      <w:r w:rsidRPr="00391797">
        <w:rPr>
          <w:bCs/>
          <w:noProof/>
          <w:szCs w:val="22"/>
          <w:bdr w:val="single" w:sz="8" w:space="0" w:color="auto" w:shadow="1"/>
        </w:rPr>
        <w:drawing>
          <wp:inline distT="0" distB="0" distL="0" distR="0" wp14:anchorId="7DB867EE" wp14:editId="3D8338E0">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1CFF4BB1" w14:textId="016BC3CF" w:rsidR="00391797" w:rsidRDefault="00391797">
      <w:pPr>
        <w:rPr>
          <w:bCs/>
          <w:szCs w:val="22"/>
        </w:rPr>
      </w:pPr>
    </w:p>
    <w:p w14:paraId="1E439080" w14:textId="387ECBEB" w:rsidR="00391797" w:rsidRDefault="00391797">
      <w:pPr>
        <w:rPr>
          <w:bCs/>
          <w:szCs w:val="22"/>
        </w:rPr>
      </w:pPr>
      <w:r>
        <w:rPr>
          <w:bCs/>
          <w:szCs w:val="22"/>
        </w:rPr>
        <w:t xml:space="preserve">Agree </w:t>
      </w:r>
      <w:r w:rsidR="002E5A43">
        <w:rPr>
          <w:bCs/>
          <w:szCs w:val="22"/>
        </w:rPr>
        <w:t>the “decimal” is unnecessary and potentially confusing.  This appears to be the only occurrence of a usage like this in the Draft.</w:t>
      </w:r>
    </w:p>
    <w:p w14:paraId="7361C0EC" w14:textId="083313AD" w:rsidR="002E5A43" w:rsidRDefault="002E5A43">
      <w:pPr>
        <w:rPr>
          <w:bCs/>
          <w:szCs w:val="22"/>
        </w:rPr>
      </w:pPr>
    </w:p>
    <w:p w14:paraId="2A8683BA" w14:textId="7E5C81AA" w:rsidR="002E5A43" w:rsidRDefault="002E5A43">
      <w:pPr>
        <w:rPr>
          <w:bCs/>
          <w:szCs w:val="22"/>
        </w:rPr>
      </w:pPr>
      <w:r w:rsidRPr="002E5A43">
        <w:rPr>
          <w:bCs/>
          <w:szCs w:val="22"/>
          <w:highlight w:val="yellow"/>
          <w:u w:val="single"/>
        </w:rPr>
        <w:t>Proposed Resolution</w:t>
      </w:r>
      <w:r w:rsidRPr="002E5A43">
        <w:rPr>
          <w:bCs/>
          <w:szCs w:val="22"/>
          <w:highlight w:val="yellow"/>
        </w:rPr>
        <w:t>:</w:t>
      </w:r>
    </w:p>
    <w:p w14:paraId="3DE75D54" w14:textId="6FF4420B" w:rsidR="002E5A43" w:rsidRDefault="002E5A43">
      <w:pPr>
        <w:rPr>
          <w:bCs/>
          <w:szCs w:val="22"/>
        </w:rPr>
      </w:pPr>
    </w:p>
    <w:p w14:paraId="08969ABB" w14:textId="29465278" w:rsidR="002E5A43" w:rsidRPr="002E5A43" w:rsidRDefault="002E5A43">
      <w:pPr>
        <w:rPr>
          <w:bCs/>
          <w:szCs w:val="22"/>
        </w:rPr>
      </w:pPr>
      <w:r>
        <w:rPr>
          <w:bCs/>
          <w:szCs w:val="22"/>
        </w:rPr>
        <w:t>Accepted.</w:t>
      </w:r>
    </w:p>
    <w:p w14:paraId="4A0CAD01" w14:textId="77777777" w:rsidR="00391797" w:rsidRPr="00391797" w:rsidRDefault="00391797">
      <w:pPr>
        <w:rPr>
          <w:bCs/>
          <w:szCs w:val="22"/>
        </w:rPr>
      </w:pPr>
    </w:p>
    <w:p w14:paraId="07911733" w14:textId="77777777" w:rsidR="002E5A43" w:rsidRDefault="0039179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E5A43" w14:paraId="3B394370" w14:textId="77777777" w:rsidTr="00C55AB0">
        <w:trPr>
          <w:trHeight w:val="524"/>
        </w:trPr>
        <w:tc>
          <w:tcPr>
            <w:tcW w:w="738" w:type="dxa"/>
            <w:tcBorders>
              <w:top w:val="single" w:sz="4" w:space="0" w:color="auto"/>
              <w:left w:val="single" w:sz="4" w:space="0" w:color="auto"/>
              <w:bottom w:val="single" w:sz="4" w:space="0" w:color="auto"/>
              <w:right w:val="single" w:sz="4" w:space="0" w:color="auto"/>
            </w:tcBorders>
            <w:hideMark/>
          </w:tcPr>
          <w:p w14:paraId="6433A9C9" w14:textId="77777777" w:rsidR="002E5A43" w:rsidRDefault="002E5A43"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D056EF2" w14:textId="77777777" w:rsidR="002E5A43" w:rsidRDefault="002E5A43"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47DF51C" w14:textId="77777777" w:rsidR="002E5A43" w:rsidRDefault="002E5A43"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30F9AE" w14:textId="77777777" w:rsidR="002E5A43" w:rsidRDefault="002E5A43"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4E75F22" w14:textId="77777777" w:rsidR="002E5A43" w:rsidRDefault="002E5A43"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E5A43" w:rsidRPr="00DE7477" w14:paraId="5449E378" w14:textId="77777777" w:rsidTr="00C55AB0">
        <w:trPr>
          <w:trHeight w:val="2040"/>
        </w:trPr>
        <w:tc>
          <w:tcPr>
            <w:tcW w:w="738" w:type="dxa"/>
            <w:hideMark/>
          </w:tcPr>
          <w:p w14:paraId="1EDD0059" w14:textId="77777777" w:rsidR="002E5A43" w:rsidRPr="00DE7477" w:rsidRDefault="002E5A43" w:rsidP="00C55AB0">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F6315F3" w14:textId="77777777" w:rsidR="002E5A43" w:rsidRPr="00DE7477" w:rsidRDefault="002E5A43" w:rsidP="00C55AB0">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74DC6EC" w14:textId="77777777" w:rsidR="002E5A43" w:rsidRPr="00DE7477" w:rsidRDefault="002E5A43" w:rsidP="00C55AB0">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DD515B0" w14:textId="77777777" w:rsidR="002E5A43" w:rsidRPr="00DE7477" w:rsidRDefault="002E5A43" w:rsidP="00C55AB0">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32ADE57E" w14:textId="77777777" w:rsidR="002E5A43" w:rsidRPr="00DE7477" w:rsidRDefault="002E5A43" w:rsidP="00C55AB0">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5BF425AD" w14:textId="31A8647C" w:rsidR="00391797" w:rsidRDefault="00391797">
      <w:pPr>
        <w:rPr>
          <w:bCs/>
          <w:szCs w:val="22"/>
        </w:rPr>
      </w:pPr>
    </w:p>
    <w:p w14:paraId="2423C67C" w14:textId="71464BE3" w:rsidR="002E5A43" w:rsidRDefault="002E5A43">
      <w:pPr>
        <w:rPr>
          <w:bCs/>
          <w:szCs w:val="22"/>
        </w:rPr>
      </w:pPr>
      <w:r>
        <w:rPr>
          <w:bCs/>
          <w:szCs w:val="22"/>
          <w:u w:val="single"/>
        </w:rPr>
        <w:t>Discussion:</w:t>
      </w:r>
    </w:p>
    <w:p w14:paraId="30DA4132" w14:textId="36F426EA" w:rsidR="002E5A43" w:rsidRDefault="002E5A43">
      <w:pPr>
        <w:rPr>
          <w:bCs/>
          <w:szCs w:val="22"/>
        </w:rPr>
      </w:pPr>
    </w:p>
    <w:p w14:paraId="4F85BACB" w14:textId="68A241DA" w:rsidR="00BA02D1" w:rsidRDefault="00BA02D1">
      <w:pPr>
        <w:rPr>
          <w:bCs/>
          <w:szCs w:val="22"/>
        </w:rPr>
      </w:pPr>
      <w:r>
        <w:rPr>
          <w:bCs/>
          <w:szCs w:val="22"/>
        </w:rPr>
        <w:t>Context:</w:t>
      </w:r>
    </w:p>
    <w:p w14:paraId="33C5360B" w14:textId="2FB7026A" w:rsidR="00BA02D1" w:rsidRDefault="00BA02D1">
      <w:pPr>
        <w:rPr>
          <w:bCs/>
          <w:szCs w:val="22"/>
        </w:rPr>
      </w:pPr>
    </w:p>
    <w:p w14:paraId="1AE45BC0" w14:textId="579C2063" w:rsidR="00BA02D1" w:rsidRPr="00BA02D1" w:rsidRDefault="00BA02D1">
      <w:pPr>
        <w:rPr>
          <w:bCs/>
          <w:noProof/>
          <w:szCs w:val="22"/>
          <w:bdr w:val="single" w:sz="8" w:space="0" w:color="auto" w:shadow="1"/>
        </w:rPr>
      </w:pPr>
      <w:r w:rsidRPr="00BA02D1">
        <w:rPr>
          <w:bCs/>
          <w:noProof/>
          <w:szCs w:val="22"/>
          <w:bdr w:val="single" w:sz="8" w:space="0" w:color="auto" w:shadow="1"/>
        </w:rPr>
        <w:drawing>
          <wp:inline distT="0" distB="0" distL="0" distR="0" wp14:anchorId="08847596" wp14:editId="017A9B15">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5958A569" w14:textId="77777777" w:rsidR="00BA02D1" w:rsidRDefault="00BA02D1">
      <w:pPr>
        <w:rPr>
          <w:bCs/>
          <w:szCs w:val="22"/>
        </w:rPr>
      </w:pPr>
    </w:p>
    <w:p w14:paraId="7364F2D3" w14:textId="2459D989" w:rsidR="002E5A43" w:rsidRDefault="00BA02D1">
      <w:pPr>
        <w:rPr>
          <w:bCs/>
          <w:szCs w:val="22"/>
        </w:rPr>
      </w:pPr>
      <w:r>
        <w:rPr>
          <w:bCs/>
          <w:szCs w:val="22"/>
        </w:rPr>
        <w:t>From a similar comment, CID 1400:</w:t>
      </w:r>
    </w:p>
    <w:p w14:paraId="25FB3530" w14:textId="313432CD" w:rsidR="00BA02D1" w:rsidRDefault="00BA02D1">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8B0128" w:rsidRPr="007837C2" w14:paraId="2629BAD8" w14:textId="77777777" w:rsidTr="008B0128">
        <w:trPr>
          <w:trHeight w:val="1020"/>
        </w:trPr>
        <w:tc>
          <w:tcPr>
            <w:tcW w:w="738" w:type="dxa"/>
            <w:hideMark/>
          </w:tcPr>
          <w:p w14:paraId="5DE261C4"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50CD73DE"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4E2F96A"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2875BAE"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5DD50BEF" w14:textId="77777777" w:rsidR="008B0128" w:rsidRPr="007837C2" w:rsidRDefault="008B0128" w:rsidP="00C55AB0">
            <w:pPr>
              <w:autoSpaceDE w:val="0"/>
              <w:autoSpaceDN w:val="0"/>
              <w:adjustRightInd w:val="0"/>
              <w:rPr>
                <w:rFonts w:ascii="Arial" w:hAnsi="Arial" w:cs="Arial"/>
                <w:sz w:val="20"/>
                <w:lang w:eastAsia="ja-JP" w:bidi="he-IL"/>
              </w:rPr>
            </w:pPr>
          </w:p>
        </w:tc>
        <w:tc>
          <w:tcPr>
            <w:tcW w:w="2880" w:type="dxa"/>
            <w:hideMark/>
          </w:tcPr>
          <w:p w14:paraId="5137B4FA"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8(n-1)+7" should be clearer as to what kind of MCS</w:t>
            </w:r>
          </w:p>
        </w:tc>
        <w:tc>
          <w:tcPr>
            <w:tcW w:w="2724" w:type="dxa"/>
            <w:hideMark/>
          </w:tcPr>
          <w:p w14:paraId="6126BCE6" w14:textId="77777777" w:rsidR="008B0128" w:rsidRPr="007837C2" w:rsidRDefault="008B0128" w:rsidP="00C55AB0">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9F1AA8A" w14:textId="77777777" w:rsidR="008B0128" w:rsidRDefault="008B0128" w:rsidP="008B0128">
      <w:pPr>
        <w:ind w:left="720"/>
      </w:pPr>
    </w:p>
    <w:p w14:paraId="37284135" w14:textId="77777777" w:rsidR="008B0128" w:rsidRPr="00FD405F" w:rsidRDefault="008B0128" w:rsidP="008B0128">
      <w:pPr>
        <w:ind w:left="720"/>
        <w:rPr>
          <w:u w:val="single"/>
        </w:rPr>
      </w:pPr>
      <w:r w:rsidRPr="00FD405F">
        <w:rPr>
          <w:u w:val="single"/>
        </w:rPr>
        <w:t>Discussion:</w:t>
      </w:r>
    </w:p>
    <w:p w14:paraId="1E5A5643" w14:textId="77777777" w:rsidR="008B0128" w:rsidRDefault="008B0128" w:rsidP="008B0128">
      <w:pPr>
        <w:ind w:left="720"/>
      </w:pPr>
    </w:p>
    <w:p w14:paraId="0DC20203" w14:textId="6AF36FF5" w:rsidR="00BA02D1" w:rsidRDefault="00BA02D1" w:rsidP="00BA02D1">
      <w:pPr>
        <w:ind w:left="720"/>
      </w:pPr>
      <w:r>
        <w:t xml:space="preserve">Context: </w:t>
      </w:r>
    </w:p>
    <w:p w14:paraId="66D3E91B" w14:textId="77777777" w:rsidR="00BA02D1" w:rsidRPr="00BA02D1" w:rsidRDefault="00BA02D1" w:rsidP="00BA02D1">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1591A77D" wp14:editId="61C42124">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6AA29D9A" w14:textId="77777777" w:rsidR="00BA02D1" w:rsidRDefault="00BA02D1" w:rsidP="00BA02D1">
      <w:pPr>
        <w:ind w:left="720"/>
      </w:pPr>
    </w:p>
    <w:p w14:paraId="7B851341" w14:textId="77777777" w:rsidR="00BA02D1" w:rsidRDefault="00BA02D1" w:rsidP="00BA02D1">
      <w:pPr>
        <w:ind w:left="720"/>
      </w:pPr>
      <w:r>
        <w:t>Arguably, it should be apparent that setting bits in the Rx MCS Bitmask contained in the HT Capabilites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B409D8C" w14:textId="77777777" w:rsidR="00BA02D1" w:rsidRDefault="00BA02D1" w:rsidP="00BA02D1">
      <w:pPr>
        <w:ind w:left="720"/>
      </w:pPr>
    </w:p>
    <w:p w14:paraId="38E8E44B" w14:textId="77777777" w:rsidR="00BA02D1" w:rsidRDefault="00BA02D1" w:rsidP="00BA02D1">
      <w:pPr>
        <w:ind w:left="720"/>
      </w:pPr>
      <w:r>
        <w:t>The use of “HT-MCS” (with the hyphen) seems to be limited to “Basic HT-MCS Set” (the fieldname), however.  The usage is “HT MCS” where the “HT” is an adjective.</w:t>
      </w:r>
    </w:p>
    <w:p w14:paraId="598AE251" w14:textId="77777777" w:rsidR="00BA02D1" w:rsidRDefault="00BA02D1" w:rsidP="00BA02D1">
      <w:pPr>
        <w:ind w:left="720"/>
      </w:pPr>
    </w:p>
    <w:p w14:paraId="40192BCC" w14:textId="77777777" w:rsidR="00BA02D1" w:rsidRPr="004964AA" w:rsidRDefault="00BA02D1" w:rsidP="00BA02D1">
      <w:pPr>
        <w:ind w:left="720"/>
        <w:rPr>
          <w:u w:val="single"/>
        </w:rPr>
      </w:pPr>
      <w:r w:rsidRPr="00517A37">
        <w:rPr>
          <w:highlight w:val="green"/>
          <w:u w:val="single"/>
        </w:rPr>
        <w:t>Proposed Resolution:</w:t>
      </w:r>
    </w:p>
    <w:p w14:paraId="20B1F9F1" w14:textId="77777777" w:rsidR="00BA02D1" w:rsidRDefault="00BA02D1" w:rsidP="00BA02D1">
      <w:pPr>
        <w:ind w:left="720"/>
      </w:pPr>
    </w:p>
    <w:p w14:paraId="66CE5B4E" w14:textId="77777777" w:rsidR="00BA02D1" w:rsidRDefault="00BA02D1" w:rsidP="00BA02D1">
      <w:pPr>
        <w:ind w:left="720"/>
      </w:pPr>
      <w:r>
        <w:t>Revised.  On lines 22 and 23 at the referenced page change “MCSs” to “HT MCSs”.</w:t>
      </w:r>
    </w:p>
    <w:p w14:paraId="3A8DBD70" w14:textId="6AA938CB" w:rsidR="00BA02D1" w:rsidRDefault="00BA02D1">
      <w:pPr>
        <w:rPr>
          <w:bCs/>
          <w:szCs w:val="22"/>
        </w:rPr>
      </w:pPr>
    </w:p>
    <w:p w14:paraId="6ECB9492" w14:textId="64AE5AF0" w:rsidR="00163A68" w:rsidRDefault="008B0128">
      <w:pPr>
        <w:rPr>
          <w:bCs/>
          <w:szCs w:val="22"/>
        </w:rPr>
      </w:pPr>
      <w:r>
        <w:rPr>
          <w:bCs/>
          <w:szCs w:val="22"/>
        </w:rPr>
        <w:t>There has been a general move to make uses of “MCS” clear as to their applicable scope, “HT-MCS”, “VHT-MCS”, etc.  Only in situations where the applicability is meant to be general, do we leave it as “MCS”</w:t>
      </w:r>
      <w:r w:rsidR="00163A68">
        <w:rPr>
          <w:bCs/>
          <w:szCs w:val="22"/>
        </w:rPr>
        <w:t xml:space="preserve">.  While this almost certainly hasn’t been followed 100%, the </w:t>
      </w:r>
      <w:r w:rsidR="00074D61">
        <w:rPr>
          <w:bCs/>
          <w:szCs w:val="22"/>
        </w:rPr>
        <w:t>proposed</w:t>
      </w:r>
      <w:r w:rsidR="00163A68">
        <w:rPr>
          <w:bCs/>
          <w:szCs w:val="22"/>
        </w:rPr>
        <w:t xml:space="preserve"> direction seems okay.</w:t>
      </w:r>
      <w:r w:rsidR="00074D61">
        <w:rPr>
          <w:bCs/>
          <w:szCs w:val="22"/>
        </w:rPr>
        <w:t xml:space="preserve">  Also, the uses of “MCS” in the paragraph before Table 9-386, which have general applicability, are okay, as is.</w:t>
      </w:r>
    </w:p>
    <w:p w14:paraId="5A7C8AAF" w14:textId="77777777" w:rsidR="00163A68" w:rsidRDefault="00163A68">
      <w:pPr>
        <w:rPr>
          <w:bCs/>
          <w:szCs w:val="22"/>
        </w:rPr>
      </w:pPr>
    </w:p>
    <w:p w14:paraId="78F4AC0B" w14:textId="3FD38D37" w:rsidR="00BA02D1" w:rsidRDefault="00163A68">
      <w:pPr>
        <w:rPr>
          <w:bCs/>
          <w:szCs w:val="22"/>
        </w:rPr>
      </w:pPr>
      <w:r>
        <w:rPr>
          <w:bCs/>
          <w:szCs w:val="22"/>
        </w:rPr>
        <w:t xml:space="preserve">Also, CID 2446, in document 11-19/0838r1, corrected a number of instances of the phrase without a hyphen (such as “HT MCS”) to have the hyphen.  So, the hyphenated version </w:t>
      </w:r>
      <w:r w:rsidR="00074D61">
        <w:rPr>
          <w:bCs/>
          <w:szCs w:val="22"/>
        </w:rPr>
        <w:t>is correct.</w:t>
      </w:r>
    </w:p>
    <w:p w14:paraId="0A3BDAA0" w14:textId="77777777" w:rsidR="00BA02D1" w:rsidRDefault="00BA02D1">
      <w:pPr>
        <w:rPr>
          <w:bCs/>
          <w:szCs w:val="22"/>
        </w:rPr>
      </w:pPr>
    </w:p>
    <w:p w14:paraId="47CBD66D" w14:textId="67026533" w:rsidR="002E5A43" w:rsidRDefault="00074D61">
      <w:pPr>
        <w:rPr>
          <w:bCs/>
          <w:szCs w:val="22"/>
        </w:rPr>
      </w:pPr>
      <w:r w:rsidRPr="00074D61">
        <w:rPr>
          <w:bCs/>
          <w:szCs w:val="22"/>
          <w:highlight w:val="yellow"/>
          <w:u w:val="single"/>
        </w:rPr>
        <w:t>Proposed Resolution:</w:t>
      </w:r>
    </w:p>
    <w:p w14:paraId="61F1429F" w14:textId="7F95B994" w:rsidR="00074D61" w:rsidRDefault="00074D61">
      <w:pPr>
        <w:rPr>
          <w:bCs/>
          <w:szCs w:val="22"/>
        </w:rPr>
      </w:pPr>
    </w:p>
    <w:p w14:paraId="2DFD7195" w14:textId="71FC7370" w:rsidR="00074D61" w:rsidRDefault="00074D61">
      <w:pPr>
        <w:rPr>
          <w:bCs/>
          <w:szCs w:val="22"/>
        </w:rPr>
      </w:pPr>
      <w:r>
        <w:rPr>
          <w:bCs/>
          <w:szCs w:val="22"/>
        </w:rPr>
        <w:t>Accepted.</w:t>
      </w:r>
    </w:p>
    <w:p w14:paraId="7CE587DE" w14:textId="77777777" w:rsidR="00074D61" w:rsidRPr="00074D61" w:rsidRDefault="00074D61">
      <w:pPr>
        <w:rPr>
          <w:bCs/>
          <w:szCs w:val="22"/>
        </w:rPr>
      </w:pPr>
    </w:p>
    <w:p w14:paraId="11C7B736" w14:textId="77777777" w:rsidR="00386B9B" w:rsidRDefault="002E5A4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86B9B" w14:paraId="69B01AF4" w14:textId="77777777" w:rsidTr="00C55AB0">
        <w:trPr>
          <w:trHeight w:val="524"/>
        </w:trPr>
        <w:tc>
          <w:tcPr>
            <w:tcW w:w="738" w:type="dxa"/>
            <w:tcBorders>
              <w:top w:val="single" w:sz="4" w:space="0" w:color="auto"/>
              <w:left w:val="single" w:sz="4" w:space="0" w:color="auto"/>
              <w:bottom w:val="single" w:sz="4" w:space="0" w:color="auto"/>
              <w:right w:val="single" w:sz="4" w:space="0" w:color="auto"/>
            </w:tcBorders>
            <w:hideMark/>
          </w:tcPr>
          <w:p w14:paraId="35CC56F4" w14:textId="77777777" w:rsidR="00386B9B" w:rsidRDefault="00386B9B"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B309B4A" w14:textId="77777777" w:rsidR="00386B9B" w:rsidRDefault="00386B9B"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C25F1F" w14:textId="77777777" w:rsidR="00386B9B" w:rsidRDefault="00386B9B"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5C7D7D7" w14:textId="77777777" w:rsidR="00386B9B" w:rsidRDefault="00386B9B"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EB03A0F" w14:textId="77777777" w:rsidR="00386B9B" w:rsidRDefault="00386B9B"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86B9B" w:rsidRPr="00DE7477" w14:paraId="46F9C0CD" w14:textId="77777777" w:rsidTr="00C55AB0">
        <w:trPr>
          <w:trHeight w:val="1275"/>
        </w:trPr>
        <w:tc>
          <w:tcPr>
            <w:tcW w:w="738" w:type="dxa"/>
            <w:hideMark/>
          </w:tcPr>
          <w:p w14:paraId="2406E3C0" w14:textId="77777777" w:rsidR="00386B9B" w:rsidRPr="00DE7477" w:rsidRDefault="00386B9B" w:rsidP="00C55AB0">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375BFFD0" w14:textId="77777777" w:rsidR="00386B9B" w:rsidRPr="00DE7477" w:rsidRDefault="00386B9B" w:rsidP="00C55AB0">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F7197D7" w14:textId="77777777" w:rsidR="00386B9B" w:rsidRPr="00DE7477" w:rsidRDefault="00386B9B" w:rsidP="00C55AB0">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3DB05AC" w14:textId="77777777" w:rsidR="00386B9B" w:rsidRPr="00DE7477" w:rsidRDefault="00386B9B" w:rsidP="00C55AB0">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47566E9" w14:textId="77777777" w:rsidR="00386B9B" w:rsidRPr="00DE7477" w:rsidRDefault="00386B9B" w:rsidP="00C55AB0">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404BAFF8" w14:textId="76664F3D" w:rsidR="002E5A43" w:rsidRDefault="002E5A43">
      <w:pPr>
        <w:rPr>
          <w:bCs/>
          <w:szCs w:val="22"/>
        </w:rPr>
      </w:pPr>
    </w:p>
    <w:p w14:paraId="4DFABE09" w14:textId="71691699" w:rsidR="00386B9B" w:rsidRDefault="00386B9B">
      <w:pPr>
        <w:rPr>
          <w:bCs/>
          <w:szCs w:val="22"/>
        </w:rPr>
      </w:pPr>
      <w:r>
        <w:rPr>
          <w:bCs/>
          <w:szCs w:val="22"/>
          <w:u w:val="single"/>
        </w:rPr>
        <w:t>Discussion:</w:t>
      </w:r>
    </w:p>
    <w:p w14:paraId="6794D634" w14:textId="53EA7503" w:rsidR="00386B9B" w:rsidRDefault="00386B9B">
      <w:pPr>
        <w:rPr>
          <w:bCs/>
          <w:szCs w:val="22"/>
        </w:rPr>
      </w:pPr>
    </w:p>
    <w:p w14:paraId="6497D20C" w14:textId="1749E565" w:rsidR="00386B9B" w:rsidRPr="00386B9B" w:rsidRDefault="00386B9B" w:rsidP="00386B9B">
      <w:pPr>
        <w:rPr>
          <w:bCs/>
          <w:noProof/>
          <w:szCs w:val="22"/>
          <w:bdr w:val="single" w:sz="8" w:space="0" w:color="auto" w:shadow="1"/>
        </w:rPr>
      </w:pPr>
      <w:r w:rsidRPr="00386B9B">
        <w:rPr>
          <w:bCs/>
          <w:noProof/>
          <w:szCs w:val="22"/>
          <w:bdr w:val="single" w:sz="8" w:space="0" w:color="auto" w:shadow="1"/>
        </w:rPr>
        <w:drawing>
          <wp:inline distT="0" distB="0" distL="0" distR="0" wp14:anchorId="5840A3A8" wp14:editId="5F4CA337">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08F21A5A" w14:textId="7285D444" w:rsidR="00386B9B" w:rsidRDefault="00386B9B">
      <w:pPr>
        <w:rPr>
          <w:bCs/>
          <w:szCs w:val="22"/>
        </w:rPr>
      </w:pPr>
    </w:p>
    <w:p w14:paraId="132D1F54" w14:textId="299CD3FB" w:rsidR="00386B9B" w:rsidRPr="00386B9B" w:rsidRDefault="00386B9B">
      <w:pPr>
        <w:rPr>
          <w:bCs/>
          <w:noProof/>
          <w:szCs w:val="22"/>
          <w:bdr w:val="single" w:sz="8" w:space="0" w:color="auto" w:shadow="1"/>
        </w:rPr>
      </w:pPr>
      <w:r w:rsidRPr="00386B9B">
        <w:rPr>
          <w:bCs/>
          <w:noProof/>
          <w:szCs w:val="22"/>
          <w:bdr w:val="single" w:sz="8" w:space="0" w:color="auto" w:shadow="1"/>
        </w:rPr>
        <w:drawing>
          <wp:inline distT="0" distB="0" distL="0" distR="0" wp14:anchorId="0AAC5310" wp14:editId="515E4C2A">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FC0B2BA" w14:textId="539DBA5F" w:rsidR="00386B9B" w:rsidRDefault="00386B9B">
      <w:pPr>
        <w:rPr>
          <w:bCs/>
          <w:szCs w:val="22"/>
        </w:rPr>
      </w:pPr>
    </w:p>
    <w:p w14:paraId="6503AE58" w14:textId="08B30AAF" w:rsidR="00386B9B" w:rsidRDefault="00386B9B">
      <w:pPr>
        <w:rPr>
          <w:bCs/>
          <w:szCs w:val="22"/>
        </w:rPr>
      </w:pPr>
      <w:r>
        <w:rPr>
          <w:bCs/>
          <w:szCs w:val="22"/>
        </w:rPr>
        <w:t>Agree with the comment, these should be lablled “B0 B1”.</w:t>
      </w:r>
    </w:p>
    <w:p w14:paraId="57AD8023" w14:textId="3619B122" w:rsidR="00386B9B" w:rsidRDefault="00386B9B">
      <w:pPr>
        <w:rPr>
          <w:bCs/>
          <w:szCs w:val="22"/>
        </w:rPr>
      </w:pPr>
    </w:p>
    <w:p w14:paraId="12AD26D8" w14:textId="349FB861" w:rsidR="00386B9B" w:rsidRDefault="00386B9B">
      <w:pPr>
        <w:rPr>
          <w:bCs/>
          <w:szCs w:val="22"/>
        </w:rPr>
      </w:pPr>
      <w:r w:rsidRPr="00386B9B">
        <w:rPr>
          <w:bCs/>
          <w:szCs w:val="22"/>
          <w:highlight w:val="yellow"/>
          <w:u w:val="single"/>
        </w:rPr>
        <w:t>Proposed Resolution:</w:t>
      </w:r>
    </w:p>
    <w:p w14:paraId="045B8327" w14:textId="45C32950" w:rsidR="00386B9B" w:rsidRDefault="00386B9B">
      <w:pPr>
        <w:rPr>
          <w:bCs/>
          <w:szCs w:val="22"/>
        </w:rPr>
      </w:pPr>
    </w:p>
    <w:p w14:paraId="6B14BA1A" w14:textId="2C922C09" w:rsidR="00386B9B" w:rsidRDefault="00386B9B">
      <w:pPr>
        <w:rPr>
          <w:bCs/>
          <w:szCs w:val="22"/>
        </w:rPr>
      </w:pPr>
      <w:r>
        <w:rPr>
          <w:bCs/>
          <w:szCs w:val="22"/>
        </w:rPr>
        <w:t>Accepted.</w:t>
      </w:r>
    </w:p>
    <w:p w14:paraId="7EB02284" w14:textId="77777777" w:rsidR="00386B9B" w:rsidRPr="00386B9B" w:rsidRDefault="00386B9B">
      <w:pPr>
        <w:rPr>
          <w:bCs/>
          <w:szCs w:val="22"/>
        </w:rPr>
      </w:pPr>
    </w:p>
    <w:p w14:paraId="23831962" w14:textId="77777777" w:rsidR="00717485" w:rsidRDefault="00386B9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17485" w14:paraId="49894979" w14:textId="77777777" w:rsidTr="00C55AB0">
        <w:trPr>
          <w:trHeight w:val="524"/>
        </w:trPr>
        <w:tc>
          <w:tcPr>
            <w:tcW w:w="738" w:type="dxa"/>
            <w:tcBorders>
              <w:top w:val="single" w:sz="4" w:space="0" w:color="auto"/>
              <w:left w:val="single" w:sz="4" w:space="0" w:color="auto"/>
              <w:bottom w:val="single" w:sz="4" w:space="0" w:color="auto"/>
              <w:right w:val="single" w:sz="4" w:space="0" w:color="auto"/>
            </w:tcBorders>
            <w:hideMark/>
          </w:tcPr>
          <w:p w14:paraId="77717E85" w14:textId="77777777" w:rsidR="00717485" w:rsidRDefault="00717485"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80F9DD0" w14:textId="77777777" w:rsidR="00717485" w:rsidRDefault="00717485"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A262B2C" w14:textId="77777777" w:rsidR="00717485" w:rsidRDefault="00717485"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3256D" w14:textId="77777777" w:rsidR="00717485" w:rsidRDefault="00717485"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1CFBCC2" w14:textId="77777777" w:rsidR="00717485" w:rsidRDefault="00717485" w:rsidP="00C55AB0">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17485" w:rsidRPr="00DE7477" w14:paraId="3FA03B87" w14:textId="77777777" w:rsidTr="00C55AB0">
        <w:trPr>
          <w:trHeight w:val="2040"/>
        </w:trPr>
        <w:tc>
          <w:tcPr>
            <w:tcW w:w="738" w:type="dxa"/>
            <w:hideMark/>
          </w:tcPr>
          <w:p w14:paraId="32D48F7C" w14:textId="77777777" w:rsidR="00717485" w:rsidRPr="00DE7477" w:rsidRDefault="00717485" w:rsidP="00C55AB0">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F914A70" w14:textId="77777777" w:rsidR="00717485" w:rsidRPr="00DE7477" w:rsidRDefault="00717485" w:rsidP="00C55AB0">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3E15B9E" w14:textId="77777777" w:rsidR="00717485" w:rsidRPr="00DE7477" w:rsidRDefault="00717485" w:rsidP="00C55AB0">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17848754" w14:textId="77777777" w:rsidR="00717485" w:rsidRPr="00DE7477" w:rsidRDefault="00717485" w:rsidP="00C55AB0">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52486D91" w14:textId="77777777" w:rsidR="00717485" w:rsidRPr="00DE7477" w:rsidRDefault="00717485" w:rsidP="00C55AB0">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4669557" w14:textId="01187A72" w:rsidR="00386B9B" w:rsidRDefault="00386B9B">
      <w:pPr>
        <w:rPr>
          <w:bCs/>
          <w:szCs w:val="22"/>
        </w:rPr>
      </w:pPr>
    </w:p>
    <w:p w14:paraId="231E1712" w14:textId="21212E5E" w:rsidR="00717485" w:rsidRDefault="00717485">
      <w:pPr>
        <w:rPr>
          <w:bCs/>
          <w:szCs w:val="22"/>
        </w:rPr>
      </w:pPr>
      <w:r>
        <w:rPr>
          <w:bCs/>
          <w:szCs w:val="22"/>
          <w:u w:val="single"/>
        </w:rPr>
        <w:t>Discussion</w:t>
      </w:r>
      <w:r>
        <w:rPr>
          <w:bCs/>
          <w:szCs w:val="22"/>
        </w:rPr>
        <w:t>:</w:t>
      </w:r>
    </w:p>
    <w:p w14:paraId="10FC8BEA" w14:textId="43905996" w:rsidR="00717485" w:rsidRDefault="00717485">
      <w:pPr>
        <w:rPr>
          <w:bCs/>
          <w:szCs w:val="22"/>
        </w:rPr>
      </w:pPr>
    </w:p>
    <w:p w14:paraId="13C9B792" w14:textId="3FA8F134" w:rsidR="00717485" w:rsidRPr="006D672A" w:rsidRDefault="006D672A">
      <w:pPr>
        <w:rPr>
          <w:bCs/>
          <w:noProof/>
          <w:szCs w:val="22"/>
          <w:bdr w:val="single" w:sz="8" w:space="0" w:color="auto" w:shadow="1"/>
        </w:rPr>
      </w:pPr>
      <w:r w:rsidRPr="006D672A">
        <w:rPr>
          <w:bCs/>
          <w:noProof/>
          <w:szCs w:val="22"/>
          <w:bdr w:val="single" w:sz="8" w:space="0" w:color="auto" w:shadow="1"/>
        </w:rPr>
        <w:drawing>
          <wp:inline distT="0" distB="0" distL="0" distR="0" wp14:anchorId="2D81DFFB" wp14:editId="28562450">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4F3A1DE0" w14:textId="77777777" w:rsidR="006D672A" w:rsidRDefault="006D672A">
      <w:pPr>
        <w:rPr>
          <w:bCs/>
          <w:szCs w:val="22"/>
        </w:rPr>
      </w:pPr>
    </w:p>
    <w:p w14:paraId="18DBD8D7" w14:textId="17F0EB7B" w:rsidR="00717485" w:rsidRDefault="006D672A">
      <w:pPr>
        <w:rPr>
          <w:bCs/>
          <w:szCs w:val="22"/>
        </w:rPr>
      </w:pPr>
      <w:r>
        <w:rPr>
          <w:bCs/>
          <w:szCs w:val="22"/>
        </w:rPr>
        <w:t>The cited text is describing how to format subelements within the Key Data field of WNM Sleep Mode Response frames.</w:t>
      </w:r>
    </w:p>
    <w:p w14:paraId="10868AC1" w14:textId="1485C304" w:rsidR="006D672A" w:rsidRDefault="006D672A">
      <w:pPr>
        <w:rPr>
          <w:bCs/>
          <w:szCs w:val="22"/>
        </w:rPr>
      </w:pPr>
    </w:p>
    <w:p w14:paraId="6A972D11" w14:textId="52302022" w:rsidR="006D672A" w:rsidRDefault="006D672A">
      <w:pPr>
        <w:rPr>
          <w:bCs/>
          <w:szCs w:val="22"/>
        </w:rPr>
      </w:pPr>
      <w:r>
        <w:rPr>
          <w:bCs/>
          <w:szCs w:val="22"/>
        </w:rPr>
        <w:t>Subclause 9.4.3 does define the general format for all Subelements, which does include the quoted information, already.</w:t>
      </w:r>
    </w:p>
    <w:p w14:paraId="696D46DE" w14:textId="2044A9F0" w:rsidR="006D672A" w:rsidRDefault="006D672A">
      <w:pPr>
        <w:rPr>
          <w:bCs/>
          <w:szCs w:val="22"/>
        </w:rPr>
      </w:pPr>
    </w:p>
    <w:p w14:paraId="05381643" w14:textId="50BA0FB8" w:rsidR="006D672A" w:rsidRPr="006D672A" w:rsidRDefault="006D672A">
      <w:pPr>
        <w:rPr>
          <w:bCs/>
          <w:noProof/>
          <w:szCs w:val="22"/>
          <w:bdr w:val="single" w:sz="8" w:space="0" w:color="auto" w:shadow="1"/>
        </w:rPr>
      </w:pPr>
      <w:r w:rsidRPr="006D672A">
        <w:rPr>
          <w:bCs/>
          <w:noProof/>
          <w:szCs w:val="22"/>
          <w:bdr w:val="single" w:sz="8" w:space="0" w:color="auto" w:shadow="1"/>
        </w:rPr>
        <w:drawing>
          <wp:inline distT="0" distB="0" distL="0" distR="0" wp14:anchorId="2F2FD1F3" wp14:editId="41AE2479">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00B95C80" w14:textId="621E4B47" w:rsidR="006D672A" w:rsidRDefault="006D672A">
      <w:pPr>
        <w:rPr>
          <w:bCs/>
          <w:szCs w:val="22"/>
        </w:rPr>
      </w:pPr>
    </w:p>
    <w:p w14:paraId="3F3AC626" w14:textId="239CE6AD" w:rsidR="006D672A" w:rsidRDefault="006D672A">
      <w:pPr>
        <w:rPr>
          <w:bCs/>
          <w:szCs w:val="22"/>
        </w:rPr>
      </w:pPr>
      <w:r w:rsidRPr="006D672A">
        <w:rPr>
          <w:bCs/>
          <w:szCs w:val="22"/>
          <w:highlight w:val="yellow"/>
          <w:u w:val="single"/>
        </w:rPr>
        <w:t>Proposed Resolution:</w:t>
      </w:r>
    </w:p>
    <w:p w14:paraId="554A48F6" w14:textId="1DDDD9DA" w:rsidR="006D672A" w:rsidRDefault="006D672A">
      <w:pPr>
        <w:rPr>
          <w:bCs/>
          <w:szCs w:val="22"/>
        </w:rPr>
      </w:pPr>
    </w:p>
    <w:p w14:paraId="62FB3F22" w14:textId="00A55C4D" w:rsidR="006D672A" w:rsidRDefault="006D672A">
      <w:pPr>
        <w:rPr>
          <w:bCs/>
          <w:szCs w:val="22"/>
        </w:rPr>
      </w:pPr>
      <w:r>
        <w:rPr>
          <w:bCs/>
          <w:szCs w:val="22"/>
        </w:rPr>
        <w:t>Accepted.</w:t>
      </w:r>
    </w:p>
    <w:p w14:paraId="62D2A507" w14:textId="77777777" w:rsidR="006D672A" w:rsidRPr="006D672A" w:rsidRDefault="006D672A">
      <w:pPr>
        <w:rPr>
          <w:bCs/>
          <w:szCs w:val="22"/>
        </w:rPr>
      </w:pPr>
    </w:p>
    <w:p w14:paraId="37747643" w14:textId="77777777" w:rsidR="00F8428C" w:rsidRDefault="0071748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428C" w14:paraId="2DE11344" w14:textId="77777777" w:rsidTr="00793AB9">
        <w:trPr>
          <w:trHeight w:val="524"/>
        </w:trPr>
        <w:tc>
          <w:tcPr>
            <w:tcW w:w="738" w:type="dxa"/>
            <w:tcBorders>
              <w:top w:val="single" w:sz="4" w:space="0" w:color="auto"/>
              <w:left w:val="single" w:sz="4" w:space="0" w:color="auto"/>
              <w:bottom w:val="single" w:sz="4" w:space="0" w:color="auto"/>
              <w:right w:val="single" w:sz="4" w:space="0" w:color="auto"/>
            </w:tcBorders>
            <w:hideMark/>
          </w:tcPr>
          <w:p w14:paraId="09E9BC0A" w14:textId="77777777" w:rsidR="00F8428C" w:rsidRDefault="00F8428C"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DF7AFC" w14:textId="77777777" w:rsidR="00F8428C" w:rsidRDefault="00F8428C"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67E0DF5" w14:textId="77777777" w:rsidR="00F8428C" w:rsidRDefault="00F8428C"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CEA45DF" w14:textId="77777777" w:rsidR="00F8428C" w:rsidRDefault="00F8428C"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875BFE" w14:textId="77777777" w:rsidR="00F8428C" w:rsidRDefault="00F8428C"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428C" w:rsidRPr="00DE7477" w14:paraId="448DE1FC" w14:textId="77777777" w:rsidTr="00793AB9">
        <w:trPr>
          <w:trHeight w:val="765"/>
        </w:trPr>
        <w:tc>
          <w:tcPr>
            <w:tcW w:w="738" w:type="dxa"/>
            <w:hideMark/>
          </w:tcPr>
          <w:p w14:paraId="2EACD213" w14:textId="77777777" w:rsidR="00F8428C" w:rsidRPr="00DE7477" w:rsidRDefault="00F8428C" w:rsidP="00793AB9">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3703E97C" w14:textId="77777777" w:rsidR="00F8428C" w:rsidRPr="00DE7477" w:rsidRDefault="00F8428C" w:rsidP="00793AB9">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C2117EF" w14:textId="77777777" w:rsidR="00F8428C" w:rsidRPr="00DE7477" w:rsidRDefault="00F8428C" w:rsidP="00793AB9">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C9FF628" w14:textId="77777777" w:rsidR="00F8428C" w:rsidRPr="00DE7477" w:rsidRDefault="00F8428C" w:rsidP="00793AB9">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6FB31733" w14:textId="77777777" w:rsidR="00F8428C" w:rsidRPr="00DE7477" w:rsidRDefault="00F8428C" w:rsidP="00793AB9">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456C754C" w14:textId="12234E1A" w:rsidR="00717485" w:rsidRDefault="00717485">
      <w:pPr>
        <w:rPr>
          <w:bCs/>
          <w:szCs w:val="22"/>
        </w:rPr>
      </w:pPr>
    </w:p>
    <w:p w14:paraId="6F77EED8" w14:textId="65AB2312" w:rsidR="00F8428C" w:rsidRDefault="00F8428C">
      <w:pPr>
        <w:rPr>
          <w:bCs/>
          <w:szCs w:val="22"/>
        </w:rPr>
      </w:pPr>
      <w:r>
        <w:rPr>
          <w:bCs/>
          <w:szCs w:val="22"/>
          <w:u w:val="single"/>
        </w:rPr>
        <w:t>Discussion:</w:t>
      </w:r>
    </w:p>
    <w:p w14:paraId="716D6398" w14:textId="50771EA8" w:rsidR="00F8428C" w:rsidRDefault="00F8428C">
      <w:pPr>
        <w:rPr>
          <w:bCs/>
          <w:szCs w:val="22"/>
        </w:rPr>
      </w:pPr>
    </w:p>
    <w:p w14:paraId="55EAB705" w14:textId="239EF68E" w:rsidR="00535155" w:rsidRPr="00535155" w:rsidRDefault="00535155">
      <w:pPr>
        <w:rPr>
          <w:bCs/>
          <w:noProof/>
          <w:szCs w:val="22"/>
          <w:bdr w:val="single" w:sz="8" w:space="0" w:color="auto" w:shadow="1"/>
        </w:rPr>
      </w:pPr>
      <w:r w:rsidRPr="00535155">
        <w:rPr>
          <w:bCs/>
          <w:noProof/>
          <w:szCs w:val="22"/>
          <w:bdr w:val="single" w:sz="8" w:space="0" w:color="auto" w:shadow="1"/>
        </w:rPr>
        <w:drawing>
          <wp:inline distT="0" distB="0" distL="0" distR="0" wp14:anchorId="3934802B" wp14:editId="66068812">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406A0192" w14:textId="3DCB23A4" w:rsidR="00F8428C" w:rsidRDefault="00F8428C">
      <w:pPr>
        <w:rPr>
          <w:bCs/>
          <w:szCs w:val="22"/>
        </w:rPr>
      </w:pPr>
    </w:p>
    <w:p w14:paraId="3523301B" w14:textId="5A41E246" w:rsidR="00F8428C" w:rsidRDefault="00535155">
      <w:pPr>
        <w:rPr>
          <w:bCs/>
          <w:szCs w:val="22"/>
        </w:rPr>
      </w:pPr>
      <w:r>
        <w:rPr>
          <w:bCs/>
          <w:szCs w:val="22"/>
        </w:rPr>
        <w:t>The commenter is correct.  P</w:t>
      </w:r>
      <w:r w:rsidR="00F8428C">
        <w:rPr>
          <w:bCs/>
          <w:szCs w:val="22"/>
        </w:rPr>
        <w:t>er 11.22.6.3, the frame is called initial Fine Timing Measurement Request frame:</w:t>
      </w:r>
    </w:p>
    <w:p w14:paraId="08946E02" w14:textId="77777777" w:rsidR="00F8428C" w:rsidRDefault="00F8428C">
      <w:pPr>
        <w:rPr>
          <w:bCs/>
          <w:szCs w:val="22"/>
        </w:rPr>
      </w:pPr>
    </w:p>
    <w:p w14:paraId="0B8F56D1" w14:textId="71B07DC3" w:rsidR="00F8428C" w:rsidRPr="00F8428C" w:rsidRDefault="00F8428C">
      <w:pPr>
        <w:rPr>
          <w:bCs/>
          <w:noProof/>
          <w:szCs w:val="22"/>
          <w:bdr w:val="single" w:sz="8" w:space="0" w:color="auto" w:shadow="1"/>
        </w:rPr>
      </w:pPr>
      <w:r w:rsidRPr="00F8428C">
        <w:rPr>
          <w:bCs/>
          <w:noProof/>
          <w:szCs w:val="22"/>
          <w:bdr w:val="single" w:sz="8" w:space="0" w:color="auto" w:shadow="1"/>
        </w:rPr>
        <w:drawing>
          <wp:inline distT="0" distB="0" distL="0" distR="0" wp14:anchorId="27626C01" wp14:editId="4AB08A25">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076E18B6" w14:textId="5EC9F7FC" w:rsidR="00F8428C" w:rsidRDefault="00F8428C">
      <w:pPr>
        <w:rPr>
          <w:bCs/>
          <w:szCs w:val="22"/>
        </w:rPr>
      </w:pPr>
    </w:p>
    <w:p w14:paraId="180F2745" w14:textId="597F9192" w:rsidR="00637500" w:rsidRDefault="00535155">
      <w:pPr>
        <w:rPr>
          <w:bCs/>
          <w:szCs w:val="22"/>
        </w:rPr>
      </w:pPr>
      <w:r>
        <w:rPr>
          <w:bCs/>
          <w:szCs w:val="22"/>
        </w:rPr>
        <w:t xml:space="preserve">This is the only occurrence of “initial Fine Timing Request” in the draft.  </w:t>
      </w:r>
    </w:p>
    <w:p w14:paraId="0E0081A8" w14:textId="447AC7EC" w:rsidR="004D4AA7" w:rsidRDefault="004D4AA7">
      <w:pPr>
        <w:rPr>
          <w:bCs/>
          <w:szCs w:val="22"/>
        </w:rPr>
      </w:pPr>
    </w:p>
    <w:p w14:paraId="0655D0C0" w14:textId="77777777" w:rsidR="004D4AA7" w:rsidRDefault="004D4AA7" w:rsidP="004D4AA7">
      <w:pPr>
        <w:rPr>
          <w:bCs/>
          <w:szCs w:val="22"/>
        </w:rPr>
      </w:pPr>
      <w:r w:rsidRPr="00637500">
        <w:rPr>
          <w:bCs/>
          <w:szCs w:val="22"/>
          <w:highlight w:val="yellow"/>
          <w:u w:val="single"/>
        </w:rPr>
        <w:t>Proposed Resolution:</w:t>
      </w:r>
    </w:p>
    <w:p w14:paraId="25360B53" w14:textId="77777777" w:rsidR="004D4AA7" w:rsidRDefault="004D4AA7" w:rsidP="004D4AA7">
      <w:pPr>
        <w:rPr>
          <w:bCs/>
          <w:szCs w:val="22"/>
        </w:rPr>
      </w:pPr>
    </w:p>
    <w:p w14:paraId="255D441F" w14:textId="2C0A7BC6" w:rsidR="004D4AA7" w:rsidRDefault="004D4AA7" w:rsidP="004D4AA7">
      <w:pPr>
        <w:rPr>
          <w:bCs/>
          <w:szCs w:val="22"/>
        </w:rPr>
      </w:pPr>
      <w:r>
        <w:rPr>
          <w:bCs/>
          <w:szCs w:val="22"/>
        </w:rPr>
        <w:t>Accepted.</w:t>
      </w:r>
    </w:p>
    <w:p w14:paraId="355483EC" w14:textId="77777777" w:rsidR="004D4AA7" w:rsidRDefault="004D4AA7">
      <w:pPr>
        <w:rPr>
          <w:bCs/>
          <w:szCs w:val="22"/>
        </w:rPr>
      </w:pPr>
    </w:p>
    <w:p w14:paraId="0D842674" w14:textId="293B2170" w:rsidR="004D4AA7" w:rsidRDefault="004D4AA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D4AA7" w14:paraId="17487C3C" w14:textId="77777777" w:rsidTr="00793AB9">
        <w:trPr>
          <w:trHeight w:val="524"/>
        </w:trPr>
        <w:tc>
          <w:tcPr>
            <w:tcW w:w="738" w:type="dxa"/>
            <w:tcBorders>
              <w:top w:val="single" w:sz="4" w:space="0" w:color="auto"/>
              <w:left w:val="single" w:sz="4" w:space="0" w:color="auto"/>
              <w:bottom w:val="single" w:sz="4" w:space="0" w:color="auto"/>
              <w:right w:val="single" w:sz="4" w:space="0" w:color="auto"/>
            </w:tcBorders>
            <w:hideMark/>
          </w:tcPr>
          <w:p w14:paraId="722E3344"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171A7DE"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041ECB4"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22955F"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5C95181" w14:textId="77777777" w:rsidR="004D4AA7" w:rsidRDefault="004D4AA7"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D4AA7" w:rsidRPr="00DE7477" w14:paraId="37EE0347" w14:textId="77777777" w:rsidTr="00793AB9">
        <w:trPr>
          <w:trHeight w:val="765"/>
        </w:trPr>
        <w:tc>
          <w:tcPr>
            <w:tcW w:w="738" w:type="dxa"/>
            <w:hideMark/>
          </w:tcPr>
          <w:p w14:paraId="3339CB8B" w14:textId="77777777" w:rsidR="004D4AA7" w:rsidRPr="00DE7477" w:rsidRDefault="004D4AA7" w:rsidP="00793AB9">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B426D69" w14:textId="77777777" w:rsidR="004D4AA7" w:rsidRPr="00DE7477" w:rsidRDefault="004D4AA7" w:rsidP="00793AB9">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4E6C2DC9"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27254D4A"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5D12DE7B" w14:textId="77777777" w:rsidR="004D4AA7" w:rsidRPr="00DE7477" w:rsidRDefault="004D4AA7" w:rsidP="00793AB9">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4EE855CC" w14:textId="77777777" w:rsidR="004D4AA7" w:rsidRPr="004D4AA7" w:rsidRDefault="004D4AA7">
      <w:pPr>
        <w:rPr>
          <w:bCs/>
          <w:szCs w:val="22"/>
        </w:rPr>
      </w:pPr>
    </w:p>
    <w:p w14:paraId="1DD517A9" w14:textId="77618A32" w:rsidR="00572ACC" w:rsidRPr="004D4AA7" w:rsidRDefault="004D4AA7">
      <w:pPr>
        <w:rPr>
          <w:bCs/>
          <w:szCs w:val="22"/>
          <w:u w:val="single"/>
        </w:rPr>
      </w:pPr>
      <w:r>
        <w:rPr>
          <w:bCs/>
          <w:szCs w:val="22"/>
          <w:u w:val="single"/>
        </w:rPr>
        <w:t>Discussion:</w:t>
      </w:r>
    </w:p>
    <w:p w14:paraId="5454FD4F" w14:textId="77777777" w:rsidR="004D4AA7" w:rsidRDefault="004D4AA7">
      <w:pPr>
        <w:rPr>
          <w:bCs/>
          <w:szCs w:val="22"/>
        </w:rPr>
      </w:pPr>
    </w:p>
    <w:p w14:paraId="190635A4" w14:textId="353C1E91" w:rsidR="00637500" w:rsidRPr="00637500" w:rsidRDefault="00637500">
      <w:pPr>
        <w:rPr>
          <w:bCs/>
          <w:noProof/>
          <w:szCs w:val="22"/>
          <w:bdr w:val="single" w:sz="8" w:space="0" w:color="auto" w:shadow="1"/>
        </w:rPr>
      </w:pPr>
      <w:r w:rsidRPr="00637500">
        <w:rPr>
          <w:bCs/>
          <w:noProof/>
          <w:szCs w:val="22"/>
          <w:bdr w:val="single" w:sz="8" w:space="0" w:color="auto" w:shadow="1"/>
        </w:rPr>
        <w:drawing>
          <wp:inline distT="0" distB="0" distL="0" distR="0" wp14:anchorId="447A6022" wp14:editId="4DE3BFA6">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7F17DD62" w14:textId="5689B1D9" w:rsidR="00F8428C" w:rsidRDefault="00F8428C">
      <w:pPr>
        <w:rPr>
          <w:bCs/>
          <w:szCs w:val="22"/>
        </w:rPr>
      </w:pPr>
    </w:p>
    <w:p w14:paraId="6F18CF73" w14:textId="77777777" w:rsidR="004D4AA7" w:rsidRDefault="007E02DA">
      <w:pPr>
        <w:rPr>
          <w:bCs/>
          <w:szCs w:val="22"/>
        </w:rPr>
      </w:pPr>
      <w:r>
        <w:rPr>
          <w:bCs/>
          <w:szCs w:val="22"/>
        </w:rPr>
        <w:t>This is in reference to the Status Indication subfield of the Fine Timing Mea</w:t>
      </w:r>
      <w:r w:rsidR="004D4AA7">
        <w:rPr>
          <w:bCs/>
          <w:szCs w:val="22"/>
        </w:rPr>
        <w:t>s</w:t>
      </w:r>
      <w:r>
        <w:rPr>
          <w:bCs/>
          <w:szCs w:val="22"/>
        </w:rPr>
        <w:t>urement Parameters element</w:t>
      </w:r>
      <w:r w:rsidR="004D4AA7">
        <w:rPr>
          <w:bCs/>
          <w:szCs w:val="22"/>
        </w:rPr>
        <w:t>.</w:t>
      </w:r>
    </w:p>
    <w:p w14:paraId="6A32937C" w14:textId="77777777" w:rsidR="004D4AA7" w:rsidRDefault="004D4AA7">
      <w:pPr>
        <w:rPr>
          <w:bCs/>
          <w:szCs w:val="22"/>
        </w:rPr>
      </w:pPr>
    </w:p>
    <w:p w14:paraId="5EC42800" w14:textId="2B67949B" w:rsidR="007B388D" w:rsidRDefault="004D4AA7" w:rsidP="007B388D">
      <w:pPr>
        <w:rPr>
          <w:bCs/>
          <w:szCs w:val="22"/>
        </w:rPr>
      </w:pPr>
      <w:r>
        <w:rPr>
          <w:bCs/>
          <w:szCs w:val="22"/>
        </w:rPr>
        <w:t xml:space="preserve">The occurrence of this element appears to be confused/confusing.  </w:t>
      </w:r>
      <w:r w:rsidR="007B388D">
        <w:rPr>
          <w:bCs/>
          <w:szCs w:val="22"/>
        </w:rPr>
        <w:t>The comment suggests changing the cited text to “</w:t>
      </w:r>
      <w:r w:rsidR="007B388D" w:rsidRPr="007E02DA">
        <w:rPr>
          <w:bCs/>
          <w:szCs w:val="22"/>
        </w:rPr>
        <w:t>initial Fine Timing Measurement Request frame"</w:t>
      </w:r>
      <w:r w:rsidR="007B388D">
        <w:rPr>
          <w:bCs/>
          <w:szCs w:val="22"/>
        </w:rPr>
        <w:t>.</w:t>
      </w:r>
    </w:p>
    <w:p w14:paraId="263F607E" w14:textId="77777777" w:rsidR="007B388D" w:rsidRDefault="007B388D" w:rsidP="007B388D">
      <w:pPr>
        <w:rPr>
          <w:bCs/>
          <w:szCs w:val="22"/>
        </w:rPr>
      </w:pPr>
    </w:p>
    <w:p w14:paraId="0833AB50" w14:textId="1A49A7A7" w:rsidR="004D4AA7" w:rsidRDefault="004D4AA7" w:rsidP="004D4AA7">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413FDF0C" w14:textId="6C039950" w:rsidR="004D4AA7" w:rsidRDefault="004D4AA7" w:rsidP="004D4AA7">
      <w:pPr>
        <w:rPr>
          <w:bCs/>
          <w:szCs w:val="22"/>
        </w:rPr>
      </w:pPr>
    </w:p>
    <w:p w14:paraId="611D7C62" w14:textId="67395BB1" w:rsidR="00372235" w:rsidRDefault="00372235" w:rsidP="004D4AA7">
      <w:pPr>
        <w:rPr>
          <w:bCs/>
          <w:szCs w:val="22"/>
        </w:rPr>
      </w:pPr>
      <w:r>
        <w:rPr>
          <w:bCs/>
          <w:szCs w:val="22"/>
        </w:rPr>
        <w:t>P1555.14:</w:t>
      </w:r>
    </w:p>
    <w:p w14:paraId="1776B010" w14:textId="77777777" w:rsidR="00372235" w:rsidRDefault="00372235" w:rsidP="004D4AA7">
      <w:pPr>
        <w:rPr>
          <w:bCs/>
          <w:szCs w:val="22"/>
        </w:rPr>
      </w:pPr>
    </w:p>
    <w:p w14:paraId="70C83DBE" w14:textId="2D42A16C" w:rsidR="004D4AA7" w:rsidRPr="004D4AA7" w:rsidRDefault="004D4AA7">
      <w:pPr>
        <w:rPr>
          <w:bCs/>
          <w:noProof/>
          <w:szCs w:val="22"/>
          <w:bdr w:val="single" w:sz="8" w:space="0" w:color="auto" w:shadow="1"/>
        </w:rPr>
      </w:pPr>
      <w:r w:rsidRPr="004D4AA7">
        <w:rPr>
          <w:bCs/>
          <w:noProof/>
          <w:szCs w:val="22"/>
          <w:bdr w:val="single" w:sz="8" w:space="0" w:color="auto" w:shadow="1"/>
        </w:rPr>
        <w:drawing>
          <wp:inline distT="0" distB="0" distL="0" distR="0" wp14:anchorId="7EBDC3DF" wp14:editId="722FC26C">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06887AF5" w14:textId="78660B8E" w:rsidR="004D4AA7" w:rsidRDefault="004D4AA7">
      <w:pPr>
        <w:rPr>
          <w:bCs/>
          <w:szCs w:val="22"/>
        </w:rPr>
      </w:pPr>
    </w:p>
    <w:p w14:paraId="7DD64D4E" w14:textId="12CCC9B7" w:rsidR="004D4AA7" w:rsidRDefault="004D4AA7">
      <w:pPr>
        <w:rPr>
          <w:bCs/>
          <w:szCs w:val="22"/>
        </w:rPr>
      </w:pPr>
      <w:r>
        <w:rPr>
          <w:bCs/>
          <w:szCs w:val="22"/>
        </w:rPr>
        <w:t>And, P2373.</w:t>
      </w:r>
      <w:r w:rsidR="00372235">
        <w:rPr>
          <w:bCs/>
          <w:szCs w:val="22"/>
        </w:rPr>
        <w:t>39:</w:t>
      </w:r>
    </w:p>
    <w:p w14:paraId="55632961" w14:textId="58374369" w:rsidR="00372235" w:rsidRDefault="00372235">
      <w:pPr>
        <w:rPr>
          <w:bCs/>
          <w:szCs w:val="22"/>
        </w:rPr>
      </w:pPr>
    </w:p>
    <w:p w14:paraId="5B220901" w14:textId="1C1F729D" w:rsidR="00372235" w:rsidRPr="00372235" w:rsidRDefault="00372235">
      <w:pPr>
        <w:rPr>
          <w:bCs/>
          <w:noProof/>
          <w:szCs w:val="22"/>
          <w:bdr w:val="single" w:sz="8" w:space="0" w:color="auto" w:shadow="1"/>
        </w:rPr>
      </w:pPr>
      <w:r w:rsidRPr="00372235">
        <w:rPr>
          <w:bCs/>
          <w:noProof/>
          <w:szCs w:val="22"/>
          <w:bdr w:val="single" w:sz="8" w:space="0" w:color="auto" w:shadow="1"/>
        </w:rPr>
        <w:drawing>
          <wp:inline distT="0" distB="0" distL="0" distR="0" wp14:anchorId="52CD56C8" wp14:editId="3F54326E">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46505DD7" w14:textId="77777777" w:rsidR="00372235" w:rsidRDefault="00372235">
      <w:pPr>
        <w:rPr>
          <w:bCs/>
          <w:szCs w:val="22"/>
        </w:rPr>
      </w:pPr>
    </w:p>
    <w:p w14:paraId="482D63C8" w14:textId="19106061" w:rsidR="004D4AA7" w:rsidRDefault="00372235">
      <w:pPr>
        <w:rPr>
          <w:bCs/>
          <w:szCs w:val="22"/>
        </w:rPr>
      </w:pPr>
      <w:r>
        <w:rPr>
          <w:bCs/>
          <w:szCs w:val="22"/>
        </w:rPr>
        <w:t>But, i</w:t>
      </w:r>
      <w:r w:rsidR="004D4AA7">
        <w:rPr>
          <w:bCs/>
          <w:szCs w:val="22"/>
        </w:rPr>
        <w:t>t might be</w:t>
      </w:r>
      <w:r w:rsidR="007E02DA">
        <w:rPr>
          <w:bCs/>
          <w:szCs w:val="22"/>
        </w:rPr>
        <w:t xml:space="preserve"> carried in the </w:t>
      </w:r>
      <w:r w:rsidR="004D4AA7">
        <w:rPr>
          <w:bCs/>
          <w:szCs w:val="22"/>
        </w:rPr>
        <w:t xml:space="preserve">initial </w:t>
      </w:r>
      <w:r w:rsidR="007E02DA">
        <w:rPr>
          <w:bCs/>
          <w:szCs w:val="22"/>
        </w:rPr>
        <w:t>Fine Timing Measurement frames</w:t>
      </w:r>
      <w:r>
        <w:rPr>
          <w:bCs/>
          <w:szCs w:val="22"/>
        </w:rPr>
        <w:t xml:space="preserve"> (not “Request” frames)</w:t>
      </w:r>
      <w:r w:rsidR="004D4AA7">
        <w:rPr>
          <w:bCs/>
          <w:szCs w:val="22"/>
        </w:rPr>
        <w:t>:</w:t>
      </w:r>
    </w:p>
    <w:p w14:paraId="3427CCB2" w14:textId="77777777" w:rsidR="004D4AA7" w:rsidRDefault="004D4AA7">
      <w:pPr>
        <w:rPr>
          <w:bCs/>
          <w:szCs w:val="22"/>
        </w:rPr>
      </w:pPr>
    </w:p>
    <w:p w14:paraId="1DE4DEFF" w14:textId="38A3B88A" w:rsidR="004D4AA7" w:rsidRDefault="004D4AA7">
      <w:pPr>
        <w:rPr>
          <w:bCs/>
          <w:szCs w:val="22"/>
        </w:rPr>
      </w:pPr>
      <w:r>
        <w:rPr>
          <w:bCs/>
          <w:szCs w:val="22"/>
        </w:rPr>
        <w:t>P1557.31:</w:t>
      </w:r>
    </w:p>
    <w:p w14:paraId="7BEB59C0" w14:textId="0EDF0FDE" w:rsidR="004D4AA7" w:rsidRDefault="004D4AA7">
      <w:pPr>
        <w:rPr>
          <w:bCs/>
          <w:szCs w:val="22"/>
        </w:rPr>
      </w:pPr>
    </w:p>
    <w:p w14:paraId="1E706788" w14:textId="5474A116" w:rsidR="004D4AA7" w:rsidRPr="004D4AA7" w:rsidRDefault="004D4AA7">
      <w:pPr>
        <w:rPr>
          <w:bCs/>
          <w:noProof/>
          <w:szCs w:val="22"/>
          <w:bdr w:val="single" w:sz="8" w:space="0" w:color="auto" w:shadow="1"/>
        </w:rPr>
      </w:pPr>
      <w:r w:rsidRPr="004D4AA7">
        <w:rPr>
          <w:bCs/>
          <w:noProof/>
          <w:szCs w:val="22"/>
          <w:bdr w:val="single" w:sz="8" w:space="0" w:color="auto" w:shadow="1"/>
        </w:rPr>
        <w:drawing>
          <wp:inline distT="0" distB="0" distL="0" distR="0" wp14:anchorId="4D8CECFF" wp14:editId="19906B64">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21E0EC4C" w14:textId="77777777" w:rsidR="004D4AA7" w:rsidRDefault="004D4AA7">
      <w:pPr>
        <w:rPr>
          <w:bCs/>
          <w:szCs w:val="22"/>
        </w:rPr>
      </w:pPr>
    </w:p>
    <w:p w14:paraId="60DB9010" w14:textId="5ACA49BA" w:rsidR="004D4AA7" w:rsidRDefault="004D4AA7">
      <w:pPr>
        <w:rPr>
          <w:bCs/>
          <w:szCs w:val="22"/>
        </w:rPr>
      </w:pPr>
      <w:r>
        <w:rPr>
          <w:bCs/>
          <w:szCs w:val="22"/>
        </w:rPr>
        <w:t>And, P2373.49</w:t>
      </w:r>
    </w:p>
    <w:p w14:paraId="374A0B94" w14:textId="2EAB0362" w:rsidR="007E02DA" w:rsidRDefault="007E02DA">
      <w:pPr>
        <w:rPr>
          <w:bCs/>
          <w:szCs w:val="22"/>
        </w:rPr>
      </w:pPr>
    </w:p>
    <w:p w14:paraId="71AD9F8A" w14:textId="250A197C" w:rsidR="007E02DA" w:rsidRPr="007E02DA" w:rsidRDefault="007E02DA">
      <w:pPr>
        <w:rPr>
          <w:bCs/>
          <w:noProof/>
          <w:szCs w:val="22"/>
          <w:bdr w:val="single" w:sz="8" w:space="0" w:color="auto" w:shadow="1"/>
        </w:rPr>
      </w:pPr>
      <w:r w:rsidRPr="007E02DA">
        <w:rPr>
          <w:bCs/>
          <w:noProof/>
          <w:szCs w:val="22"/>
          <w:bdr w:val="single" w:sz="8" w:space="0" w:color="auto" w:shadow="1"/>
        </w:rPr>
        <w:drawing>
          <wp:inline distT="0" distB="0" distL="0" distR="0" wp14:anchorId="7EFBF731" wp14:editId="0533888C">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3D5EC813" w14:textId="77777777" w:rsidR="007E02DA" w:rsidRDefault="007E02DA">
      <w:pPr>
        <w:rPr>
          <w:bCs/>
          <w:szCs w:val="22"/>
        </w:rPr>
      </w:pPr>
    </w:p>
    <w:p w14:paraId="7B78C8BD" w14:textId="471E6ECC" w:rsidR="00637500" w:rsidRDefault="007B388D">
      <w:pPr>
        <w:rPr>
          <w:bCs/>
          <w:szCs w:val="22"/>
        </w:rPr>
      </w:pPr>
      <w:r>
        <w:rPr>
          <w:bCs/>
          <w:szCs w:val="22"/>
        </w:rPr>
        <w:t xml:space="preserve">It seems this could be in either frame type. </w:t>
      </w:r>
    </w:p>
    <w:p w14:paraId="3227FC70" w14:textId="430C3233" w:rsidR="007E02DA" w:rsidRDefault="007E02DA">
      <w:pPr>
        <w:rPr>
          <w:bCs/>
          <w:szCs w:val="22"/>
        </w:rPr>
      </w:pPr>
    </w:p>
    <w:p w14:paraId="2D7A1EFA" w14:textId="4C2D977E" w:rsidR="00637500" w:rsidRDefault="00637500">
      <w:pPr>
        <w:rPr>
          <w:bCs/>
          <w:szCs w:val="22"/>
        </w:rPr>
      </w:pPr>
      <w:r w:rsidRPr="00637500">
        <w:rPr>
          <w:bCs/>
          <w:szCs w:val="22"/>
          <w:highlight w:val="yellow"/>
          <w:u w:val="single"/>
        </w:rPr>
        <w:t>Proposed Resolution:</w:t>
      </w:r>
    </w:p>
    <w:p w14:paraId="0C198F0C" w14:textId="4B9183C5" w:rsidR="00637500" w:rsidRDefault="00637500">
      <w:pPr>
        <w:rPr>
          <w:bCs/>
          <w:szCs w:val="22"/>
        </w:rPr>
      </w:pPr>
    </w:p>
    <w:p w14:paraId="6A44D07B" w14:textId="0750DAD7" w:rsidR="00637500" w:rsidRDefault="00637500">
      <w:pPr>
        <w:rPr>
          <w:bCs/>
          <w:szCs w:val="22"/>
        </w:rPr>
      </w:pPr>
      <w:r>
        <w:rPr>
          <w:bCs/>
          <w:szCs w:val="22"/>
        </w:rPr>
        <w:t>Change “Fine Timing Request” to “Fine Timing Measurement Request</w:t>
      </w:r>
      <w:r w:rsidR="007B388D">
        <w:rPr>
          <w:bCs/>
          <w:szCs w:val="22"/>
        </w:rPr>
        <w:t xml:space="preserve"> or Fine Timing Measurement frames</w:t>
      </w:r>
      <w:r>
        <w:rPr>
          <w:bCs/>
          <w:szCs w:val="22"/>
        </w:rPr>
        <w:t xml:space="preserve">” at </w:t>
      </w:r>
      <w:r w:rsidR="007B388D">
        <w:rPr>
          <w:bCs/>
          <w:szCs w:val="22"/>
        </w:rPr>
        <w:t>the cited location</w:t>
      </w:r>
      <w:r>
        <w:rPr>
          <w:bCs/>
          <w:szCs w:val="22"/>
        </w:rPr>
        <w:t>.</w:t>
      </w:r>
    </w:p>
    <w:p w14:paraId="3E81E54A" w14:textId="77777777" w:rsidR="00637500" w:rsidRPr="00637500" w:rsidRDefault="00637500">
      <w:pPr>
        <w:rPr>
          <w:bCs/>
          <w:szCs w:val="22"/>
        </w:rPr>
      </w:pPr>
    </w:p>
    <w:p w14:paraId="1AF849D5" w14:textId="77777777" w:rsidR="00793AB9" w:rsidRDefault="00F8428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93AB9" w14:paraId="5A3A4BAA" w14:textId="77777777" w:rsidTr="00793AB9">
        <w:trPr>
          <w:trHeight w:val="524"/>
        </w:trPr>
        <w:tc>
          <w:tcPr>
            <w:tcW w:w="738" w:type="dxa"/>
            <w:tcBorders>
              <w:top w:val="single" w:sz="4" w:space="0" w:color="auto"/>
              <w:left w:val="single" w:sz="4" w:space="0" w:color="auto"/>
              <w:bottom w:val="single" w:sz="4" w:space="0" w:color="auto"/>
              <w:right w:val="single" w:sz="4" w:space="0" w:color="auto"/>
            </w:tcBorders>
            <w:hideMark/>
          </w:tcPr>
          <w:p w14:paraId="42353324"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DF7BFDA"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487C484"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78AF03F"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2F50C4"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93AB9" w:rsidRPr="00DE7477" w14:paraId="4FB0C99E" w14:textId="77777777" w:rsidTr="00793AB9">
        <w:trPr>
          <w:trHeight w:val="765"/>
        </w:trPr>
        <w:tc>
          <w:tcPr>
            <w:tcW w:w="738" w:type="dxa"/>
            <w:hideMark/>
          </w:tcPr>
          <w:p w14:paraId="09759825"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F5A7FAE"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4DE137E9"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542ACFAB"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096DADCA"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4C3384D2" w14:textId="77777777" w:rsidR="00793AB9" w:rsidRDefault="00793AB9" w:rsidP="00793AB9">
      <w:pPr>
        <w:rPr>
          <w:bCs/>
          <w:szCs w:val="22"/>
        </w:rPr>
      </w:pPr>
    </w:p>
    <w:p w14:paraId="6F7B3EA2" w14:textId="77777777" w:rsidR="00793AB9" w:rsidRDefault="00793AB9" w:rsidP="00793AB9">
      <w:pPr>
        <w:rPr>
          <w:bCs/>
          <w:szCs w:val="22"/>
          <w:u w:val="single"/>
        </w:rPr>
      </w:pPr>
      <w:r>
        <w:rPr>
          <w:bCs/>
          <w:szCs w:val="22"/>
          <w:u w:val="single"/>
        </w:rPr>
        <w:t>Discussion:</w:t>
      </w:r>
    </w:p>
    <w:p w14:paraId="661EBE97" w14:textId="77777777" w:rsidR="00793AB9" w:rsidRPr="00793AB9" w:rsidRDefault="00793AB9" w:rsidP="00793AB9">
      <w:pPr>
        <w:rPr>
          <w:bCs/>
          <w:szCs w:val="22"/>
        </w:rPr>
      </w:pPr>
    </w:p>
    <w:p w14:paraId="44829CDE" w14:textId="5B22F1EB" w:rsidR="00793AB9" w:rsidRPr="00793AB9" w:rsidRDefault="00793AB9" w:rsidP="00793AB9">
      <w:pPr>
        <w:rPr>
          <w:bCs/>
          <w:noProof/>
          <w:szCs w:val="22"/>
          <w:bdr w:val="single" w:sz="8" w:space="0" w:color="auto" w:shadow="1"/>
        </w:rPr>
      </w:pPr>
      <w:r w:rsidRPr="00793AB9">
        <w:rPr>
          <w:bCs/>
          <w:noProof/>
          <w:szCs w:val="22"/>
          <w:bdr w:val="single" w:sz="8" w:space="0" w:color="auto" w:shadow="1"/>
        </w:rPr>
        <w:drawing>
          <wp:inline distT="0" distB="0" distL="0" distR="0" wp14:anchorId="7A78A223" wp14:editId="2AE2D570">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61C8CDB5" w14:textId="1D02638E" w:rsidR="00793AB9" w:rsidRDefault="00793AB9" w:rsidP="00793AB9">
      <w:pPr>
        <w:rPr>
          <w:bCs/>
          <w:szCs w:val="22"/>
        </w:rPr>
      </w:pPr>
    </w:p>
    <w:p w14:paraId="7FB1F1E9" w14:textId="230801F0" w:rsidR="00793AB9" w:rsidRDefault="00793AB9" w:rsidP="00793AB9">
      <w:pPr>
        <w:rPr>
          <w:bCs/>
          <w:szCs w:val="22"/>
        </w:rPr>
      </w:pPr>
      <w:r>
        <w:rPr>
          <w:bCs/>
          <w:szCs w:val="22"/>
        </w:rPr>
        <w:t xml:space="preserve">Similar, and related to the comments above, the commenter is correct, the field is called the Fine Timing </w:t>
      </w:r>
      <w:r w:rsidR="008B3A60">
        <w:rPr>
          <w:bCs/>
          <w:szCs w:val="22"/>
        </w:rPr>
        <w:t xml:space="preserve">Measurement </w:t>
      </w:r>
      <w:r>
        <w:rPr>
          <w:bCs/>
          <w:szCs w:val="22"/>
        </w:rPr>
        <w:t>Parameters</w:t>
      </w:r>
      <w:r w:rsidR="008B3A60">
        <w:rPr>
          <w:bCs/>
          <w:szCs w:val="22"/>
        </w:rPr>
        <w:t xml:space="preserve"> field (within the Fine Timing Measurement Parameters element), per 9.4.2.167:</w:t>
      </w:r>
    </w:p>
    <w:p w14:paraId="053F1707" w14:textId="60631BEB" w:rsidR="008B3A60" w:rsidRDefault="008B3A60" w:rsidP="00793AB9">
      <w:pPr>
        <w:rPr>
          <w:bCs/>
          <w:szCs w:val="22"/>
        </w:rPr>
      </w:pPr>
    </w:p>
    <w:p w14:paraId="5532DEEF" w14:textId="173BEAF1" w:rsidR="008B3A60" w:rsidRPr="008B3A60" w:rsidRDefault="008B3A60" w:rsidP="00793AB9">
      <w:pPr>
        <w:rPr>
          <w:bCs/>
          <w:noProof/>
          <w:szCs w:val="22"/>
          <w:bdr w:val="single" w:sz="8" w:space="0" w:color="auto" w:shadow="1"/>
        </w:rPr>
      </w:pPr>
      <w:r w:rsidRPr="008B3A60">
        <w:rPr>
          <w:bCs/>
          <w:noProof/>
          <w:szCs w:val="22"/>
          <w:bdr w:val="single" w:sz="8" w:space="0" w:color="auto" w:shadow="1"/>
        </w:rPr>
        <w:drawing>
          <wp:inline distT="0" distB="0" distL="0" distR="0" wp14:anchorId="274B36C3" wp14:editId="65E82E0F">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106D2B5D" w14:textId="472549C1" w:rsidR="008B3A60" w:rsidRDefault="008B3A60" w:rsidP="00793AB9">
      <w:pPr>
        <w:rPr>
          <w:bCs/>
          <w:szCs w:val="22"/>
        </w:rPr>
      </w:pPr>
    </w:p>
    <w:p w14:paraId="7C8B4913" w14:textId="64B48D73" w:rsidR="008B3A60" w:rsidRDefault="008B3A60" w:rsidP="00793AB9">
      <w:pPr>
        <w:rPr>
          <w:bCs/>
          <w:szCs w:val="22"/>
        </w:rPr>
      </w:pPr>
      <w:r w:rsidRPr="00637500">
        <w:rPr>
          <w:bCs/>
          <w:noProof/>
          <w:szCs w:val="22"/>
          <w:bdr w:val="single" w:sz="8" w:space="0" w:color="auto" w:shadow="1"/>
        </w:rPr>
        <w:drawing>
          <wp:inline distT="0" distB="0" distL="0" distR="0" wp14:anchorId="60B43342" wp14:editId="7C1F5D2A">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7DA36923" w14:textId="0472EBC8" w:rsidR="008B3A60" w:rsidRDefault="008B3A60" w:rsidP="00793AB9">
      <w:pPr>
        <w:rPr>
          <w:bCs/>
          <w:szCs w:val="22"/>
        </w:rPr>
      </w:pPr>
    </w:p>
    <w:p w14:paraId="47CC165F" w14:textId="36F19773" w:rsidR="008B3A60" w:rsidRDefault="008B3A60" w:rsidP="00793AB9">
      <w:pPr>
        <w:rPr>
          <w:bCs/>
          <w:szCs w:val="22"/>
        </w:rPr>
      </w:pPr>
      <w:r w:rsidRPr="008B3A60">
        <w:rPr>
          <w:bCs/>
          <w:szCs w:val="22"/>
          <w:highlight w:val="yellow"/>
          <w:u w:val="single"/>
        </w:rPr>
        <w:t>Proposed Resolution:</w:t>
      </w:r>
    </w:p>
    <w:p w14:paraId="6D4BDE2E" w14:textId="12978EE3" w:rsidR="008B3A60" w:rsidRDefault="008B3A60" w:rsidP="00793AB9">
      <w:pPr>
        <w:rPr>
          <w:bCs/>
          <w:szCs w:val="22"/>
        </w:rPr>
      </w:pPr>
    </w:p>
    <w:p w14:paraId="5B515DD3" w14:textId="0295BAFE" w:rsidR="008B3A60" w:rsidRDefault="008B3A60" w:rsidP="00793AB9">
      <w:pPr>
        <w:rPr>
          <w:bCs/>
          <w:szCs w:val="22"/>
        </w:rPr>
      </w:pPr>
      <w:r>
        <w:rPr>
          <w:bCs/>
          <w:szCs w:val="22"/>
        </w:rPr>
        <w:t>Accepted.</w:t>
      </w:r>
    </w:p>
    <w:p w14:paraId="45334172" w14:textId="77777777" w:rsidR="008B3A60" w:rsidRPr="008B3A60" w:rsidRDefault="008B3A60" w:rsidP="00793AB9">
      <w:pPr>
        <w:rPr>
          <w:bCs/>
          <w:szCs w:val="22"/>
        </w:rPr>
      </w:pPr>
    </w:p>
    <w:p w14:paraId="6F888985" w14:textId="77777777" w:rsidR="00793AB9" w:rsidRPr="00793AB9" w:rsidRDefault="00793AB9" w:rsidP="00793AB9">
      <w:pPr>
        <w:rPr>
          <w:bCs/>
          <w:szCs w:val="22"/>
        </w:rPr>
      </w:pPr>
      <w:r w:rsidRPr="00793AB9">
        <w:rPr>
          <w:bCs/>
          <w:szCs w:val="22"/>
        </w:rPr>
        <w:br w:type="page"/>
      </w:r>
    </w:p>
    <w:p w14:paraId="5D3AE03A" w14:textId="7B7A3961" w:rsidR="00793AB9" w:rsidRDefault="00793AB9">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93AB9" w14:paraId="3E5651D8" w14:textId="77777777" w:rsidTr="00793AB9">
        <w:trPr>
          <w:trHeight w:val="524"/>
        </w:trPr>
        <w:tc>
          <w:tcPr>
            <w:tcW w:w="738" w:type="dxa"/>
            <w:tcBorders>
              <w:top w:val="single" w:sz="4" w:space="0" w:color="auto"/>
              <w:left w:val="single" w:sz="4" w:space="0" w:color="auto"/>
              <w:bottom w:val="single" w:sz="4" w:space="0" w:color="auto"/>
              <w:right w:val="single" w:sz="4" w:space="0" w:color="auto"/>
            </w:tcBorders>
            <w:hideMark/>
          </w:tcPr>
          <w:p w14:paraId="36B8E6B7"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E77C58E"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E2D8F1"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0A94EDF"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39920"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93AB9" w:rsidRPr="00DE7477" w14:paraId="06DC9E36" w14:textId="77777777" w:rsidTr="00793AB9">
        <w:trPr>
          <w:trHeight w:val="765"/>
        </w:trPr>
        <w:tc>
          <w:tcPr>
            <w:tcW w:w="738" w:type="dxa"/>
            <w:hideMark/>
          </w:tcPr>
          <w:p w14:paraId="108E908E"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84C5D32"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4A01730"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CA665F9"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6A303FC"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23989834" w14:textId="58AE31EA" w:rsidR="00F8428C" w:rsidRDefault="00F8428C">
      <w:pPr>
        <w:rPr>
          <w:bCs/>
          <w:szCs w:val="22"/>
        </w:rPr>
      </w:pPr>
    </w:p>
    <w:p w14:paraId="2DBDD5F8" w14:textId="3916B339" w:rsidR="00793AB9" w:rsidRDefault="00793AB9">
      <w:pPr>
        <w:rPr>
          <w:bCs/>
          <w:szCs w:val="22"/>
        </w:rPr>
      </w:pPr>
      <w:r>
        <w:rPr>
          <w:bCs/>
          <w:szCs w:val="22"/>
          <w:u w:val="single"/>
        </w:rPr>
        <w:t>Discussion:</w:t>
      </w:r>
    </w:p>
    <w:p w14:paraId="36E665DA" w14:textId="3FDE355C" w:rsidR="00793AB9" w:rsidRDefault="00793AB9">
      <w:pPr>
        <w:rPr>
          <w:bCs/>
          <w:szCs w:val="22"/>
        </w:rPr>
      </w:pPr>
    </w:p>
    <w:p w14:paraId="4AB1EA1B" w14:textId="72B47232" w:rsidR="00793AB9" w:rsidRDefault="00793AB9">
      <w:pPr>
        <w:rPr>
          <w:bCs/>
          <w:szCs w:val="22"/>
        </w:rPr>
      </w:pPr>
      <w:r>
        <w:rPr>
          <w:bCs/>
          <w:szCs w:val="22"/>
        </w:rPr>
        <w:t>This is actually a “duplicate” comment to CID 4488, which has already been discussed and agreed:</w:t>
      </w:r>
    </w:p>
    <w:p w14:paraId="0F8DD065" w14:textId="4E805947" w:rsidR="00793AB9" w:rsidRDefault="00793AB9">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93AB9" w14:paraId="7DFD79DC" w14:textId="77777777" w:rsidTr="00793AB9">
        <w:trPr>
          <w:trHeight w:val="524"/>
        </w:trPr>
        <w:tc>
          <w:tcPr>
            <w:tcW w:w="738" w:type="dxa"/>
            <w:tcBorders>
              <w:top w:val="single" w:sz="4" w:space="0" w:color="auto"/>
              <w:left w:val="single" w:sz="4" w:space="0" w:color="auto"/>
              <w:bottom w:val="single" w:sz="4" w:space="0" w:color="auto"/>
              <w:right w:val="single" w:sz="4" w:space="0" w:color="auto"/>
            </w:tcBorders>
            <w:hideMark/>
          </w:tcPr>
          <w:p w14:paraId="32AEBAF4"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446EA32"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936BE9"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9FAB47"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97A9045" w14:textId="77777777" w:rsidR="00793AB9" w:rsidRDefault="00793AB9" w:rsidP="00793AB9">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93AB9" w:rsidRPr="00DE7477" w14:paraId="4E09FB64" w14:textId="77777777" w:rsidTr="00793AB9">
        <w:trPr>
          <w:trHeight w:val="765"/>
        </w:trPr>
        <w:tc>
          <w:tcPr>
            <w:tcW w:w="738" w:type="dxa"/>
            <w:hideMark/>
          </w:tcPr>
          <w:p w14:paraId="0038E21D"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147294F" w14:textId="77777777" w:rsidR="00793AB9" w:rsidRPr="00DE7477" w:rsidRDefault="00793AB9" w:rsidP="00793AB9">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42088D13"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5D18DDCE"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E0201C1" w14:textId="77777777" w:rsidR="00793AB9" w:rsidRPr="00DE7477" w:rsidRDefault="00793AB9" w:rsidP="00793AB9">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6FFE0098" w14:textId="77777777" w:rsidR="00793AB9" w:rsidRDefault="00793AB9" w:rsidP="00793AB9">
      <w:pPr>
        <w:rPr>
          <w:bCs/>
          <w:szCs w:val="22"/>
        </w:rPr>
      </w:pPr>
    </w:p>
    <w:p w14:paraId="36C11A9D" w14:textId="5F2EC788" w:rsidR="00793AB9" w:rsidRDefault="00793AB9" w:rsidP="00793AB9">
      <w:pPr>
        <w:rPr>
          <w:bCs/>
          <w:szCs w:val="22"/>
        </w:rPr>
      </w:pPr>
      <w:r w:rsidRPr="00793AB9">
        <w:rPr>
          <w:bCs/>
          <w:szCs w:val="22"/>
          <w:u w:val="single"/>
        </w:rPr>
        <w:t>Proposed Resolution (to CID 4488):</w:t>
      </w:r>
    </w:p>
    <w:p w14:paraId="2926D799" w14:textId="77777777" w:rsidR="00793AB9" w:rsidRDefault="00793AB9" w:rsidP="00793AB9">
      <w:pPr>
        <w:rPr>
          <w:bCs/>
          <w:szCs w:val="22"/>
        </w:rPr>
      </w:pPr>
    </w:p>
    <w:p w14:paraId="5229C4E6" w14:textId="77777777" w:rsidR="00793AB9" w:rsidRPr="00675F01" w:rsidRDefault="00793AB9" w:rsidP="00793AB9">
      <w:pPr>
        <w:rPr>
          <w:bCs/>
          <w:szCs w:val="22"/>
        </w:rPr>
      </w:pPr>
      <w:r>
        <w:rPr>
          <w:bCs/>
          <w:szCs w:val="22"/>
        </w:rPr>
        <w:t>Revised.  Change each “Remaining BI field” (singular) in the cited paragraph to “Handover Remaining BI field”.</w:t>
      </w:r>
    </w:p>
    <w:p w14:paraId="27738DDD" w14:textId="77777777" w:rsidR="00793AB9" w:rsidRPr="00354B32" w:rsidRDefault="00793AB9" w:rsidP="00793AB9">
      <w:pPr>
        <w:rPr>
          <w:bCs/>
          <w:szCs w:val="22"/>
        </w:rPr>
      </w:pPr>
    </w:p>
    <w:p w14:paraId="2CEDE78A" w14:textId="0EFC5072" w:rsidR="00793AB9" w:rsidRPr="00793AB9" w:rsidRDefault="00793AB9">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00A6CC88" w14:textId="1A0129D7" w:rsidR="00793AB9" w:rsidRPr="00793AB9" w:rsidRDefault="00793AB9">
      <w:pPr>
        <w:rPr>
          <w:bCs/>
          <w:szCs w:val="22"/>
        </w:rPr>
      </w:pPr>
    </w:p>
    <w:p w14:paraId="39AEEBEF" w14:textId="7BB088B0" w:rsidR="00793AB9" w:rsidRPr="00793AB9" w:rsidRDefault="00793AB9">
      <w:pPr>
        <w:rPr>
          <w:bCs/>
          <w:szCs w:val="22"/>
        </w:rPr>
      </w:pPr>
      <w:r w:rsidRPr="00793AB9">
        <w:rPr>
          <w:bCs/>
          <w:szCs w:val="22"/>
          <w:highlight w:val="yellow"/>
        </w:rPr>
        <w:t>Proposed Resolution (for CID 4489):</w:t>
      </w:r>
    </w:p>
    <w:p w14:paraId="3E78B9E7" w14:textId="3880B766" w:rsidR="00793AB9" w:rsidRPr="00793AB9" w:rsidRDefault="00793AB9">
      <w:pPr>
        <w:rPr>
          <w:bCs/>
          <w:szCs w:val="22"/>
        </w:rPr>
      </w:pPr>
    </w:p>
    <w:p w14:paraId="3D088DC9" w14:textId="6B82A7B6" w:rsidR="00793AB9" w:rsidRDefault="00793AB9">
      <w:pPr>
        <w:rPr>
          <w:bCs/>
          <w:szCs w:val="22"/>
        </w:rPr>
      </w:pPr>
      <w:r w:rsidRPr="00793AB9">
        <w:rPr>
          <w:bCs/>
          <w:szCs w:val="22"/>
        </w:rPr>
        <w:t>Accepted.</w:t>
      </w:r>
    </w:p>
    <w:p w14:paraId="07777FF4" w14:textId="77777777" w:rsidR="00793AB9" w:rsidRPr="00793AB9" w:rsidRDefault="00793AB9">
      <w:pPr>
        <w:rPr>
          <w:bCs/>
          <w:szCs w:val="22"/>
        </w:rPr>
      </w:pPr>
    </w:p>
    <w:p w14:paraId="10358674" w14:textId="77777777" w:rsidR="00DA3BE0" w:rsidRDefault="00793AB9">
      <w:pPr>
        <w:rPr>
          <w:bCs/>
          <w:szCs w:val="22"/>
        </w:rPr>
      </w:pPr>
      <w:r>
        <w:rPr>
          <w:bCs/>
          <w:szCs w:val="22"/>
        </w:rPr>
        <w:br w:type="page"/>
      </w:r>
    </w:p>
    <w:p w14:paraId="0CEA9560" w14:textId="77777777" w:rsidR="00F974CC" w:rsidRPr="00F974CC" w:rsidRDefault="00F974CC" w:rsidP="001325F6">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1"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1"/>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The comment is in reference to the GTK subelement, one of the optional subelements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So, the 13.8.5 text does describe the process as both encryption and wrapping.  .</w:t>
      </w:r>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“Encrypted(GTK,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2"/>
      <w:commentRangeStart w:id="3"/>
      <w:r>
        <w:rPr>
          <w:bCs/>
          <w:szCs w:val="22"/>
        </w:rPr>
        <w:t>4-32 and 4-33</w:t>
      </w:r>
      <w:commentRangeEnd w:id="2"/>
      <w:r>
        <w:rPr>
          <w:rStyle w:val="CommentReference"/>
        </w:rPr>
        <w:commentReference w:id="2"/>
      </w:r>
      <w:commentRangeEnd w:id="3"/>
      <w:r>
        <w:rPr>
          <w:rStyle w:val="CommentReference"/>
        </w:rPr>
        <w:commentReference w:id="3"/>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r w:rsidRPr="004C5428">
        <w:rPr>
          <w:bCs/>
          <w:szCs w:val="22"/>
        </w:rPr>
        <w:t xml:space="preserve">subelement shall be encrypted using KEK (#102)(when the negotiated AKM is 00-0F-AC:3, 00-0FAC:4, 00-0F-AC:9, or 00-0F-AC:13) or KEK2 (when the negotiated AKM is 00-0F-AC:16 or 00-0F-AC:17) and the NIST AES key wrap algorithm. The </w:t>
      </w:r>
      <w:commentRangeStart w:id="4"/>
      <w:commentRangeStart w:id="5"/>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4"/>
      <w:r>
        <w:rPr>
          <w:rStyle w:val="CommentReference"/>
        </w:rPr>
        <w:commentReference w:id="4"/>
      </w:r>
      <w:commentRangeEnd w:id="5"/>
      <w:r>
        <w:rPr>
          <w:rStyle w:val="CommentReference"/>
        </w:rPr>
        <w:commentReference w:id="5"/>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subelement shall be wrapped using KEK </w:t>
      </w:r>
      <w:commentRangeStart w:id="6"/>
      <w:r w:rsidRPr="004C5428">
        <w:rPr>
          <w:bCs/>
          <w:szCs w:val="22"/>
        </w:rPr>
        <w:t>and</w:t>
      </w:r>
      <w:commentRangeEnd w:id="6"/>
      <w:r>
        <w:rPr>
          <w:rStyle w:val="CommentReference"/>
        </w:rPr>
        <w:commentReference w:id="6"/>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Table 9-94 says that the Multiple MAC Sublayers element is Extensible.  However, there appears to be no indication of the number of Inferface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Shifting consideration to the response primitives, it can be seen that the MLME-(RE)ASSOCIATE request, indication and confirm primitives have an MMS parameter.  However, the MLME-(RE)ASSOCIATE.response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 xml:space="preserve">In subclause 6.3.7.5.2 (Semantics of the [MLME-ASSOCIATE.response] service primitive) add a parameter in the parameter list: “MMS”, before the “FILSHLPContainer” parameter.  Add a row in the parameter description table before the “FILSHLPContainer”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Name=”MMS”,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Type=”Multiple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 xml:space="preserve">Valid range=”As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Description=”Specifies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 xml:space="preserve">6.3.7.5.2 (Semantics of the [MLME-ASSOCIATE.response] service primitive), </w:t>
      </w:r>
    </w:p>
    <w:p w14:paraId="0130DB92" w14:textId="77777777" w:rsidR="00397CBC" w:rsidRDefault="00397CBC" w:rsidP="00397CBC">
      <w:pPr>
        <w:pStyle w:val="ListParagraph"/>
        <w:numPr>
          <w:ilvl w:val="0"/>
          <w:numId w:val="44"/>
        </w:numPr>
        <w:rPr>
          <w:bCs/>
          <w:szCs w:val="22"/>
        </w:rPr>
      </w:pPr>
      <w:r w:rsidRPr="00862C56">
        <w:rPr>
          <w:bCs/>
          <w:szCs w:val="22"/>
        </w:rPr>
        <w:t xml:space="preserve">6.3.7.3.2 (Semantics of the [MLME-ASSOCIATE.confirm] service primitive), </w:t>
      </w:r>
    </w:p>
    <w:p w14:paraId="4A6414E7" w14:textId="77777777" w:rsidR="00397CBC" w:rsidRDefault="00397CBC" w:rsidP="00397CBC">
      <w:pPr>
        <w:pStyle w:val="ListParagraph"/>
        <w:numPr>
          <w:ilvl w:val="0"/>
          <w:numId w:val="44"/>
        </w:numPr>
        <w:rPr>
          <w:bCs/>
          <w:szCs w:val="22"/>
        </w:rPr>
      </w:pPr>
      <w:r w:rsidRPr="00862C56">
        <w:rPr>
          <w:bCs/>
          <w:szCs w:val="22"/>
        </w:rPr>
        <w:t xml:space="preserve">6.3.8.5.2 (Semantics of the [MLME-REASSOCIATE.response]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[MLME-REASSOCIATE.confirm]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“AIDAnnouncement” immediately before the “VendorSpecificInfo”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VendorSpecificInfo row: </w:t>
      </w:r>
    </w:p>
    <w:p w14:paraId="147385A8" w14:textId="77777777" w:rsidR="00397CBC" w:rsidRDefault="00397CBC" w:rsidP="00397CBC">
      <w:pPr>
        <w:pStyle w:val="ListParagraph"/>
        <w:numPr>
          <w:ilvl w:val="2"/>
          <w:numId w:val="44"/>
        </w:numPr>
        <w:rPr>
          <w:bCs/>
          <w:szCs w:val="22"/>
        </w:rPr>
      </w:pPr>
      <w:r>
        <w:rPr>
          <w:bCs/>
          <w:szCs w:val="22"/>
        </w:rPr>
        <w:t xml:space="preserve">Name=“AIDAnnouncement”, </w:t>
      </w:r>
    </w:p>
    <w:p w14:paraId="2EDB2884" w14:textId="77777777" w:rsidR="00397CBC" w:rsidRDefault="00397CBC" w:rsidP="00397CBC">
      <w:pPr>
        <w:pStyle w:val="ListParagraph"/>
        <w:numPr>
          <w:ilvl w:val="2"/>
          <w:numId w:val="44"/>
        </w:numPr>
        <w:rPr>
          <w:bCs/>
          <w:szCs w:val="22"/>
        </w:rPr>
      </w:pPr>
      <w:r>
        <w:rPr>
          <w:bCs/>
          <w:szCs w:val="22"/>
        </w:rPr>
        <w:t xml:space="preserve">Type=”AID Announcement element”, </w:t>
      </w:r>
    </w:p>
    <w:p w14:paraId="28AE296B" w14:textId="77777777" w:rsidR="00397CBC" w:rsidRDefault="00397CBC" w:rsidP="00397CBC">
      <w:pPr>
        <w:pStyle w:val="ListParagraph"/>
        <w:numPr>
          <w:ilvl w:val="2"/>
          <w:numId w:val="44"/>
        </w:numPr>
        <w:rPr>
          <w:bCs/>
          <w:szCs w:val="22"/>
        </w:rPr>
      </w:pPr>
      <w:r>
        <w:rPr>
          <w:bCs/>
          <w:szCs w:val="22"/>
        </w:rPr>
        <w:t xml:space="preserve">Valid range=”As defined in 9.4.2.208”, </w:t>
      </w:r>
    </w:p>
    <w:p w14:paraId="3C77C311" w14:textId="77777777" w:rsidR="00397CBC" w:rsidRPr="00862C56" w:rsidRDefault="00397CBC" w:rsidP="00397CBC">
      <w:pPr>
        <w:pStyle w:val="ListParagraph"/>
        <w:numPr>
          <w:ilvl w:val="2"/>
          <w:numId w:val="44"/>
        </w:numPr>
        <w:rPr>
          <w:bCs/>
          <w:szCs w:val="22"/>
        </w:rPr>
      </w:pPr>
      <w:r>
        <w:rPr>
          <w:bCs/>
          <w:szCs w:val="22"/>
        </w:rPr>
        <w:t xml:space="preserve">Description=”Specifies the mapping from MAC Address(es) to assigned AID(s) for all of the STAs included in the MMS element.  </w:t>
      </w:r>
      <w:r w:rsidRPr="00C610C4">
        <w:rPr>
          <w:bCs/>
          <w:szCs w:val="22"/>
        </w:rPr>
        <w:t>The parameter is present if dot11MultipleMACActivated is true</w:t>
      </w:r>
      <w:r>
        <w:rPr>
          <w:bCs/>
          <w:szCs w:val="22"/>
        </w:rPr>
        <w:t xml:space="preserve">, the corresponding MLME-[RE]ASSOCIATE.indication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Information=”AID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7" w:name="_Hlk41391567"/>
      <w:r>
        <w:rPr>
          <w:bCs/>
          <w:szCs w:val="22"/>
        </w:rPr>
        <w:t>In subclause 11.3.5.3, bullet (m), subbullet (2), add to the end, “, and shall include an AID Announcement element in the MLME-ASSOCIATION.response primitive indicating the AID assignments.”</w:t>
      </w:r>
    </w:p>
    <w:bookmarkEnd w:id="7"/>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In subclause 11.3.5.5, bullet (k), subbullet (2), add to the end, “, and shall include an AID Announcement element in the MLME-REASSOCIATION.response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r w:rsidRPr="00C665D4">
        <w:rPr>
          <w:bCs/>
          <w:color w:val="000000" w:themeColor="text1"/>
          <w:szCs w:val="22"/>
          <w:highlight w:val="red"/>
        </w:rPr>
        <w:t>xxxxxxxxxx</w:t>
      </w:r>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r w:rsidRPr="00C665D4">
        <w:rPr>
          <w:bCs/>
          <w:color w:val="000000" w:themeColor="text1"/>
          <w:szCs w:val="22"/>
          <w:highlight w:val="red"/>
        </w:rPr>
        <w:t>xxxxxxxxxx</w:t>
      </w:r>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r w:rsidRPr="00C665D4">
        <w:rPr>
          <w:bCs/>
          <w:color w:val="000000" w:themeColor="text1"/>
          <w:szCs w:val="22"/>
          <w:highlight w:val="red"/>
        </w:rPr>
        <w:t>xxxxxxxxxx</w:t>
      </w:r>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r w:rsidRPr="00E735A6">
        <w:rPr>
          <w:bCs/>
          <w:szCs w:val="22"/>
          <w:highlight w:val="red"/>
        </w:rPr>
        <w:t>xxxxxx</w:t>
      </w:r>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r>
        <w:rPr>
          <w:bCs/>
          <w:szCs w:val="22"/>
          <w:u w:val="single"/>
        </w:rPr>
        <w:t>Disucssion:</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r w:rsidRPr="00647FC6">
        <w:rPr>
          <w:bCs/>
          <w:szCs w:val="22"/>
          <w:highlight w:val="red"/>
        </w:rPr>
        <w:t>xxxxxx</w:t>
      </w:r>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68">
                      <w14:nvContentPartPr>
                        <w14:cNvContentPartPr/>
                      </w14:nvContentPartPr>
                      <w14:xfrm>
                        <a:off x="0" y="0"/>
                        <a:ext cx="902880" cy="41760"/>
                      </w14:xfrm>
                    </w14:contentPart>
                  </a:graphicData>
                </a:graphic>
              </wp:anchor>
            </w:drawing>
          </mc:Choice>
          <mc:Fallback>
            <w:pict>
              <v:shape w14:anchorId="0FF50EE1"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69"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Not sure what the best choice is here.  I see your point about not making it appear that this is a relatively arbitrary choice by the transmitter.  But,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r w:rsidRPr="009809A6">
        <w:rPr>
          <w:bCs/>
          <w:szCs w:val="22"/>
          <w:highlight w:val="red"/>
        </w:rPr>
        <w:t>xxxxxx</w:t>
      </w:r>
    </w:p>
    <w:p w14:paraId="60168EF1" w14:textId="77777777" w:rsidR="009809A6" w:rsidRDefault="009809A6" w:rsidP="009809A6">
      <w:r>
        <w:rPr>
          <w:bCs/>
          <w:szCs w:val="22"/>
        </w:rPr>
        <w:br w:type="page"/>
      </w:r>
    </w:p>
    <w:p w14:paraId="6BD05E97" w14:textId="77777777" w:rsidR="00397CBC" w:rsidRDefault="00397CBC"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r w:rsidR="00AE7C3B" w:rsidRPr="00DE7477" w14:paraId="0B11D232" w14:textId="77777777" w:rsidTr="00DE7477">
        <w:trPr>
          <w:trHeight w:val="765"/>
        </w:trPr>
        <w:tc>
          <w:tcPr>
            <w:tcW w:w="738" w:type="dxa"/>
          </w:tcPr>
          <w:p w14:paraId="206CF5AB" w14:textId="2866A78A" w:rsidR="00AE7C3B" w:rsidRPr="00233EF1"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0F195520" w14:textId="77777777" w:rsidR="00AE7C3B" w:rsidRPr="00233EF1" w:rsidRDefault="00AE7C3B" w:rsidP="00873D4A">
            <w:pPr>
              <w:jc w:val="right"/>
              <w:rPr>
                <w:rFonts w:ascii="Arial" w:eastAsia="Times New Roman" w:hAnsi="Arial" w:cs="Arial"/>
                <w:color w:val="000000"/>
                <w:sz w:val="20"/>
                <w:lang w:val="en-US"/>
              </w:rPr>
            </w:pPr>
          </w:p>
        </w:tc>
        <w:tc>
          <w:tcPr>
            <w:tcW w:w="1080" w:type="dxa"/>
          </w:tcPr>
          <w:p w14:paraId="59E36259" w14:textId="77777777" w:rsidR="00AE7C3B" w:rsidRPr="00233EF1" w:rsidRDefault="00AE7C3B" w:rsidP="00873D4A">
            <w:pPr>
              <w:rPr>
                <w:rFonts w:ascii="Arial" w:eastAsia="Times New Roman" w:hAnsi="Arial" w:cs="Arial"/>
                <w:color w:val="000000"/>
                <w:sz w:val="20"/>
                <w:lang w:val="en-US"/>
              </w:rPr>
            </w:pPr>
          </w:p>
        </w:tc>
        <w:tc>
          <w:tcPr>
            <w:tcW w:w="3600" w:type="dxa"/>
          </w:tcPr>
          <w:p w14:paraId="27EDC7B2"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6812B87A" w14:textId="77777777" w:rsidR="00AE7C3B" w:rsidRPr="00AE7C3B" w:rsidRDefault="00AE7C3B" w:rsidP="00AE7C3B">
            <w:pPr>
              <w:rPr>
                <w:rFonts w:ascii="Arial" w:eastAsia="Times New Roman" w:hAnsi="Arial" w:cs="Arial"/>
                <w:color w:val="000000"/>
                <w:sz w:val="20"/>
                <w:lang w:val="en-US"/>
              </w:rPr>
            </w:pPr>
          </w:p>
          <w:p w14:paraId="313BFEBB"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5A820AD"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7DFA7764"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(3) Some other frams (e.g., 9.6.7.7 Extended Channel Switch Announcement frame format) list the elements directly in a figure representing teh frame, without a table, which is also consistent with (2)</w:t>
            </w:r>
          </w:p>
          <w:p w14:paraId="0CC342C6" w14:textId="77777777" w:rsidR="00AE7C3B" w:rsidRPr="00AE7C3B" w:rsidRDefault="00AE7C3B" w:rsidP="00AE7C3B">
            <w:pPr>
              <w:rPr>
                <w:rFonts w:ascii="Arial" w:eastAsia="Times New Roman" w:hAnsi="Arial" w:cs="Arial"/>
                <w:color w:val="000000"/>
                <w:sz w:val="20"/>
                <w:lang w:val="en-US"/>
              </w:rPr>
            </w:pPr>
          </w:p>
          <w:p w14:paraId="0340D33E" w14:textId="39E55AC1"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anomaly, and propose not to represent any IE </w:t>
            </w:r>
            <w:r w:rsidRPr="00AE7C3B">
              <w:rPr>
                <w:rFonts w:ascii="Arial" w:eastAsia="Times New Roman" w:hAnsi="Arial" w:cs="Arial"/>
                <w:color w:val="000000"/>
                <w:sz w:val="20"/>
                <w:lang w:val="en-US"/>
              </w:rPr>
              <w:lastRenderedPageBreak/>
              <w:t>appended to a frame as a field in that frame. This will simplify the text too, as there is no field to define (see example in proposed change).</w:t>
            </w:r>
          </w:p>
        </w:tc>
        <w:tc>
          <w:tcPr>
            <w:tcW w:w="3600" w:type="dxa"/>
          </w:tcPr>
          <w:p w14:paraId="0732C308"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lastRenderedPageBreak/>
              <w:t>Comment is general;  by way of example, and using Link Measurement Report frame, either</w:t>
            </w:r>
          </w:p>
          <w:p w14:paraId="4170C925" w14:textId="77777777" w:rsidR="00AE7C3B" w:rsidRPr="00AE7C3B" w:rsidRDefault="00AE7C3B" w:rsidP="00AE7C3B">
            <w:pPr>
              <w:rPr>
                <w:rFonts w:ascii="Arial" w:eastAsia="Times New Roman" w:hAnsi="Arial" w:cs="Arial"/>
                <w:color w:val="000000"/>
                <w:sz w:val="20"/>
                <w:lang w:val="en-US"/>
              </w:rPr>
            </w:pPr>
          </w:p>
          <w:p w14:paraId="1EE175F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4A7789A7" w14:textId="77777777" w:rsidR="00AE7C3B" w:rsidRPr="00AE7C3B" w:rsidRDefault="00AE7C3B" w:rsidP="00AE7C3B">
            <w:pPr>
              <w:rPr>
                <w:rFonts w:ascii="Arial" w:eastAsia="Times New Roman" w:hAnsi="Arial" w:cs="Arial"/>
                <w:color w:val="000000"/>
                <w:sz w:val="20"/>
                <w:lang w:val="en-US"/>
              </w:rPr>
            </w:pPr>
          </w:p>
          <w:p w14:paraId="66E8AE59" w14:textId="77777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 .., and they happen to follow this convention), and those without a table, e.g., Link Measurement Report.</w:t>
            </w:r>
          </w:p>
          <w:p w14:paraId="07756EA4" w14:textId="77777777" w:rsidR="00AE7C3B" w:rsidRPr="00AE7C3B" w:rsidRDefault="00AE7C3B" w:rsidP="00AE7C3B">
            <w:pPr>
              <w:rPr>
                <w:rFonts w:ascii="Arial" w:eastAsia="Times New Roman" w:hAnsi="Arial" w:cs="Arial"/>
                <w:color w:val="000000"/>
                <w:sz w:val="20"/>
                <w:lang w:val="en-US"/>
              </w:rPr>
            </w:pPr>
          </w:p>
          <w:p w14:paraId="68F49C01" w14:textId="3F22490B" w:rsidR="00AE7C3B" w:rsidRPr="00233EF1"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The second path generally simplifies the text; in the Link Measurement Report frame example, if adopting the second (and preferred) path, the last two boxes in Figure 9-844 would be named as "DMG Link Margin element </w:t>
            </w:r>
            <w:r w:rsidRPr="00AE7C3B">
              <w:rPr>
                <w:rFonts w:ascii="Arial" w:eastAsia="Times New Roman" w:hAnsi="Arial" w:cs="Arial"/>
                <w:color w:val="000000"/>
                <w:sz w:val="20"/>
                <w:lang w:val="en-US"/>
              </w:rPr>
              <w:lastRenderedPageBreak/>
              <w:t>(optional)" and "DMG Link Adaptation Acknowledgement element (optional)", and the last two paragraphs in section 9.6.6.5 will greatly simplify (if not go away).</w:t>
            </w:r>
          </w:p>
        </w:tc>
      </w:tr>
      <w:tr w:rsidR="00AE7C3B" w:rsidRPr="00DE7477" w14:paraId="2CAE7FD7" w14:textId="77777777" w:rsidTr="00DE7477">
        <w:trPr>
          <w:trHeight w:val="765"/>
        </w:trPr>
        <w:tc>
          <w:tcPr>
            <w:tcW w:w="738" w:type="dxa"/>
          </w:tcPr>
          <w:p w14:paraId="36DC5C07" w14:textId="52FFCE8E" w:rsidR="00AE7C3B" w:rsidRDefault="00AE7C3B" w:rsidP="00873D4A">
            <w:pPr>
              <w:jc w:val="right"/>
              <w:rPr>
                <w:rFonts w:ascii="Arial" w:eastAsia="Times New Roman" w:hAnsi="Arial" w:cs="Arial"/>
                <w:color w:val="000000"/>
                <w:sz w:val="20"/>
                <w:lang w:val="en-US"/>
              </w:rPr>
            </w:pPr>
            <w:bookmarkStart w:id="8" w:name="_GoBack"/>
            <w:bookmarkEnd w:id="8"/>
            <w:r>
              <w:rPr>
                <w:rFonts w:ascii="Arial" w:eastAsia="Times New Roman" w:hAnsi="Arial" w:cs="Arial"/>
                <w:color w:val="000000"/>
                <w:sz w:val="20"/>
                <w:lang w:val="en-US"/>
              </w:rPr>
              <w:lastRenderedPageBreak/>
              <w:t>4771</w:t>
            </w:r>
          </w:p>
        </w:tc>
        <w:tc>
          <w:tcPr>
            <w:tcW w:w="990" w:type="dxa"/>
          </w:tcPr>
          <w:p w14:paraId="3EC34126" w14:textId="5C1C5FE5" w:rsidR="00AE7C3B" w:rsidRDefault="00AE7C3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63A72904" w14:textId="709E01BD" w:rsidR="00AE7C3B" w:rsidRDefault="00AE7C3B" w:rsidP="00873D4A">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EDD72F8" w14:textId="169739AB"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After the first senence, this NOTE no longer seems necessary/useful in the Definitions, and further, seems to be mostly talking about MSDUs and A-MSDUs, not MMPDUs.</w:t>
            </w:r>
          </w:p>
        </w:tc>
        <w:tc>
          <w:tcPr>
            <w:tcW w:w="3600" w:type="dxa"/>
          </w:tcPr>
          <w:p w14:paraId="309058E1" w14:textId="4D113777" w:rsidR="00AE7C3B" w:rsidRPr="00AE7C3B" w:rsidRDefault="00AE7C3B" w:rsidP="00AE7C3B">
            <w:pPr>
              <w:rPr>
                <w:rFonts w:ascii="Arial" w:eastAsia="Times New Roman" w:hAnsi="Arial" w:cs="Arial"/>
                <w:color w:val="000000"/>
                <w:sz w:val="20"/>
                <w:lang w:val="en-US"/>
              </w:rPr>
            </w:pPr>
            <w:r w:rsidRPr="00AE7C3B">
              <w:rPr>
                <w:rFonts w:ascii="Arial" w:eastAsia="Times New Roman" w:hAnsi="Arial" w:cs="Arial"/>
                <w:color w:val="000000"/>
                <w:sz w:val="20"/>
                <w:lang w:val="en-US"/>
              </w:rPr>
              <w:t>Confirm this material is stated in normative text, and delete it from here.  (Or move it somewhere normative, if it is missing.)</w:t>
            </w:r>
          </w:p>
        </w:tc>
      </w:tr>
      <w:tr w:rsidR="00503BFC" w:rsidRPr="00DE7477" w14:paraId="79F72C8E" w14:textId="77777777" w:rsidTr="00DE7477">
        <w:trPr>
          <w:trHeight w:val="765"/>
        </w:trPr>
        <w:tc>
          <w:tcPr>
            <w:tcW w:w="738" w:type="dxa"/>
          </w:tcPr>
          <w:p w14:paraId="0E12E31A" w14:textId="0093B4FA"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4419</w:t>
            </w:r>
          </w:p>
        </w:tc>
        <w:tc>
          <w:tcPr>
            <w:tcW w:w="990" w:type="dxa"/>
          </w:tcPr>
          <w:p w14:paraId="059F2369" w14:textId="135A857E" w:rsidR="00503BFC" w:rsidRDefault="00503BFC"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165.21</w:t>
            </w:r>
          </w:p>
        </w:tc>
        <w:tc>
          <w:tcPr>
            <w:tcW w:w="1080" w:type="dxa"/>
          </w:tcPr>
          <w:p w14:paraId="451E17C9" w14:textId="7DDAC841" w:rsidR="00503BFC" w:rsidRDefault="00503BFC" w:rsidP="00873D4A">
            <w:pPr>
              <w:rPr>
                <w:rFonts w:ascii="Arial" w:eastAsia="Times New Roman" w:hAnsi="Arial" w:cs="Arial"/>
                <w:color w:val="000000"/>
                <w:sz w:val="20"/>
                <w:lang w:val="en-US"/>
              </w:rPr>
            </w:pPr>
            <w:r>
              <w:rPr>
                <w:rFonts w:ascii="Arial" w:eastAsia="Times New Roman" w:hAnsi="Arial" w:cs="Arial"/>
                <w:color w:val="000000"/>
                <w:sz w:val="20"/>
                <w:lang w:val="en-US"/>
              </w:rPr>
              <w:t>3.1</w:t>
            </w:r>
          </w:p>
        </w:tc>
        <w:tc>
          <w:tcPr>
            <w:tcW w:w="3600" w:type="dxa"/>
          </w:tcPr>
          <w:p w14:paraId="2E834D0B" w14:textId="784AAD45" w:rsidR="00503BFC" w:rsidRPr="00421B3E"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(CID 2488 follow-up) The "mesh STA" definition suggests a STA that implements mesh but is currently operating in an IBSS or infrastructure BSS or PBSS is a "mesh STA".  I suspect that's not how "mesh STA" is actually used; rather, it's actually used to mean "is starting/joining or has started/joined an MBSS".  However, 4.3.21.4 says "Accordingly, a mesh STA is not a member of an IBSS or an infrastructure BSS.", which prima facie contradicts the definition</w:t>
            </w:r>
          </w:p>
        </w:tc>
        <w:tc>
          <w:tcPr>
            <w:tcW w:w="3600" w:type="dxa"/>
          </w:tcPr>
          <w:p w14:paraId="51E7B65C" w14:textId="77777777" w:rsidR="00503BFC" w:rsidRDefault="00503BFC" w:rsidP="00421B3E">
            <w:pPr>
              <w:rPr>
                <w:rFonts w:ascii="Arial" w:eastAsia="Times New Roman" w:hAnsi="Arial" w:cs="Arial"/>
                <w:color w:val="000000"/>
                <w:sz w:val="20"/>
                <w:lang w:val="en-US"/>
              </w:rPr>
            </w:pPr>
            <w:r w:rsidRPr="00503BFC">
              <w:rPr>
                <w:rFonts w:ascii="Arial" w:eastAsia="Times New Roman" w:hAnsi="Arial" w:cs="Arial"/>
                <w:color w:val="000000"/>
                <w:sz w:val="20"/>
                <w:lang w:val="en-US"/>
              </w:rPr>
              <w:t>Change the definition of mesh STA to "A quality-of-service (QoS) STA that is starting or joining, or has started or joined, a mesh  basic  service  set (MBSS)."</w:t>
            </w:r>
          </w:p>
          <w:p w14:paraId="60B533C1" w14:textId="77777777" w:rsidR="00503BFC" w:rsidRDefault="00503BFC" w:rsidP="00421B3E">
            <w:pPr>
              <w:rPr>
                <w:rFonts w:ascii="Arial" w:eastAsia="Times New Roman" w:hAnsi="Arial" w:cs="Arial"/>
                <w:color w:val="000000"/>
                <w:sz w:val="20"/>
                <w:lang w:val="en-US"/>
              </w:rPr>
            </w:pPr>
          </w:p>
          <w:p w14:paraId="70731734" w14:textId="77777777" w:rsidR="00503BFC" w:rsidRDefault="00503BFC" w:rsidP="00421B3E">
            <w:pPr>
              <w:rPr>
                <w:rFonts w:ascii="Arial" w:eastAsia="Times New Roman" w:hAnsi="Arial" w:cs="Arial"/>
                <w:color w:val="000000"/>
                <w:sz w:val="20"/>
                <w:lang w:val="en-US"/>
              </w:rPr>
            </w:pPr>
            <w:r>
              <w:rPr>
                <w:rFonts w:ascii="Arial" w:eastAsia="Times New Roman" w:hAnsi="Arial" w:cs="Arial"/>
                <w:color w:val="000000"/>
                <w:sz w:val="20"/>
                <w:lang w:val="en-US"/>
              </w:rPr>
              <w:t>Ad hoc notes:</w:t>
            </w:r>
          </w:p>
          <w:p w14:paraId="104AD66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21:48:37Z - status set to: Submission Required - Mark Hamilton will bring proposed resoution or rejection words.</w:t>
            </w:r>
          </w:p>
          <w:p w14:paraId="220F8974"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2020-04-29 21:44:47Z - discussion: We chose to think of an instance of a STA as the current state, configuration, etc. of the implementation.  If the STA "stops" and "restarts" with a differnt set of capabilities, configuration, etc., that is a new instance (by our convention).  It is the instance that "implements" something - not the image on disk/ROM/etc.</w:t>
            </w:r>
          </w:p>
          <w:p w14:paraId="4918F9C9" w14:textId="77777777" w:rsidR="00503BFC" w:rsidRPr="00503BFC" w:rsidRDefault="00503BFC" w:rsidP="00503BFC">
            <w:pPr>
              <w:rPr>
                <w:rFonts w:ascii="Arial" w:eastAsia="Times New Roman" w:hAnsi="Arial" w:cs="Arial"/>
                <w:color w:val="000000"/>
                <w:sz w:val="20"/>
                <w:lang w:val="en-US"/>
              </w:rPr>
            </w:pPr>
          </w:p>
          <w:p w14:paraId="5E337B45"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rejection #2: The CID was discussed at length and no consensus was determined.</w:t>
            </w:r>
          </w:p>
          <w:p w14:paraId="780CEB71" w14:textId="77777777" w:rsidR="00503BFC" w:rsidRPr="00503BFC" w:rsidRDefault="00503BFC" w:rsidP="00503BFC">
            <w:pPr>
              <w:rPr>
                <w:rFonts w:ascii="Arial" w:eastAsia="Times New Roman" w:hAnsi="Arial" w:cs="Arial"/>
                <w:color w:val="000000"/>
                <w:sz w:val="20"/>
                <w:lang w:val="en-US"/>
              </w:rPr>
            </w:pPr>
          </w:p>
          <w:p w14:paraId="22B1450A"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 xml:space="preserve">GEN: 2020-04-24 14:41:10Z - Proposed Rejection </w:t>
            </w:r>
          </w:p>
          <w:p w14:paraId="05B25532"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Resolution: Reject; A Mesh STA is a Mesh STA even before it starts or join. A Mesh STA can</w:t>
            </w:r>
          </w:p>
          <w:p w14:paraId="257B1A5C"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start discovery procedures. There is a general convention to describe a STA that implements or</w:t>
            </w:r>
          </w:p>
          <w:p w14:paraId="7EAF01ED"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activates. The wording of this definition is consistent with other STA definitions.</w:t>
            </w:r>
          </w:p>
          <w:p w14:paraId="1AE9DE61" w14:textId="77777777" w:rsidR="00503BFC" w:rsidRPr="00503BFC" w:rsidRDefault="00503BFC" w:rsidP="00503BFC">
            <w:pPr>
              <w:rPr>
                <w:rFonts w:ascii="Arial" w:eastAsia="Times New Roman" w:hAnsi="Arial" w:cs="Arial"/>
                <w:color w:val="000000"/>
                <w:sz w:val="20"/>
                <w:lang w:val="en-US"/>
              </w:rPr>
            </w:pPr>
          </w:p>
          <w:p w14:paraId="1904FDB1"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2020-04-15 22:01:54Z - more discussion needed.</w:t>
            </w:r>
          </w:p>
          <w:p w14:paraId="6F852998" w14:textId="77777777" w:rsidR="00503BFC" w:rsidRPr="00503BFC"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GEN: 2020-03-29 02:17:49Z - status set to: Review</w:t>
            </w:r>
          </w:p>
          <w:p w14:paraId="7E2F5C5C" w14:textId="62999232" w:rsidR="00503BFC" w:rsidRPr="00421B3E" w:rsidRDefault="00503BFC" w:rsidP="00503BFC">
            <w:pPr>
              <w:rPr>
                <w:rFonts w:ascii="Arial" w:eastAsia="Times New Roman" w:hAnsi="Arial" w:cs="Arial"/>
                <w:color w:val="000000"/>
                <w:sz w:val="20"/>
                <w:lang w:val="en-US"/>
              </w:rPr>
            </w:pPr>
            <w:r w:rsidRPr="00503BFC">
              <w:rPr>
                <w:rFonts w:ascii="Arial" w:eastAsia="Times New Roman" w:hAnsi="Arial" w:cs="Arial"/>
                <w:color w:val="000000"/>
                <w:sz w:val="20"/>
                <w:lang w:val="en-US"/>
              </w:rPr>
              <w:t>Proposed resoution: Accept</w:t>
            </w:r>
          </w:p>
        </w:tc>
      </w:tr>
      <w:tr w:rsidR="00C64A9B" w:rsidRPr="00DE7477" w14:paraId="6B5DB492" w14:textId="77777777" w:rsidTr="00DE7477">
        <w:trPr>
          <w:trHeight w:val="765"/>
        </w:trPr>
        <w:tc>
          <w:tcPr>
            <w:tcW w:w="738" w:type="dxa"/>
          </w:tcPr>
          <w:p w14:paraId="7117869E" w14:textId="51793587"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E944127" w14:textId="63E8B75E" w:rsidR="00C64A9B" w:rsidRDefault="00C64A9B" w:rsidP="00873D4A">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0894426C" w14:textId="7BA56E9D" w:rsidR="00C64A9B" w:rsidRDefault="00C64A9B" w:rsidP="00873D4A">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27B64E67"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17EA9A3D"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1E2BE15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146F9B06"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189AEA4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3AC4E720" w14:textId="0A1B83DD" w:rsidR="00C64A9B" w:rsidRPr="00503BFC"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lastRenderedPageBreak/>
              <w:t>format" -- no such element (in the Neighbor Report element or otherwise)</w:t>
            </w:r>
          </w:p>
        </w:tc>
        <w:tc>
          <w:tcPr>
            <w:tcW w:w="3600" w:type="dxa"/>
          </w:tcPr>
          <w:p w14:paraId="5BC9F77E"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lastRenderedPageBreak/>
              <w:t>Delete the referenced table row; also in the table in 6.3.31.3.2.  Delete "The neighbor report contents are derived from</w:t>
            </w:r>
          </w:p>
          <w:p w14:paraId="6E2895A1"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NeighborListSet parameter of the </w:t>
            </w:r>
            <w:r w:rsidRPr="00C64A9B">
              <w:rPr>
                <w:rFonts w:ascii="Arial" w:eastAsia="Times New Roman" w:hAnsi="Arial" w:cs="Arial"/>
                <w:color w:val="000000"/>
                <w:sz w:val="20"/>
                <w:lang w:val="en-US"/>
              </w:rPr>
              <w:lastRenderedPageBreak/>
              <w:t>MLME-NEIGHBORREPRESP.request primitive." in 11.10.10.1 and "The  Reduced  Neighbor  Report  element</w:t>
            </w:r>
          </w:p>
          <w:p w14:paraId="2601412B" w14:textId="77777777" w:rsidR="00C64A9B" w:rsidRP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contents may be derived from the NeighborListSet parameter of the MLME-NEIGHBORREPRESP.request</w:t>
            </w:r>
          </w:p>
          <w:p w14:paraId="69529AA3"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primitive." in 11.50 and "The Neighbor Report Response frame includes a list Neighbor Report elements one for each neighbor." in 11.10.10.3</w:t>
            </w:r>
          </w:p>
          <w:p w14:paraId="1545ED87" w14:textId="77777777" w:rsidR="00C64A9B" w:rsidRDefault="00C64A9B" w:rsidP="00C64A9B">
            <w:pPr>
              <w:rPr>
                <w:rFonts w:ascii="Arial" w:eastAsia="Times New Roman" w:hAnsi="Arial" w:cs="Arial"/>
                <w:color w:val="000000"/>
                <w:sz w:val="20"/>
                <w:lang w:val="en-US"/>
              </w:rPr>
            </w:pPr>
          </w:p>
          <w:p w14:paraId="41DFBFEE" w14:textId="77777777" w:rsidR="00C64A9B" w:rsidRDefault="00C64A9B" w:rsidP="00C64A9B">
            <w:pPr>
              <w:rPr>
                <w:rFonts w:ascii="Arial" w:eastAsia="Times New Roman" w:hAnsi="Arial" w:cs="Arial"/>
                <w:color w:val="000000"/>
                <w:sz w:val="20"/>
                <w:lang w:val="en-US"/>
              </w:rPr>
            </w:pPr>
            <w:r w:rsidRPr="00C64A9B">
              <w:rPr>
                <w:rFonts w:ascii="Arial" w:eastAsia="Times New Roman" w:hAnsi="Arial" w:cs="Arial"/>
                <w:color w:val="000000"/>
                <w:sz w:val="20"/>
                <w:lang w:val="en-US"/>
              </w:rPr>
              <w:t>MAC: 2020-03-19 01:34:08Z - status set to: Submission Required</w:t>
            </w:r>
          </w:p>
          <w:p w14:paraId="179616F1" w14:textId="77777777" w:rsidR="00620F09" w:rsidRDefault="00620F09" w:rsidP="00C64A9B">
            <w:pPr>
              <w:rPr>
                <w:rFonts w:ascii="Arial" w:eastAsia="Times New Roman" w:hAnsi="Arial" w:cs="Arial"/>
                <w:color w:val="000000"/>
                <w:sz w:val="20"/>
                <w:lang w:val="en-US"/>
              </w:rPr>
            </w:pPr>
          </w:p>
          <w:p w14:paraId="2EE391D0" w14:textId="1F362631" w:rsidR="00620F09" w:rsidRPr="00503BFC" w:rsidRDefault="00620F09" w:rsidP="00C64A9B">
            <w:pPr>
              <w:rPr>
                <w:rFonts w:ascii="Arial" w:eastAsia="Times New Roman" w:hAnsi="Arial" w:cs="Arial"/>
                <w:color w:val="000000"/>
                <w:sz w:val="20"/>
                <w:lang w:val="en-US"/>
              </w:rPr>
            </w:pPr>
            <w:r>
              <w:rPr>
                <w:rFonts w:ascii="Arial" w:eastAsia="Times New Roman" w:hAnsi="Arial" w:cs="Arial"/>
                <w:color w:val="000000"/>
                <w:sz w:val="20"/>
                <w:lang w:val="en-US"/>
              </w:rPr>
              <w:t>See CID 4585 in this file.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p w14:paraId="153577D3" w14:textId="77777777" w:rsidR="002C154C" w:rsidRDefault="002C154C" w:rsidP="002C154C">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72">
                      <w14:nvContentPartPr>
                        <w14:cNvContentPartPr/>
                      </w14:nvContentPartPr>
                      <w14:xfrm>
                        <a:off x="0" y="0"/>
                        <a:ext cx="1300320" cy="49680"/>
                      </w14:xfrm>
                    </w14:contentPart>
                  </a:graphicData>
                </a:graphic>
              </wp:anchor>
            </w:drawing>
          </mc:Choice>
          <mc:Fallback>
            <w:pict>
              <v:shape w14:anchorId="030DD9A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7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74">
                      <w14:nvContentPartPr>
                        <w14:cNvContentPartPr/>
                      </w14:nvContentPartPr>
                      <w14:xfrm>
                        <a:off x="0" y="0"/>
                        <a:ext cx="682560" cy="33840"/>
                      </w14:xfrm>
                    </w14:contentPart>
                  </a:graphicData>
                </a:graphic>
              </wp:anchor>
            </w:drawing>
          </mc:Choice>
          <mc:Fallback>
            <w:pict>
              <v:shape w14:anchorId="5EA130B9"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75"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76">
                      <w14:nvContentPartPr>
                        <w14:cNvContentPartPr/>
                      </w14:nvContentPartPr>
                      <w14:xfrm>
                        <a:off x="0" y="0"/>
                        <a:ext cx="573480" cy="9000"/>
                      </w14:xfrm>
                    </w14:contentPart>
                  </a:graphicData>
                </a:graphic>
              </wp:anchor>
            </w:drawing>
          </mc:Choice>
          <mc:Fallback>
            <w:pict>
              <v:shape w14:anchorId="76899CC4"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77"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78">
                      <w14:nvContentPartPr>
                        <w14:cNvContentPartPr/>
                      </w14:nvContentPartPr>
                      <w14:xfrm>
                        <a:off x="0" y="0"/>
                        <a:ext cx="1408680" cy="55440"/>
                      </w14:xfrm>
                    </w14:contentPart>
                  </a:graphicData>
                </a:graphic>
              </wp:anchor>
            </w:drawing>
          </mc:Choice>
          <mc:Fallback>
            <w:pict>
              <v:shape w14:anchorId="1C81D672"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79"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is by definition, a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95">
                      <w14:nvContentPartPr>
                        <w14:cNvContentPartPr/>
                      </w14:nvContentPartPr>
                      <w14:xfrm>
                        <a:off x="0" y="0"/>
                        <a:ext cx="1365480" cy="38160"/>
                      </w14:xfrm>
                    </w14:contentPart>
                  </a:graphicData>
                </a:graphic>
              </wp:anchor>
            </w:drawing>
          </mc:Choice>
          <mc:Fallback>
            <w:pict>
              <v:shape w14:anchorId="4BE42716"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96"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100">
                      <w14:nvContentPartPr>
                        <w14:cNvContentPartPr/>
                      </w14:nvContentPartPr>
                      <w14:xfrm>
                        <a:off x="0" y="0"/>
                        <a:ext cx="1311840" cy="49320"/>
                      </w14:xfrm>
                    </w14:contentPart>
                  </a:graphicData>
                </a:graphic>
              </wp:anchor>
            </w:drawing>
          </mc:Choice>
          <mc:Fallback>
            <w:pict>
              <v:shape w14:anchorId="49B776BC"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101"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102">
                      <w14:nvContentPartPr>
                        <w14:cNvContentPartPr/>
                      </w14:nvContentPartPr>
                      <w14:xfrm>
                        <a:off x="0" y="0"/>
                        <a:ext cx="1299960" cy="36360"/>
                      </w14:xfrm>
                    </w14:contentPart>
                  </a:graphicData>
                </a:graphic>
              </wp:anchor>
            </w:drawing>
          </mc:Choice>
          <mc:Fallback>
            <w:pict>
              <v:shape w14:anchorId="1686B0DD"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103"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The Neighbor Report Request frame (note, not “Neighbor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Contrast this with the Neighbor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Unlike the Neighbor Report Response, the Neighbor Report Request does not carry “Neighbor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r w:rsidRPr="002C7DB8">
        <w:rPr>
          <w:bCs/>
          <w:szCs w:val="22"/>
        </w:rPr>
        <w:t>Neighbor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“Neighbor Report elements” are called out.  Conceptually, this could be in both 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109">
                      <w14:nvContentPartPr>
                        <w14:cNvContentPartPr/>
                      </w14:nvContentPartPr>
                      <w14:xfrm>
                        <a:off x="0" y="0"/>
                        <a:ext cx="1769400" cy="55440"/>
                      </w14:xfrm>
                    </w14:contentPart>
                  </a:graphicData>
                </a:graphic>
              </wp:anchor>
            </w:drawing>
          </mc:Choice>
          <mc:Fallback>
            <w:pict>
              <v:shape w14:anchorId="0B429717"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110"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112">
                      <w14:nvContentPartPr>
                        <w14:cNvContentPartPr/>
                      </w14:nvContentPartPr>
                      <w14:xfrm>
                        <a:off x="0" y="0"/>
                        <a:ext cx="1550160" cy="132120"/>
                      </w14:xfrm>
                    </w14:contentPart>
                  </a:graphicData>
                </a:graphic>
              </wp:anchor>
            </w:drawing>
          </mc:Choice>
          <mc:Fallback>
            <w:pict>
              <v:shape w14:anchorId="27159998"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113"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r>
        <w:rPr>
          <w:bCs/>
          <w:szCs w:val="22"/>
        </w:rPr>
        <w:t>The vast majority of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Arguably, since these subclauses contain these details of PHY operation, they should be moved to the PHY service clause (clause 8).  But,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In the cases of “frame with the TXVECTOR” (singular “frame”), these occur in two places: rules for control response frame guard intervals, coding and format, and for S1G frame traveling pilots and preamble type.  Since the control response frame examples are in the context of a particular frame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The S1G frame traveling pilots and preamble type examples, however, are similar to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In the referenced para delete ", except those that have the StrictlyOrdered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 xml:space="preserve">There are exactly two occurrences of “StrictlyOrdered”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122">
                      <w14:nvContentPartPr>
                        <w14:cNvContentPartPr/>
                      </w14:nvContentPartPr>
                      <w14:xfrm>
                        <a:off x="0" y="0"/>
                        <a:ext cx="795600" cy="33840"/>
                      </w14:xfrm>
                    </w14:contentPart>
                  </a:graphicData>
                </a:graphic>
              </wp:anchor>
            </w:drawing>
          </mc:Choice>
          <mc:Fallback>
            <w:pict>
              <v:shape w14:anchorId="2F88509F"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123"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124">
                      <w14:nvContentPartPr>
                        <w14:cNvContentPartPr/>
                      </w14:nvContentPartPr>
                      <w14:xfrm>
                        <a:off x="0" y="0"/>
                        <a:ext cx="724320" cy="11880"/>
                      </w14:xfrm>
                    </w14:contentPart>
                  </a:graphicData>
                </a:graphic>
              </wp:anchor>
            </w:drawing>
          </mc:Choice>
          <mc:Fallback>
            <w:pict>
              <v:shape w14:anchorId="3548B1B1"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125"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At 2187.02, delete "except those that have the StrictlyOrdered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At the end of subclause 5.1.1.4, insert a paragraph, "In non-QoS STAs, the value of the service class parameter in invoked MAC service primitives (see 5.2) is ignored.  The value of the service class parameter in generated MAC service primitives is set to ReorderableGroupAddressed."</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r>
        <w:rPr>
          <w:bCs/>
          <w:szCs w:val="22"/>
        </w:rPr>
        <w:t>Indeed there are both the Multicast Triggered Reporting subfield and Optional Subelements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However, nowhere in this text is the Sublement ID specified for the Multicast Triggered Reporting subelement.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Optional fields need to have a subelement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r w:rsidRPr="00B855B8">
        <w:rPr>
          <w:rFonts w:ascii="TimesNewRoman" w:hAnsi="TimesNewRoman" w:cs="TimesNewRoman"/>
          <w:sz w:val="20"/>
          <w:u w:val="single"/>
          <w:lang w:val="en-US" w:eastAsia="ja-JP"/>
        </w:rPr>
        <w:t xml:space="preserve">subelement </w:t>
      </w:r>
      <w:r w:rsidRPr="00B855B8">
        <w:rPr>
          <w:rFonts w:ascii="TimesNewRoman" w:hAnsi="TimesNewRoman" w:cs="TimesNewRoman"/>
          <w:sz w:val="20"/>
          <w:lang w:val="en-US" w:eastAsia="ja-JP"/>
        </w:rPr>
        <w:t>is used to specify trigger conditions and thresholds. It is present only when requesting triggered multicast diagnostic reporting. The format of Multicast Triggered Reporting subelement is as shown in Figure 9-212 (Multicast Triggered Reporting subelement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Multicast Trigger Condition field specifies reporting triggers for triggered management diagnostic reporting. The format of the Multicast Trigger Condition field is shown in Figure 9-213 (Multicast Trigger Condition field format(#2607)).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However, it would be better to state this clearly (with a re-write of the sentence), in a way that is similar to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Per 11.21.1 (General subclause of Tunneled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Also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 xml:space="preserve">P4544L24  </w:t>
      </w:r>
      <w:r w:rsidRPr="00B855B8">
        <w:rPr>
          <w:rFonts w:eastAsia="TimesNewRoman"/>
          <w:sz w:val="24"/>
          <w:szCs w:val="24"/>
          <w:lang w:val="en-US" w:eastAsia="ja-JP"/>
        </w:rPr>
        <w:tab/>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(MDR2)A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Change to "For nonmesh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"For nonmesh STAs, the Channel Switch Count field is set to the number of TBTTs until the STA sending the Channel Switch Announcement element switches to the new channel. A value of 1 indicates that the switch occurs immediately before  the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nonmesh STAs, the Channel Switch Count field is set to the number of TBTTs until the STA sending the Channel Switch Announcement element switches to the new channel. (MDR2)A value of 1 indicates that the switch occurs </w:t>
      </w:r>
      <w:commentRangeStart w:id="9"/>
      <w:r>
        <w:rPr>
          <w:sz w:val="24"/>
          <w:szCs w:val="24"/>
        </w:rPr>
        <w:t xml:space="preserve">immediately before </w:t>
      </w:r>
      <w:commentRangeEnd w:id="9"/>
      <w:r>
        <w:rPr>
          <w:rStyle w:val="CommentReference"/>
        </w:rPr>
        <w:commentReference w:id="9"/>
      </w:r>
      <w:r>
        <w:rPr>
          <w:sz w:val="24"/>
          <w:szCs w:val="24"/>
        </w:rPr>
        <w:t xml:space="preserve">the next TBTT and a </w:t>
      </w:r>
      <w:commentRangeStart w:id="10"/>
      <w:r>
        <w:rPr>
          <w:sz w:val="24"/>
          <w:szCs w:val="24"/>
        </w:rPr>
        <w:t xml:space="preserve">value of 0 </w:t>
      </w:r>
      <w:commentRangeEnd w:id="10"/>
      <w:r>
        <w:rPr>
          <w:rStyle w:val="CommentReference"/>
        </w:rPr>
        <w:commentReference w:id="10"/>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“&lt;x&gt; that indicate” isto be interpreted as though written “&lt;x&gt; whose value indicates” ’</w:t>
      </w:r>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The switch has to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Suggest being clear that the change happens “at” the TBTT (and not before, which opens a small and unknown window when the AP is no longer on the old channel), and also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nonmesh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(MDR2)</w:t>
      </w:r>
      <w:r>
        <w:rPr>
          <w:rFonts w:eastAsia="TimesNewRoman"/>
          <w:color w:val="000000"/>
          <w:sz w:val="24"/>
          <w:szCs w:val="24"/>
          <w:lang w:val="en-US" w:eastAsia="ja-JP"/>
        </w:rPr>
        <w:t>A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"For nonmesh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MA-UNITDATA.request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architecture(11ak)(#2273)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This is consistent with the definition of bufferable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Rejected.  As described in the definition of bufferable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Agreed that “list of” is sufficient.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The only Extension frames defined in REVmd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1"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1"/>
            <w:r w:rsidRPr="00DE7477">
              <w:rPr>
                <w:rFonts w:ascii="Arial" w:eastAsia="Times New Roman" w:hAnsi="Arial" w:cs="Arial"/>
                <w:sz w:val="20"/>
                <w:lang w:val="en-US"/>
              </w:rPr>
              <w:t>"; also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Delete "to a STA " in the cited text; also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(to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In this case, the reference is to the general concept of the beamforming feedback matrix, without explicit reference to a field (which is not carried in the same frame).  This is similar to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TDLS is defined to be a mechanism involving an AP, ant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So, agree, the cited rows do not need to specify “in a nonmesh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The comment is on text in clause 9, describing the format of the Fine Timing Measurement Range request.  This request includes a list of subelements that describe a number of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The requested STA is expected to (try to) perform the FTM range operation with at least the Minimum AP Count number of APs from the Neighbor Report subelements,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Thus, the Neighbor Report subelements list is a superset of the APs, and the requested STA may choose a subset of this list to actually perform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r w:rsidRPr="00262C8E">
        <w:rPr>
          <w:bCs/>
          <w:szCs w:val="22"/>
        </w:rPr>
        <w:t xml:space="preserve">specify  a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The sentence does not seem necessary to the paragraph, and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The Reported Frame Body subelement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Beacon, Measurement Pilot, or Probe Response frame. If the Reporting Detail subelement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corresponding Beacon request equals 0, the Reported Frame Body subelement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subelement equals 1, all </w:t>
      </w:r>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Reported Frame Body subelement,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Some elements in the Reported Frame Body subelement, or the Reported Frame Body subelement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(M12)</w:t>
      </w:r>
      <w:r>
        <w:rPr>
          <w:rFonts w:ascii="TimesNewRoman" w:hAnsi="TimesNewRoman" w:cs="TimesNewRoman"/>
          <w:color w:val="000000"/>
          <w:sz w:val="20"/>
          <w:lang w:val="en-US" w:eastAsia="ja-JP"/>
        </w:rPr>
        <w:t>some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lastRenderedPageBreak/>
        <w:t>subelement might be truncated, and the subelement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"Some elements in the Reported Frame Body subelement, or the Reported Frame Body subelement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From 9.4.2.45, the Nontransmitted BSSID Profile subelement is one of the optional sublements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From the bullet list, the Nontransmitted BSSID Profile subelement must contain:</w:t>
      </w:r>
    </w:p>
    <w:p w14:paraId="73F072CE" w14:textId="77777777" w:rsidR="004170E6" w:rsidRDefault="004170E6" w:rsidP="004170E6">
      <w:pPr>
        <w:pStyle w:val="ListParagraph"/>
        <w:numPr>
          <w:ilvl w:val="0"/>
          <w:numId w:val="46"/>
        </w:numPr>
        <w:rPr>
          <w:bCs/>
          <w:szCs w:val="22"/>
        </w:rPr>
      </w:pPr>
      <w:r>
        <w:rPr>
          <w:bCs/>
          <w:szCs w:val="22"/>
        </w:rPr>
        <w:t>Nontransmitted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But,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REVISED (MAC: 2019-09-17 14:13:59Z): Incorporate the changes for CID 2692 in doc 11-19/551r17 (https://mentor.ieee.org/802.11/dcn/19/11-19-0551-17-000m-revmd-lb236-comments-assigned-to-hamilton.docx) which makes the changes in the direction suggested by the commentor.</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MLME-SCAN.request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 xml:space="preserve">is present in the MLME-SCAN.request primitive, send </w:t>
      </w:r>
      <w:r w:rsidRPr="00B34815">
        <w:rPr>
          <w:strike/>
        </w:rPr>
        <w:t>one</w:t>
      </w:r>
      <w:r w:rsidRPr="00D32A24">
        <w:t xml:space="preserve"> </w:t>
      </w:r>
      <w:r>
        <w:rPr>
          <w:u w:val="single"/>
        </w:rPr>
        <w:t xml:space="preserve">zero </w:t>
      </w:r>
      <w:r w:rsidRPr="00D32A24">
        <w:t xml:space="preserve">or more </w:t>
      </w:r>
      <w:r w:rsidRPr="00C72E1C">
        <w:rPr>
          <w:u w:val="single"/>
        </w:rPr>
        <w:t>p</w:t>
      </w:r>
      <w:r w:rsidRPr="00C72E1C">
        <w:rPr>
          <w:strike/>
        </w:rPr>
        <w:t>P</w:t>
      </w:r>
      <w:r w:rsidRPr="00D32A24">
        <w:t xml:space="preserve">robe </w:t>
      </w:r>
      <w:r>
        <w:rPr>
          <w:u w:val="single"/>
        </w:rPr>
        <w:t>r</w:t>
      </w:r>
      <w:r w:rsidRPr="00C72E1C">
        <w:rPr>
          <w:strike/>
        </w:rPr>
        <w:t>R</w:t>
      </w:r>
      <w:r w:rsidRPr="00D32A24">
        <w:t>equest</w:t>
      </w:r>
      <w:r>
        <w:rPr>
          <w:u w:val="single"/>
        </w:rPr>
        <w:t>s</w:t>
      </w:r>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MLME-SCAN.request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i)”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(i)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errors, and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The PCP Handover element, which is transmitted in a number of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r>
        <w:rPr>
          <w:bCs/>
          <w:szCs w:val="22"/>
        </w:rPr>
        <w:t>Both of these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Agree, the rewording is a bit more clear.</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This is a field in the TSPEC element.  The element format is clearly labelled with the length of each field, so the total length is already clear.  Agree, the “(55)” is unnecessary and not the usual style, and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The QoS Action field is used to differentiate the  “QoS”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The comment references the Status Code field in the comment, but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r>
        <w:rPr>
          <w:bCs/>
          <w:szCs w:val="22"/>
        </w:rPr>
        <w:t>REVmd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2"/>
      <w:r>
        <w:rPr>
          <w:bCs/>
          <w:szCs w:val="22"/>
        </w:rPr>
        <w:t>there are also examples of this</w:t>
      </w:r>
      <w:commentRangeEnd w:id="12"/>
      <w:r>
        <w:rPr>
          <w:rStyle w:val="CommentReference"/>
        </w:rPr>
        <w:commentReference w:id="12"/>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Searched Figures in clause 9 for other examples that don’t start at bit 0, and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more clear, the TIM Broadcast behavior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behavior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Since HL sync frames are, by definition, higher layer, the phrase “transmitter of the sync packet” is probably trying to refer to the higher layer entity, not the MAC transmitter.  This is further borne out by the use of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Per the MLME-HL-SYNC primitives, data frames’ Address 1 field is matched against a provided group address, for either a received or transmitted frame,   If the Address 1 field matches, a MLME-HL-SYNC.indication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MLME-HL-SYNC.request.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So, the intention of the text is to state in the first sentence that the matching is done on Data frames (leaving it implied, both transmitted and received).  The second sentence is trying to clarify that if the high layer transmitter is collocated with the MAC, the .indication is generated at the last symbol of the PPDU being transmitted.  The third sentence is trying to clarify for the receive case, that the .indication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MLME-HL-SYNC.indication shall occur when the last symbol of the PPDU carrying the Data frame is transmitted.  When the MAC receives a Data frame with an Address 1 match, the MLME-HL-SYNC.indication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(REVmb).  It is the result from (REVmb) CIDs 1685 and 1686, per 11-09/1063r1 (</w:t>
      </w:r>
      <w:hyperlink r:id="rId195"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MA-UNITDATA.request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MA-UNITDATA.request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MA-UNITDATA.request</w:t>
      </w:r>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Similar to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MA-UNITDATA.requests"</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MA-UNITDATA.indication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01F951F8" w14:textId="057EF32E" w:rsidR="004170E6" w:rsidRDefault="005D1BCF" w:rsidP="005D1BCF">
      <w:pPr>
        <w:rPr>
          <w:bCs/>
          <w:szCs w:val="22"/>
        </w:rPr>
      </w:pPr>
      <w:r>
        <w:rPr>
          <w:bCs/>
          <w:szCs w:val="22"/>
        </w:rPr>
        <w:br w:type="page"/>
      </w:r>
    </w:p>
    <w:p w14:paraId="78BD676B" w14:textId="3300039E" w:rsidR="002C154C" w:rsidRDefault="002C154C" w:rsidP="00B700E1"/>
    <w:sectPr w:rsidR="002C154C" w:rsidSect="009E579C">
      <w:headerReference w:type="default" r:id="rId197"/>
      <w:footerReference w:type="default" r:id="rId198"/>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amilton, Mark" w:date="2020-06-17T14:28:00Z" w:initials="HM">
    <w:p w14:paraId="066B110A" w14:textId="17A337C2" w:rsidR="00793AB9" w:rsidRDefault="00793AB9">
      <w:pPr>
        <w:pStyle w:val="CommentText"/>
      </w:pPr>
      <w:r>
        <w:rPr>
          <w:rStyle w:val="CommentReference"/>
        </w:rPr>
        <w:annotationRef/>
      </w:r>
      <w:r>
        <w:t>Fix the “valid TSF timestamp”, also.</w:t>
      </w:r>
    </w:p>
  </w:comment>
  <w:comment w:id="2" w:author="Hamilton, Mark" w:date="2020-06-17T14:19:00Z" w:initials="HM">
    <w:p w14:paraId="5C91E6A0" w14:textId="77777777" w:rsidR="00793AB9" w:rsidRDefault="00793AB9" w:rsidP="001004CD">
      <w:pPr>
        <w:pStyle w:val="CommentText"/>
      </w:pPr>
      <w:r>
        <w:rPr>
          <w:rStyle w:val="CommentReference"/>
        </w:rPr>
        <w:annotationRef/>
      </w:r>
      <w:r>
        <w:t>Should it be 1 invocation with 3 params, or 3 invocations?</w:t>
      </w:r>
    </w:p>
  </w:comment>
  <w:comment w:id="3" w:author="Hamilton, Mark" w:date="2020-06-25T19:08:00Z" w:initials="HM">
    <w:p w14:paraId="020C047D" w14:textId="77777777" w:rsidR="00793AB9" w:rsidRDefault="00793AB9">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793AB9" w:rsidRDefault="00793AB9">
      <w:pPr>
        <w:pStyle w:val="CommentText"/>
      </w:pPr>
    </w:p>
    <w:p w14:paraId="781DBA5B" w14:textId="08331CE6" w:rsidR="00793AB9" w:rsidRDefault="00793AB9">
      <w:pPr>
        <w:pStyle w:val="CommentText"/>
      </w:pPr>
      <w:r>
        <w:t>How to show this is the (very)pseudo flow diagrams is not obvious.</w:t>
      </w:r>
    </w:p>
  </w:comment>
  <w:comment w:id="4" w:author="Hamilton, Mark" w:date="2020-06-17T14:19:00Z" w:initials="HM">
    <w:p w14:paraId="644975AB" w14:textId="77777777" w:rsidR="00793AB9" w:rsidRDefault="00793AB9" w:rsidP="001004CD">
      <w:pPr>
        <w:pStyle w:val="CommentText"/>
      </w:pPr>
      <w:r>
        <w:rPr>
          <w:rStyle w:val="CommentReference"/>
        </w:rPr>
        <w:annotationRef/>
      </w:r>
      <w:r>
        <w:t>Where is this specified?</w:t>
      </w:r>
    </w:p>
  </w:comment>
  <w:comment w:id="5" w:author="Hamilton, Mark" w:date="2020-06-25T19:05:00Z" w:initials="HM">
    <w:p w14:paraId="75659C0D" w14:textId="1B35C044" w:rsidR="00793AB9" w:rsidRDefault="00793AB9"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6" w:author="Hamilton, Mark" w:date="2020-06-17T14:20:00Z" w:initials="HM">
    <w:p w14:paraId="71341063" w14:textId="77777777" w:rsidR="00793AB9" w:rsidRDefault="00793AB9" w:rsidP="001004CD">
      <w:pPr>
        <w:pStyle w:val="CommentText"/>
      </w:pPr>
      <w:r>
        <w:rPr>
          <w:rStyle w:val="CommentReference"/>
        </w:rPr>
        <w:annotationRef/>
      </w:r>
      <w:r>
        <w:t>Do we ever use _both_?</w:t>
      </w:r>
    </w:p>
  </w:comment>
  <w:comment w:id="9" w:author="Mark Rison" w:date="2020-02-17T16:36:00Z" w:initials="MR">
    <w:p w14:paraId="3DE650A7" w14:textId="77777777" w:rsidR="00793AB9" w:rsidRDefault="00793AB9" w:rsidP="00F040EF">
      <w:pPr>
        <w:pStyle w:val="CommentText"/>
      </w:pPr>
      <w:r>
        <w:rPr>
          <w:rStyle w:val="CommentReference"/>
        </w:rPr>
        <w:annotationRef/>
      </w:r>
      <w:r>
        <w:t>Consider changing to “at”</w:t>
      </w:r>
    </w:p>
  </w:comment>
  <w:comment w:id="10" w:author="Graham Smith" w:date="2020-02-20T15:43:00Z" w:initials="GS">
    <w:p w14:paraId="47B0E1D2" w14:textId="77777777" w:rsidR="00793AB9" w:rsidRDefault="00793AB9" w:rsidP="00F040EF">
      <w:pPr>
        <w:pStyle w:val="CommentText"/>
      </w:pPr>
      <w:r>
        <w:rPr>
          <w:rStyle w:val="CommentReference"/>
        </w:rPr>
        <w:annotationRef/>
      </w:r>
      <w:r>
        <w:t>Mark H is not sure about “a value of”</w:t>
      </w:r>
    </w:p>
  </w:comment>
  <w:comment w:id="12" w:author="Hamilton, Mark" w:date="2020-06-09T09:58:00Z" w:initials="HM">
    <w:p w14:paraId="3E75A188" w14:textId="77777777" w:rsidR="00793AB9" w:rsidRDefault="00793AB9" w:rsidP="005D1BCF">
      <w:pPr>
        <w:pStyle w:val="CommentText"/>
      </w:pPr>
      <w:r>
        <w:rPr>
          <w:rStyle w:val="CommentReference"/>
        </w:rPr>
        <w:annotationRef/>
      </w:r>
      <w:r>
        <w:t>Mark R comments:</w:t>
      </w:r>
    </w:p>
    <w:p w14:paraId="41C2BC4B" w14:textId="77777777" w:rsidR="00793AB9" w:rsidRDefault="00793AB9"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793AB9" w:rsidRDefault="00793AB9" w:rsidP="005D1BCF">
      <w:pPr>
        <w:pStyle w:val="CommentText"/>
      </w:pPr>
    </w:p>
    <w:p w14:paraId="2E990F70" w14:textId="77777777" w:rsidR="00793AB9" w:rsidRDefault="00793AB9" w:rsidP="005D1BCF">
      <w:pPr>
        <w:pStyle w:val="CommentText"/>
      </w:pPr>
      <w:r>
        <w:t>If you want to stick to the numbering from &gt;0, then the caption has to be something like “Bits in the xxx field corresponding to the yyy subfield”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6B110A" w15:done="0"/>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6B110A" w16cid:durableId="2294A710"/>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7163C" w14:textId="77777777" w:rsidR="00DE00FD" w:rsidRDefault="00DE00FD">
      <w:r>
        <w:separator/>
      </w:r>
    </w:p>
  </w:endnote>
  <w:endnote w:type="continuationSeparator" w:id="0">
    <w:p w14:paraId="4B435DA0" w14:textId="77777777" w:rsidR="00DE00FD" w:rsidRDefault="00DE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793AB9" w:rsidRDefault="00793AB9"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793AB9" w:rsidRDefault="00793A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4F075" w14:textId="77777777" w:rsidR="00DE00FD" w:rsidRDefault="00DE00FD">
      <w:r>
        <w:separator/>
      </w:r>
    </w:p>
  </w:footnote>
  <w:footnote w:type="continuationSeparator" w:id="0">
    <w:p w14:paraId="180913EE" w14:textId="77777777" w:rsidR="00DE00FD" w:rsidRDefault="00DE00FD">
      <w:r>
        <w:continuationSeparator/>
      </w:r>
    </w:p>
  </w:footnote>
  <w:footnote w:id="1">
    <w:p w14:paraId="67D4163F" w14:textId="77777777" w:rsidR="00793AB9" w:rsidRDefault="00793AB9"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E50D208" w:rsidR="00793AB9" w:rsidRDefault="00793AB9" w:rsidP="005942A6">
    <w:pPr>
      <w:pStyle w:val="Header"/>
      <w:tabs>
        <w:tab w:val="clear" w:pos="6480"/>
        <w:tab w:val="center" w:pos="4680"/>
        <w:tab w:val="right" w:pos="9360"/>
      </w:tabs>
    </w:pPr>
    <w:r>
      <w:t>June 2020</w:t>
    </w:r>
    <w:r>
      <w:tab/>
    </w:r>
    <w:r>
      <w:tab/>
    </w:r>
    <w:fldSimple w:instr=" TITLE  \* MERGEFORMAT ">
      <w:r>
        <w:t>doc.: IEEE 802.11-20/0338r9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3"/>
  </w:num>
  <w:num w:numId="3">
    <w:abstractNumId w:val="19"/>
  </w:num>
  <w:num w:numId="4">
    <w:abstractNumId w:val="3"/>
  </w:num>
  <w:num w:numId="5">
    <w:abstractNumId w:val="42"/>
  </w:num>
  <w:num w:numId="6">
    <w:abstractNumId w:val="41"/>
  </w:num>
  <w:num w:numId="7">
    <w:abstractNumId w:val="7"/>
  </w:num>
  <w:num w:numId="8">
    <w:abstractNumId w:val="14"/>
  </w:num>
  <w:num w:numId="9">
    <w:abstractNumId w:val="18"/>
  </w:num>
  <w:num w:numId="10">
    <w:abstractNumId w:val="25"/>
  </w:num>
  <w:num w:numId="11">
    <w:abstractNumId w:val="47"/>
  </w:num>
  <w:num w:numId="12">
    <w:abstractNumId w:val="27"/>
  </w:num>
  <w:num w:numId="13">
    <w:abstractNumId w:val="9"/>
  </w:num>
  <w:num w:numId="14">
    <w:abstractNumId w:val="34"/>
  </w:num>
  <w:num w:numId="15">
    <w:abstractNumId w:val="8"/>
  </w:num>
  <w:num w:numId="16">
    <w:abstractNumId w:val="0"/>
  </w:num>
  <w:num w:numId="17">
    <w:abstractNumId w:val="38"/>
  </w:num>
  <w:num w:numId="18">
    <w:abstractNumId w:val="24"/>
  </w:num>
  <w:num w:numId="19">
    <w:abstractNumId w:val="40"/>
  </w:num>
  <w:num w:numId="20">
    <w:abstractNumId w:val="4"/>
  </w:num>
  <w:num w:numId="21">
    <w:abstractNumId w:val="1"/>
  </w:num>
  <w:num w:numId="22">
    <w:abstractNumId w:val="28"/>
  </w:num>
  <w:num w:numId="23">
    <w:abstractNumId w:val="6"/>
  </w:num>
  <w:num w:numId="24">
    <w:abstractNumId w:val="16"/>
  </w:num>
  <w:num w:numId="25">
    <w:abstractNumId w:val="35"/>
  </w:num>
  <w:num w:numId="26">
    <w:abstractNumId w:val="29"/>
  </w:num>
  <w:num w:numId="27">
    <w:abstractNumId w:val="15"/>
  </w:num>
  <w:num w:numId="28">
    <w:abstractNumId w:val="43"/>
  </w:num>
  <w:num w:numId="29">
    <w:abstractNumId w:val="44"/>
  </w:num>
  <w:num w:numId="30">
    <w:abstractNumId w:val="31"/>
  </w:num>
  <w:num w:numId="31">
    <w:abstractNumId w:val="33"/>
  </w:num>
  <w:num w:numId="32">
    <w:abstractNumId w:val="20"/>
  </w:num>
  <w:num w:numId="33">
    <w:abstractNumId w:val="45"/>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48"/>
  </w:num>
  <w:num w:numId="44">
    <w:abstractNumId w:val="26"/>
  </w:num>
  <w:num w:numId="45">
    <w:abstractNumId w:val="36"/>
  </w:num>
  <w:num w:numId="46">
    <w:abstractNumId w:val="23"/>
  </w:num>
  <w:num w:numId="47">
    <w:abstractNumId w:val="21"/>
  </w:num>
  <w:num w:numId="48">
    <w:abstractNumId w:val="37"/>
  </w:num>
  <w:num w:numId="49">
    <w:abstractNumId w:val="2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5BCC"/>
    <w:rsid w:val="000C6E75"/>
    <w:rsid w:val="000D077C"/>
    <w:rsid w:val="000D1BF3"/>
    <w:rsid w:val="000D1E62"/>
    <w:rsid w:val="000D1E8B"/>
    <w:rsid w:val="000D2589"/>
    <w:rsid w:val="000D2B26"/>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1C0A"/>
    <w:rsid w:val="000E25C2"/>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72F"/>
    <w:rsid w:val="00A4210E"/>
    <w:rsid w:val="00A43389"/>
    <w:rsid w:val="00A43B6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E1"/>
    <w:rsid w:val="00B70501"/>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2D1"/>
    <w:rsid w:val="00BA0B73"/>
    <w:rsid w:val="00BA107A"/>
    <w:rsid w:val="00BA1BA2"/>
    <w:rsid w:val="00BA1DA3"/>
    <w:rsid w:val="00BA2853"/>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customXml" Target="ink/ink6.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3.png"/><Relationship Id="rId138" Type="http://schemas.openxmlformats.org/officeDocument/2006/relationships/image" Target="media/image110.png"/><Relationship Id="rId159" Type="http://schemas.openxmlformats.org/officeDocument/2006/relationships/image" Target="media/image131.png"/><Relationship Id="rId170" Type="http://schemas.openxmlformats.org/officeDocument/2006/relationships/image" Target="media/image142.png"/><Relationship Id="rId191" Type="http://schemas.openxmlformats.org/officeDocument/2006/relationships/image" Target="media/image163.png"/><Relationship Id="rId196" Type="http://schemas.openxmlformats.org/officeDocument/2006/relationships/image" Target="media/image167.png"/><Relationship Id="rId200" Type="http://schemas.microsoft.com/office/2011/relationships/people" Target="people.xml"/><Relationship Id="rId16" Type="http://schemas.openxmlformats.org/officeDocument/2006/relationships/image" Target="media/image6.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customXml" Target="ink/ink9.xml"/><Relationship Id="rId79" Type="http://schemas.openxmlformats.org/officeDocument/2006/relationships/image" Target="media/image58.png"/><Relationship Id="rId102" Type="http://schemas.openxmlformats.org/officeDocument/2006/relationships/customXml" Target="ink/ink14.xml"/><Relationship Id="rId123" Type="http://schemas.openxmlformats.org/officeDocument/2006/relationships/image" Target="media/image96.png"/><Relationship Id="rId128" Type="http://schemas.openxmlformats.org/officeDocument/2006/relationships/image" Target="media/image100.png"/><Relationship Id="rId144" Type="http://schemas.openxmlformats.org/officeDocument/2006/relationships/image" Target="media/image116.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customXml" Target="ink/ink12.xml"/><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3.png"/><Relationship Id="rId186" Type="http://schemas.openxmlformats.org/officeDocument/2006/relationships/image" Target="media/image158.png"/><Relationship Id="rId22" Type="http://schemas.openxmlformats.org/officeDocument/2006/relationships/image" Target="media/image9.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2.png"/><Relationship Id="rId155" Type="http://schemas.openxmlformats.org/officeDocument/2006/relationships/image" Target="media/image127.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4.png"/><Relationship Id="rId197" Type="http://schemas.openxmlformats.org/officeDocument/2006/relationships/header" Target="header1.xml"/><Relationship Id="rId201" Type="http://schemas.openxmlformats.org/officeDocument/2006/relationships/theme" Target="theme/theme1.xml"/><Relationship Id="rId12" Type="http://schemas.openxmlformats.org/officeDocument/2006/relationships/customXml" Target="ink/ink2.xml"/><Relationship Id="rId17" Type="http://schemas.openxmlformats.org/officeDocument/2006/relationships/customXml" Target="ink/ink4.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customXml" Target="ink/ink18.xml"/><Relationship Id="rId129" Type="http://schemas.openxmlformats.org/officeDocument/2006/relationships/image" Target="media/image101.png"/><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image" Target="media/image56.png"/><Relationship Id="rId91" Type="http://schemas.openxmlformats.org/officeDocument/2006/relationships/image" Target="media/image70.png"/><Relationship Id="rId96" Type="http://schemas.openxmlformats.org/officeDocument/2006/relationships/image" Target="media/image74.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4.png"/><Relationship Id="rId187" Type="http://schemas.openxmlformats.org/officeDocument/2006/relationships/image" Target="media/image1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8.png"/><Relationship Id="rId119" Type="http://schemas.openxmlformats.org/officeDocument/2006/relationships/image" Target="media/image9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footer" Target="footer1.xml"/><Relationship Id="rId172" Type="http://schemas.openxmlformats.org/officeDocument/2006/relationships/image" Target="media/image144.png"/><Relationship Id="rId193" Type="http://schemas.openxmlformats.org/officeDocument/2006/relationships/image" Target="media/image165.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customXml" Target="ink/ink15.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ink/ink10.xml"/><Relationship Id="rId97" Type="http://schemas.openxmlformats.org/officeDocument/2006/relationships/image" Target="media/image75.png"/><Relationship Id="rId104" Type="http://schemas.openxmlformats.org/officeDocument/2006/relationships/image" Target="media/image80.png"/><Relationship Id="rId120" Type="http://schemas.openxmlformats.org/officeDocument/2006/relationships/image" Target="media/image94.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1.png"/><Relationship Id="rId162" Type="http://schemas.openxmlformats.org/officeDocument/2006/relationships/image" Target="media/image134.png"/><Relationship Id="rId183"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omments" Target="comments.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6.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45.png"/><Relationship Id="rId82" Type="http://schemas.openxmlformats.org/officeDocument/2006/relationships/image" Target="media/image61.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6.png"/><Relationship Id="rId199" Type="http://schemas.openxmlformats.org/officeDocument/2006/relationships/fontTable" Target="fontTable.xml"/><Relationship Id="rId19" Type="http://schemas.openxmlformats.org/officeDocument/2006/relationships/customXml" Target="ink/ink5.xml"/><Relationship Id="rId14" Type="http://schemas.openxmlformats.org/officeDocument/2006/relationships/customXml" Target="ink/ink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customXml" Target="ink/ink13.xml"/><Relationship Id="rId105" Type="http://schemas.openxmlformats.org/officeDocument/2006/relationships/image" Target="media/image81.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customXml" Target="ink/ink8.xml"/><Relationship Id="rId93" Type="http://schemas.openxmlformats.org/officeDocument/2006/relationships/image" Target="media/image72.png"/><Relationship Id="rId98" Type="http://schemas.openxmlformats.org/officeDocument/2006/relationships/image" Target="media/image76.png"/><Relationship Id="rId121" Type="http://schemas.openxmlformats.org/officeDocument/2006/relationships/image" Target="media/image95.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189" Type="http://schemas.openxmlformats.org/officeDocument/2006/relationships/image" Target="media/image161.png"/><Relationship Id="rId3" Type="http://schemas.openxmlformats.org/officeDocument/2006/relationships/styles" Target="styles.xml"/><Relationship Id="rId25" Type="http://schemas.microsoft.com/office/2011/relationships/commentsExtended" Target="commentsExtended.xml"/><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0.png"/><Relationship Id="rId137" Type="http://schemas.openxmlformats.org/officeDocument/2006/relationships/image" Target="media/image109.png"/><Relationship Id="rId158" Type="http://schemas.openxmlformats.org/officeDocument/2006/relationships/image" Target="media/image130.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6.png"/><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hyperlink" Target="https://mentor.ieee.org/802.11/dcn/09/11-09-1063-01-000m-lb149-ma-unitdata-rejection-of-un-admitted-traffic.doc" TargetMode="External"/><Relationship Id="rId190" Type="http://schemas.openxmlformats.org/officeDocument/2006/relationships/image" Target="media/image162.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2.png"/><Relationship Id="rId127" Type="http://schemas.openxmlformats.org/officeDocument/2006/relationships/image" Target="media/image99.png"/><Relationship Id="rId10" Type="http://schemas.openxmlformats.org/officeDocument/2006/relationships/customXml" Target="ink/ink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customXml" Target="ink/ink11.xml"/><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image" Target="media/image78.png"/><Relationship Id="rId122" Type="http://schemas.openxmlformats.org/officeDocument/2006/relationships/customXml" Target="ink/ink17.xml"/><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image" Target="media/image15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2.png"/><Relationship Id="rId26" Type="http://schemas.microsoft.com/office/2016/09/relationships/commentsIds" Target="commentsIds.xml"/><Relationship Id="rId47" Type="http://schemas.openxmlformats.org/officeDocument/2006/relationships/image" Target="media/image31.png"/><Relationship Id="rId68" Type="http://schemas.openxmlformats.org/officeDocument/2006/relationships/customXml" Target="ink/ink7.xml"/><Relationship Id="rId89" Type="http://schemas.openxmlformats.org/officeDocument/2006/relationships/image" Target="media/image68.png"/><Relationship Id="rId112" Type="http://schemas.openxmlformats.org/officeDocument/2006/relationships/customXml" Target="ink/ink16.xml"/><Relationship Id="rId133" Type="http://schemas.openxmlformats.org/officeDocument/2006/relationships/image" Target="media/image105.png"/><Relationship Id="rId154" Type="http://schemas.openxmlformats.org/officeDocument/2006/relationships/image" Target="media/image126.png"/><Relationship Id="rId175" Type="http://schemas.openxmlformats.org/officeDocument/2006/relationships/image" Target="media/image14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DD3A5-5488-4728-905F-B6CDE647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410</TotalTime>
  <Pages>122</Pages>
  <Words>16283</Words>
  <Characters>92817</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108883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37</cp:revision>
  <cp:lastPrinted>1901-01-01T04:00:00Z</cp:lastPrinted>
  <dcterms:created xsi:type="dcterms:W3CDTF">2020-06-15T00:52:00Z</dcterms:created>
  <dcterms:modified xsi:type="dcterms:W3CDTF">2020-06-26T23:56:00Z</dcterms:modified>
</cp:coreProperties>
</file>