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7418E179" w:rsidR="00CA09B2" w:rsidRDefault="00C45154" w:rsidP="00083FE0">
            <w:pPr>
              <w:pStyle w:val="T2"/>
            </w:pPr>
            <w:r>
              <w:t>Initial SA ballot</w:t>
            </w:r>
            <w:r w:rsidR="0070053C">
              <w:t xml:space="preserve">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0154A681" w:rsidR="00CA09B2" w:rsidRDefault="00CA09B2" w:rsidP="00F03583">
            <w:pPr>
              <w:pStyle w:val="T2"/>
              <w:ind w:left="0"/>
              <w:rPr>
                <w:sz w:val="20"/>
              </w:rPr>
            </w:pPr>
            <w:r>
              <w:rPr>
                <w:sz w:val="20"/>
              </w:rPr>
              <w:t>Date:</w:t>
            </w:r>
            <w:r>
              <w:rPr>
                <w:b w:val="0"/>
                <w:sz w:val="20"/>
              </w:rPr>
              <w:t xml:space="preserve">  </w:t>
            </w:r>
            <w:r w:rsidR="007E3C9C">
              <w:rPr>
                <w:b w:val="0"/>
                <w:sz w:val="20"/>
              </w:rPr>
              <w:t>20</w:t>
            </w:r>
            <w:r w:rsidR="00C45154">
              <w:rPr>
                <w:b w:val="0"/>
                <w:sz w:val="20"/>
              </w:rPr>
              <w:t>20</w:t>
            </w:r>
            <w:r w:rsidR="007E3C9C">
              <w:rPr>
                <w:b w:val="0"/>
                <w:sz w:val="20"/>
              </w:rPr>
              <w:t>-</w:t>
            </w:r>
            <w:r w:rsidR="00D96EB7">
              <w:rPr>
                <w:b w:val="0"/>
                <w:sz w:val="20"/>
              </w:rPr>
              <w:t>0</w:t>
            </w:r>
            <w:r w:rsidR="00D818C4">
              <w:rPr>
                <w:b w:val="0"/>
                <w:sz w:val="20"/>
              </w:rPr>
              <w:t>5-26</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5CD852D3" w:rsidR="009C6869" w:rsidRDefault="00C93C23" w:rsidP="00894852">
            <w:pPr>
              <w:pStyle w:val="T2"/>
              <w:spacing w:after="0"/>
              <w:ind w:left="0" w:right="0"/>
              <w:rPr>
                <w:b w:val="0"/>
                <w:sz w:val="16"/>
              </w:rPr>
            </w:pPr>
            <w:r>
              <w:rPr>
                <w:b w:val="0"/>
                <w:sz w:val="16"/>
              </w:rPr>
              <w:t>mark.ham</w:t>
            </w:r>
            <w:r w:rsidR="00E607A0">
              <w:rPr>
                <w:b w:val="0"/>
                <w:sz w:val="16"/>
              </w:rPr>
              <w:t>ilt</w:t>
            </w:r>
            <w:r>
              <w:rPr>
                <w:b w:val="0"/>
                <w:sz w:val="16"/>
              </w:rPr>
              <w:t>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66F71457">
                <wp:simplePos x="0" y="0"/>
                <wp:positionH relativeFrom="column">
                  <wp:posOffset>-240142</wp:posOffset>
                </wp:positionH>
                <wp:positionV relativeFrom="paragraph">
                  <wp:posOffset>203536</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AE7C3B" w:rsidRDefault="00AE7C3B">
                            <w:pPr>
                              <w:pStyle w:val="T1"/>
                              <w:spacing w:after="120"/>
                            </w:pPr>
                            <w:r>
                              <w:t>Abstract</w:t>
                            </w:r>
                          </w:p>
                          <w:p w14:paraId="1C3BCE3F" w14:textId="77777777" w:rsidR="00AE7C3B" w:rsidRDefault="00AE7C3B" w:rsidP="00083FE0">
                            <w:pPr>
                              <w:jc w:val="both"/>
                            </w:pPr>
                          </w:p>
                          <w:p w14:paraId="4C4DB0CB" w14:textId="645C4A0F" w:rsidR="00AE7C3B" w:rsidRPr="007710CD" w:rsidRDefault="00AE7C3B" w:rsidP="003D4DE9">
                            <w:pPr>
                              <w:rPr>
                                <w:sz w:val="20"/>
                              </w:rPr>
                            </w:pPr>
                            <w:r w:rsidRPr="007710CD">
                              <w:rPr>
                                <w:sz w:val="20"/>
                              </w:rPr>
                              <w:t xml:space="preserve">This submission contains comments on REVmd </w:t>
                            </w:r>
                            <w:r>
                              <w:rPr>
                                <w:sz w:val="20"/>
                              </w:rPr>
                              <w:t>initial SA ballot</w:t>
                            </w:r>
                            <w:r w:rsidRPr="007710CD">
                              <w:rPr>
                                <w:sz w:val="20"/>
                              </w:rPr>
                              <w:t>, assigned to Mark Hamilton for preparation of proposed resolutions.</w:t>
                            </w:r>
                          </w:p>
                          <w:p w14:paraId="2F94801A" w14:textId="2D193E6C" w:rsidR="00AE7C3B" w:rsidRPr="007710CD" w:rsidRDefault="00AE7C3B" w:rsidP="00083FE0">
                            <w:pPr>
                              <w:jc w:val="both"/>
                              <w:rPr>
                                <w:sz w:val="20"/>
                              </w:rPr>
                            </w:pPr>
                          </w:p>
                          <w:p w14:paraId="3C7C8D20" w14:textId="76D5A191" w:rsidR="00AE7C3B" w:rsidRPr="007710CD" w:rsidRDefault="00AE7C3B"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AE7C3B" w:rsidRPr="007710CD" w:rsidRDefault="00AE7C3B" w:rsidP="006832AA">
                            <w:pPr>
                              <w:jc w:val="both"/>
                              <w:rPr>
                                <w:sz w:val="20"/>
                              </w:rPr>
                            </w:pPr>
                          </w:p>
                          <w:p w14:paraId="366971AF" w14:textId="77777777" w:rsidR="00AE7C3B" w:rsidRPr="007710CD" w:rsidRDefault="00AE7C3B" w:rsidP="006832AA">
                            <w:pPr>
                              <w:jc w:val="both"/>
                              <w:rPr>
                                <w:sz w:val="20"/>
                              </w:rPr>
                            </w:pPr>
                          </w:p>
                          <w:p w14:paraId="38020449" w14:textId="66756B0E" w:rsidR="00AE7C3B" w:rsidRDefault="00AE7C3B" w:rsidP="00C45154">
                            <w:pPr>
                              <w:jc w:val="both"/>
                              <w:rPr>
                                <w:sz w:val="20"/>
                              </w:rPr>
                            </w:pPr>
                            <w:r w:rsidRPr="007710CD">
                              <w:rPr>
                                <w:sz w:val="20"/>
                              </w:rPr>
                              <w:t>R0 – initial version.  CIDs ready for TGmd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AE7C3B" w:rsidRDefault="00AE7C3B"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42F67218" w:rsidR="00AE7C3B" w:rsidRDefault="00AE7C3B" w:rsidP="00C45154">
                            <w:pPr>
                              <w:jc w:val="both"/>
                              <w:rPr>
                                <w:sz w:val="20"/>
                              </w:rPr>
                            </w:pPr>
                            <w:r>
                              <w:rPr>
                                <w:sz w:val="20"/>
                              </w:rPr>
                              <w:t xml:space="preserve">R2 – Agreed resolutions marked in </w:t>
                            </w:r>
                            <w:r w:rsidRPr="002C154C">
                              <w:rPr>
                                <w:sz w:val="20"/>
                                <w:highlight w:val="green"/>
                              </w:rPr>
                              <w:t>green highlight</w:t>
                            </w:r>
                            <w:r>
                              <w:rPr>
                                <w:sz w:val="20"/>
                              </w:rPr>
                              <w:t>: CIDs 4553, 4809, 4599, 4594, 4570, 4642, 4555, 4652, 4528, 4524, 4585, 4511, 4507, 4492, 4491, 4561.</w:t>
                            </w:r>
                          </w:p>
                          <w:p w14:paraId="0383CE66" w14:textId="10FC418E" w:rsidR="00CB4204" w:rsidRPr="00531427" w:rsidRDefault="00CB4204" w:rsidP="00C45154">
                            <w:pPr>
                              <w:jc w:val="both"/>
                              <w:rPr>
                                <w:sz w:val="20"/>
                              </w:rPr>
                            </w:pPr>
                            <w:r>
                              <w:rPr>
                                <w:sz w:val="20"/>
                              </w:rPr>
                              <w:t xml:space="preserve">R3 – Updated resolutions proposed with updates </w:t>
                            </w:r>
                            <w:r w:rsidRPr="00CB4204">
                              <w:rPr>
                                <w:sz w:val="20"/>
                                <w:highlight w:val="cyan"/>
                              </w:rPr>
                              <w:t>highlighted in blue</w:t>
                            </w:r>
                            <w:r>
                              <w:rPr>
                                <w:sz w:val="20"/>
                              </w:rPr>
                              <w:t xml:space="preserve"> for CIDs: </w:t>
                            </w:r>
                            <w:r w:rsidR="000E1C0A">
                              <w:rPr>
                                <w:sz w:val="20"/>
                              </w:rPr>
                              <w:t>4534, 4567, 4774, 4392, 4653, 4325, 4445. CIDs with resolutions ready for review: 4808</w:t>
                            </w:r>
                            <w:r w:rsidR="00627C61">
                              <w:rPr>
                                <w:sz w:val="20"/>
                              </w:rPr>
                              <w:t>, 4462</w:t>
                            </w:r>
                            <w:r w:rsidR="000E1C0A">
                              <w:rPr>
                                <w:sz w:val="20"/>
                              </w:rPr>
                              <w:t>.</w:t>
                            </w:r>
                            <w:r w:rsidR="005E6298">
                              <w:rPr>
                                <w:sz w:val="20"/>
                              </w:rPr>
                              <w:t xml:space="preserve">  Not ready yet: 4806, 4805.</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9pt;margin-top:16.0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" o:allowincell="f" stroked="f">
                <v:textbox>
                  <w:txbxContent>
                    <w:p w14:paraId="3E9CA479" w14:textId="77777777" w:rsidR="00AE7C3B" w:rsidRDefault="00AE7C3B">
                      <w:pPr>
                        <w:pStyle w:val="T1"/>
                        <w:spacing w:after="120"/>
                      </w:pPr>
                      <w:r>
                        <w:t>Abstract</w:t>
                      </w:r>
                    </w:p>
                    <w:p w14:paraId="1C3BCE3F" w14:textId="77777777" w:rsidR="00AE7C3B" w:rsidRDefault="00AE7C3B" w:rsidP="00083FE0">
                      <w:pPr>
                        <w:jc w:val="both"/>
                      </w:pPr>
                    </w:p>
                    <w:p w14:paraId="4C4DB0CB" w14:textId="645C4A0F" w:rsidR="00AE7C3B" w:rsidRPr="007710CD" w:rsidRDefault="00AE7C3B" w:rsidP="003D4DE9">
                      <w:pPr>
                        <w:rPr>
                          <w:sz w:val="20"/>
                        </w:rPr>
                      </w:pPr>
                      <w:r w:rsidRPr="007710CD">
                        <w:rPr>
                          <w:sz w:val="20"/>
                        </w:rPr>
                        <w:t xml:space="preserve">This submission contains comments on REVmd </w:t>
                      </w:r>
                      <w:r>
                        <w:rPr>
                          <w:sz w:val="20"/>
                        </w:rPr>
                        <w:t>initial SA ballot</w:t>
                      </w:r>
                      <w:r w:rsidRPr="007710CD">
                        <w:rPr>
                          <w:sz w:val="20"/>
                        </w:rPr>
                        <w:t>, assigned to Mark Hamilton for preparation of proposed resolutions.</w:t>
                      </w:r>
                    </w:p>
                    <w:p w14:paraId="2F94801A" w14:textId="2D193E6C" w:rsidR="00AE7C3B" w:rsidRPr="007710CD" w:rsidRDefault="00AE7C3B" w:rsidP="00083FE0">
                      <w:pPr>
                        <w:jc w:val="both"/>
                        <w:rPr>
                          <w:sz w:val="20"/>
                        </w:rPr>
                      </w:pPr>
                    </w:p>
                    <w:p w14:paraId="3C7C8D20" w14:textId="76D5A191" w:rsidR="00AE7C3B" w:rsidRPr="007710CD" w:rsidRDefault="00AE7C3B"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AE7C3B" w:rsidRPr="007710CD" w:rsidRDefault="00AE7C3B" w:rsidP="006832AA">
                      <w:pPr>
                        <w:jc w:val="both"/>
                        <w:rPr>
                          <w:sz w:val="20"/>
                        </w:rPr>
                      </w:pPr>
                    </w:p>
                    <w:p w14:paraId="366971AF" w14:textId="77777777" w:rsidR="00AE7C3B" w:rsidRPr="007710CD" w:rsidRDefault="00AE7C3B" w:rsidP="006832AA">
                      <w:pPr>
                        <w:jc w:val="both"/>
                        <w:rPr>
                          <w:sz w:val="20"/>
                        </w:rPr>
                      </w:pPr>
                    </w:p>
                    <w:p w14:paraId="38020449" w14:textId="66756B0E" w:rsidR="00AE7C3B" w:rsidRDefault="00AE7C3B" w:rsidP="00C45154">
                      <w:pPr>
                        <w:jc w:val="both"/>
                        <w:rPr>
                          <w:sz w:val="20"/>
                        </w:rPr>
                      </w:pPr>
                      <w:r w:rsidRPr="007710CD">
                        <w:rPr>
                          <w:sz w:val="20"/>
                        </w:rPr>
                        <w:t>R0 – initial version.  CIDs ready for TGmd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AE7C3B" w:rsidRDefault="00AE7C3B"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42F67218" w:rsidR="00AE7C3B" w:rsidRDefault="00AE7C3B" w:rsidP="00C45154">
                      <w:pPr>
                        <w:jc w:val="both"/>
                        <w:rPr>
                          <w:sz w:val="20"/>
                        </w:rPr>
                      </w:pPr>
                      <w:r>
                        <w:rPr>
                          <w:sz w:val="20"/>
                        </w:rPr>
                        <w:t xml:space="preserve">R2 – Agreed resolutions marked in </w:t>
                      </w:r>
                      <w:r w:rsidRPr="002C154C">
                        <w:rPr>
                          <w:sz w:val="20"/>
                          <w:highlight w:val="green"/>
                        </w:rPr>
                        <w:t>green highlight</w:t>
                      </w:r>
                      <w:r>
                        <w:rPr>
                          <w:sz w:val="20"/>
                        </w:rPr>
                        <w:t>: CIDs 4553, 4809, 4599, 4594, 4570, 4642, 4555, 4652, 4528, 4524, 4585, 4511, 4507, 4492, 4491, 4561.</w:t>
                      </w:r>
                    </w:p>
                    <w:p w14:paraId="0383CE66" w14:textId="10FC418E" w:rsidR="00CB4204" w:rsidRPr="00531427" w:rsidRDefault="00CB4204" w:rsidP="00C45154">
                      <w:pPr>
                        <w:jc w:val="both"/>
                        <w:rPr>
                          <w:sz w:val="20"/>
                        </w:rPr>
                      </w:pPr>
                      <w:r>
                        <w:rPr>
                          <w:sz w:val="20"/>
                        </w:rPr>
                        <w:t xml:space="preserve">R3 – Updated resolutions proposed with updates </w:t>
                      </w:r>
                      <w:r w:rsidRPr="00CB4204">
                        <w:rPr>
                          <w:sz w:val="20"/>
                          <w:highlight w:val="cyan"/>
                        </w:rPr>
                        <w:t>highlighted in blue</w:t>
                      </w:r>
                      <w:r>
                        <w:rPr>
                          <w:sz w:val="20"/>
                        </w:rPr>
                        <w:t xml:space="preserve"> for CIDs: </w:t>
                      </w:r>
                      <w:r w:rsidR="000E1C0A">
                        <w:rPr>
                          <w:sz w:val="20"/>
                        </w:rPr>
                        <w:t>4534, 4567, 4774, 4392, 4653, 4325, 4445. CIDs with resolutions ready for review: 4808</w:t>
                      </w:r>
                      <w:r w:rsidR="00627C61">
                        <w:rPr>
                          <w:sz w:val="20"/>
                        </w:rPr>
                        <w:t>, 4462</w:t>
                      </w:r>
                      <w:r w:rsidR="000E1C0A">
                        <w:rPr>
                          <w:sz w:val="20"/>
                        </w:rPr>
                        <w:t>.</w:t>
                      </w:r>
                      <w:r w:rsidR="005E6298">
                        <w:rPr>
                          <w:sz w:val="20"/>
                        </w:rPr>
                        <w:t xml:space="preserve">  Not ready yet: 4806, 4805.</w:t>
                      </w:r>
                      <w:bookmarkStart w:id="1" w:name="_GoBack"/>
                      <w:bookmarkEnd w:id="1"/>
                    </w:p>
                  </w:txbxContent>
                </v:textbox>
              </v:shape>
            </w:pict>
          </mc:Fallback>
        </mc:AlternateContent>
      </w:r>
    </w:p>
    <w:p w14:paraId="541E20A5" w14:textId="22F0E0ED" w:rsidR="00CA09B2" w:rsidRDefault="00CA09B2">
      <w:r>
        <w:br w:type="page"/>
      </w:r>
    </w:p>
    <w:p w14:paraId="269BD167" w14:textId="42844EC8" w:rsidR="00166AFB" w:rsidRDefault="000A7069">
      <w:pPr>
        <w:rPr>
          <w:b/>
          <w:sz w:val="40"/>
        </w:rPr>
      </w:pPr>
      <w:r w:rsidRPr="000A7069">
        <w:rPr>
          <w:b/>
          <w:sz w:val="40"/>
        </w:rPr>
        <w:lastRenderedPageBreak/>
        <w:t>For review by TG:</w:t>
      </w:r>
    </w:p>
    <w:p w14:paraId="68CF28F1" w14:textId="6E62A108" w:rsidR="00FF1BEE" w:rsidRDefault="00FF1BEE">
      <w:pPr>
        <w:rPr>
          <w:b/>
          <w:sz w:val="40"/>
        </w:rPr>
      </w:pPr>
    </w:p>
    <w:p w14:paraId="58C896EE" w14:textId="2FBBDB62" w:rsidR="00FF1BEE" w:rsidRPr="00FF1BEE" w:rsidRDefault="00FF1BEE">
      <w:pPr>
        <w:rPr>
          <w:b/>
          <w:sz w:val="28"/>
          <w:u w:val="single"/>
        </w:rPr>
      </w:pPr>
      <w:r w:rsidRPr="00FF1BEE">
        <w:rPr>
          <w:b/>
          <w:sz w:val="28"/>
          <w:u w:val="single"/>
        </w:rPr>
        <w:t>All page/line references are per REVmd D</w:t>
      </w:r>
      <w:r w:rsidR="00C45154">
        <w:rPr>
          <w:b/>
          <w:sz w:val="28"/>
          <w:u w:val="single"/>
        </w:rPr>
        <w:t>3</w:t>
      </w:r>
      <w:r w:rsidRPr="00FF1BEE">
        <w:rPr>
          <w:b/>
          <w:sz w:val="28"/>
          <w:u w:val="single"/>
        </w:rPr>
        <w:t>.0.</w:t>
      </w:r>
    </w:p>
    <w:p w14:paraId="2B07A0E9" w14:textId="3778A3DA" w:rsidR="007C000C" w:rsidRDefault="007C000C">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C000C" w14:paraId="0F69EC82"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5EB4D4D2" w14:textId="77777777" w:rsidR="007C000C" w:rsidRDefault="007C000C"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5A5575BF" w14:textId="77777777" w:rsidR="007C000C" w:rsidRDefault="007C000C"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B930B16" w14:textId="77777777" w:rsidR="007C000C" w:rsidRDefault="007C000C"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31D17A4" w14:textId="77777777" w:rsidR="007C000C" w:rsidRDefault="007C000C"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E20E7D0" w14:textId="77777777" w:rsidR="007C000C" w:rsidRDefault="007C000C"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7C000C" w:rsidRPr="00DE7477" w14:paraId="3D177A7A" w14:textId="77777777" w:rsidTr="005C22F6">
        <w:trPr>
          <w:trHeight w:val="3315"/>
        </w:trPr>
        <w:tc>
          <w:tcPr>
            <w:tcW w:w="738" w:type="dxa"/>
            <w:hideMark/>
          </w:tcPr>
          <w:p w14:paraId="6DA2F7D0" w14:textId="77777777" w:rsidR="007C000C" w:rsidRPr="00DE7477" w:rsidRDefault="007C000C" w:rsidP="005C22F6">
            <w:pPr>
              <w:jc w:val="right"/>
              <w:rPr>
                <w:rFonts w:ascii="Arial" w:eastAsia="Times New Roman" w:hAnsi="Arial" w:cs="Arial"/>
                <w:sz w:val="20"/>
                <w:lang w:val="en-US"/>
              </w:rPr>
            </w:pPr>
            <w:r w:rsidRPr="00DE7477">
              <w:rPr>
                <w:rFonts w:ascii="Arial" w:eastAsia="Times New Roman" w:hAnsi="Arial" w:cs="Arial"/>
                <w:sz w:val="20"/>
                <w:lang w:val="en-US"/>
              </w:rPr>
              <w:t>4534</w:t>
            </w:r>
          </w:p>
        </w:tc>
        <w:tc>
          <w:tcPr>
            <w:tcW w:w="990" w:type="dxa"/>
            <w:hideMark/>
          </w:tcPr>
          <w:p w14:paraId="2009D66F" w14:textId="77777777" w:rsidR="007C000C" w:rsidRPr="00DE7477" w:rsidRDefault="007C000C" w:rsidP="005C22F6">
            <w:pPr>
              <w:jc w:val="right"/>
              <w:rPr>
                <w:rFonts w:ascii="Arial" w:eastAsia="Times New Roman" w:hAnsi="Arial" w:cs="Arial"/>
                <w:sz w:val="20"/>
                <w:lang w:val="en-US"/>
              </w:rPr>
            </w:pPr>
            <w:r w:rsidRPr="00DE7477">
              <w:rPr>
                <w:rFonts w:ascii="Arial" w:eastAsia="Times New Roman" w:hAnsi="Arial" w:cs="Arial"/>
                <w:sz w:val="20"/>
                <w:lang w:val="en-US"/>
              </w:rPr>
              <w:t>1038.22</w:t>
            </w:r>
          </w:p>
        </w:tc>
        <w:tc>
          <w:tcPr>
            <w:tcW w:w="1080" w:type="dxa"/>
            <w:hideMark/>
          </w:tcPr>
          <w:p w14:paraId="34741B25" w14:textId="77777777" w:rsidR="007C000C" w:rsidRPr="00DE7477" w:rsidRDefault="007C000C" w:rsidP="005C22F6">
            <w:pPr>
              <w:rPr>
                <w:rFonts w:ascii="Arial" w:eastAsia="Times New Roman" w:hAnsi="Arial" w:cs="Arial"/>
                <w:sz w:val="20"/>
                <w:lang w:val="en-US"/>
              </w:rPr>
            </w:pPr>
            <w:r w:rsidRPr="00DE7477">
              <w:rPr>
                <w:rFonts w:ascii="Arial" w:eastAsia="Times New Roman" w:hAnsi="Arial" w:cs="Arial"/>
                <w:sz w:val="20"/>
                <w:lang w:val="en-US"/>
              </w:rPr>
              <w:t>9.4.2.20.13</w:t>
            </w:r>
          </w:p>
        </w:tc>
        <w:tc>
          <w:tcPr>
            <w:tcW w:w="3600" w:type="dxa"/>
            <w:hideMark/>
          </w:tcPr>
          <w:p w14:paraId="65422478" w14:textId="77777777" w:rsidR="007C000C" w:rsidRPr="00DE7477" w:rsidRDefault="007C000C" w:rsidP="005C22F6">
            <w:pPr>
              <w:rPr>
                <w:rFonts w:ascii="Arial" w:eastAsia="Times New Roman" w:hAnsi="Arial" w:cs="Arial"/>
                <w:sz w:val="20"/>
                <w:lang w:val="en-US"/>
              </w:rPr>
            </w:pPr>
            <w:r w:rsidRPr="00DE7477">
              <w:rPr>
                <w:rFonts w:ascii="Arial" w:eastAsia="Times New Roman" w:hAnsi="Arial" w:cs="Arial"/>
                <w:sz w:val="20"/>
                <w:lang w:val="en-US"/>
              </w:rPr>
              <w:t>Figure 9-211--Measurement Request field format for a Multicast Diagnostics request is confusing in showing a Multicast Triggered Reporting (optional) field because there is a separate Optional Subelements field and Table 9-117--Optional subelement IDs for STA Multicast Diagnostics request shows Multicast Triggered Reporting</w:t>
            </w:r>
          </w:p>
        </w:tc>
        <w:tc>
          <w:tcPr>
            <w:tcW w:w="3600" w:type="dxa"/>
            <w:hideMark/>
          </w:tcPr>
          <w:p w14:paraId="357DFB1E" w14:textId="77777777" w:rsidR="007C000C" w:rsidRPr="00DE7477" w:rsidRDefault="007C000C" w:rsidP="005C22F6">
            <w:pPr>
              <w:rPr>
                <w:rFonts w:ascii="Arial" w:eastAsia="Times New Roman" w:hAnsi="Arial" w:cs="Arial"/>
                <w:sz w:val="20"/>
                <w:lang w:val="en-US"/>
              </w:rPr>
            </w:pPr>
            <w:r w:rsidRPr="00DE7477">
              <w:rPr>
                <w:rFonts w:ascii="Arial" w:eastAsia="Times New Roman" w:hAnsi="Arial" w:cs="Arial"/>
                <w:sz w:val="20"/>
                <w:lang w:val="en-US"/>
              </w:rPr>
              <w:t>In Table 9-117 delete the first two non-header rows and change 2-220 to 0-220</w:t>
            </w:r>
          </w:p>
        </w:tc>
      </w:tr>
    </w:tbl>
    <w:p w14:paraId="478F2152" w14:textId="48C26639" w:rsidR="001A1B4F" w:rsidRDefault="001A1B4F">
      <w:pPr>
        <w:rPr>
          <w:bCs/>
          <w:szCs w:val="22"/>
        </w:rPr>
      </w:pPr>
    </w:p>
    <w:p w14:paraId="64D8729E" w14:textId="18CB1A70" w:rsidR="007C000C" w:rsidRDefault="007C000C">
      <w:pPr>
        <w:rPr>
          <w:bCs/>
          <w:szCs w:val="22"/>
        </w:rPr>
      </w:pPr>
      <w:r>
        <w:rPr>
          <w:bCs/>
          <w:szCs w:val="22"/>
          <w:u w:val="single"/>
        </w:rPr>
        <w:t>Discussion:</w:t>
      </w:r>
    </w:p>
    <w:p w14:paraId="42C1F941" w14:textId="2683FFCB" w:rsidR="007C000C" w:rsidRDefault="007C000C">
      <w:pPr>
        <w:rPr>
          <w:bCs/>
          <w:szCs w:val="22"/>
        </w:rPr>
      </w:pPr>
    </w:p>
    <w:p w14:paraId="30F8C5AB" w14:textId="004DBBB9" w:rsidR="007C000C" w:rsidRPr="00517975" w:rsidRDefault="00517975">
      <w:pPr>
        <w:rPr>
          <w:bCs/>
          <w:noProof/>
          <w:szCs w:val="22"/>
          <w:bdr w:val="single" w:sz="8" w:space="0" w:color="auto" w:shadow="1"/>
        </w:rPr>
      </w:pPr>
      <w:r w:rsidRPr="00517975">
        <w:rPr>
          <w:bCs/>
          <w:noProof/>
          <w:szCs w:val="22"/>
          <w:bdr w:val="single" w:sz="8" w:space="0" w:color="auto" w:shadow="1"/>
        </w:rPr>
        <w:drawing>
          <wp:inline distT="0" distB="0" distL="0" distR="0" wp14:anchorId="06F5A771" wp14:editId="0DC95850">
            <wp:extent cx="6056630" cy="1935480"/>
            <wp:effectExtent l="0" t="0" r="1270" b="762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6630" cy="1935480"/>
                    </a:xfrm>
                    <a:prstGeom prst="rect">
                      <a:avLst/>
                    </a:prstGeom>
                    <a:noFill/>
                    <a:ln>
                      <a:noFill/>
                    </a:ln>
                  </pic:spPr>
                </pic:pic>
              </a:graphicData>
            </a:graphic>
          </wp:inline>
        </w:drawing>
      </w:r>
    </w:p>
    <w:p w14:paraId="46B72799" w14:textId="3EA009E3" w:rsidR="007C000C" w:rsidRDefault="007C000C">
      <w:pPr>
        <w:rPr>
          <w:bCs/>
          <w:szCs w:val="22"/>
        </w:rPr>
      </w:pPr>
    </w:p>
    <w:p w14:paraId="1CA82D7F" w14:textId="72E00D17" w:rsidR="00517975" w:rsidRDefault="00517975">
      <w:pPr>
        <w:rPr>
          <w:bCs/>
          <w:szCs w:val="22"/>
        </w:rPr>
      </w:pPr>
      <w:r>
        <w:rPr>
          <w:bCs/>
          <w:szCs w:val="22"/>
        </w:rPr>
        <w:t>Indeed there are both the Multicast Triggered Reporting subfield and Optional Subelements in the Multicast Diagnostics request variant of the Measurement Request field.</w:t>
      </w:r>
    </w:p>
    <w:p w14:paraId="36607B33" w14:textId="2E632C9E" w:rsidR="00517975" w:rsidRDefault="00517975">
      <w:pPr>
        <w:rPr>
          <w:bCs/>
          <w:szCs w:val="22"/>
        </w:rPr>
      </w:pPr>
    </w:p>
    <w:p w14:paraId="2DB3821D" w14:textId="48CEB2BF" w:rsidR="00517975" w:rsidRDefault="00517975">
      <w:pPr>
        <w:rPr>
          <w:bCs/>
          <w:szCs w:val="22"/>
        </w:rPr>
      </w:pPr>
      <w:r>
        <w:rPr>
          <w:bCs/>
          <w:szCs w:val="22"/>
        </w:rPr>
        <w:t>The Multicast Triggered Reporting subfield is described, as:</w:t>
      </w:r>
    </w:p>
    <w:p w14:paraId="3CAC20FA" w14:textId="3279FDA0" w:rsidR="00517975" w:rsidRDefault="00517975">
      <w:pPr>
        <w:rPr>
          <w:bCs/>
          <w:szCs w:val="22"/>
        </w:rPr>
      </w:pPr>
    </w:p>
    <w:p w14:paraId="0D039EB2" w14:textId="7F7A3D4D" w:rsidR="00517975" w:rsidRPr="00517975" w:rsidRDefault="00517975">
      <w:pPr>
        <w:rPr>
          <w:bCs/>
          <w:noProof/>
          <w:szCs w:val="22"/>
          <w:bdr w:val="single" w:sz="8" w:space="0" w:color="auto" w:shadow="1"/>
        </w:rPr>
      </w:pPr>
      <w:r w:rsidRPr="00517975">
        <w:rPr>
          <w:bCs/>
          <w:noProof/>
          <w:szCs w:val="22"/>
          <w:bdr w:val="single" w:sz="8" w:space="0" w:color="auto" w:shadow="1"/>
        </w:rPr>
        <w:lastRenderedPageBreak/>
        <w:drawing>
          <wp:inline distT="0" distB="0" distL="0" distR="0" wp14:anchorId="0B9E4284" wp14:editId="5EDA8056">
            <wp:extent cx="6009005" cy="1876425"/>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9005" cy="1876425"/>
                    </a:xfrm>
                    <a:prstGeom prst="rect">
                      <a:avLst/>
                    </a:prstGeom>
                    <a:noFill/>
                    <a:ln>
                      <a:noFill/>
                    </a:ln>
                  </pic:spPr>
                </pic:pic>
              </a:graphicData>
            </a:graphic>
          </wp:inline>
        </w:drawing>
      </w:r>
    </w:p>
    <w:p w14:paraId="6A831C3E" w14:textId="18631A07" w:rsidR="00517975" w:rsidRDefault="00517975">
      <w:pPr>
        <w:rPr>
          <w:bCs/>
          <w:szCs w:val="22"/>
        </w:rPr>
      </w:pPr>
    </w:p>
    <w:p w14:paraId="2CEA3CF6" w14:textId="15AD30CF" w:rsidR="00517975" w:rsidRDefault="00517975">
      <w:pPr>
        <w:rPr>
          <w:bCs/>
          <w:szCs w:val="22"/>
        </w:rPr>
      </w:pPr>
      <w:r>
        <w:rPr>
          <w:bCs/>
          <w:szCs w:val="22"/>
        </w:rPr>
        <w:t>This text goes on for several paragraphs, describing these subfields.</w:t>
      </w:r>
    </w:p>
    <w:p w14:paraId="30363018" w14:textId="29DFD9B8" w:rsidR="00517975" w:rsidRDefault="00517975">
      <w:pPr>
        <w:rPr>
          <w:bCs/>
          <w:szCs w:val="22"/>
        </w:rPr>
      </w:pPr>
    </w:p>
    <w:p w14:paraId="0BB028E3" w14:textId="724A1015" w:rsidR="00517975" w:rsidRDefault="00517975">
      <w:pPr>
        <w:rPr>
          <w:bCs/>
          <w:szCs w:val="22"/>
        </w:rPr>
      </w:pPr>
      <w:r>
        <w:rPr>
          <w:bCs/>
          <w:szCs w:val="22"/>
        </w:rPr>
        <w:t>However, nowhere in this text is the Sublement ID specified for the Multicast Triggered Reporting subelement.  Thus, it seems the row in Table 9-117 is required for this specification:</w:t>
      </w:r>
    </w:p>
    <w:p w14:paraId="1E57EF77" w14:textId="2E8A6932" w:rsidR="00517975" w:rsidRDefault="00517975">
      <w:pPr>
        <w:rPr>
          <w:bCs/>
          <w:szCs w:val="22"/>
        </w:rPr>
      </w:pPr>
    </w:p>
    <w:p w14:paraId="0EF26927" w14:textId="6A338759" w:rsidR="00517975" w:rsidRPr="00517975" w:rsidRDefault="00517975">
      <w:pPr>
        <w:rPr>
          <w:bCs/>
          <w:noProof/>
          <w:szCs w:val="22"/>
          <w:bdr w:val="single" w:sz="8" w:space="0" w:color="auto" w:shadow="1"/>
        </w:rPr>
      </w:pPr>
      <w:r w:rsidRPr="00517975">
        <w:rPr>
          <w:bCs/>
          <w:noProof/>
          <w:szCs w:val="22"/>
          <w:bdr w:val="single" w:sz="8" w:space="0" w:color="auto" w:shadow="1"/>
        </w:rPr>
        <w:drawing>
          <wp:inline distT="0" distB="0" distL="0" distR="0" wp14:anchorId="6E26DBDA" wp14:editId="6218BDBB">
            <wp:extent cx="6097905" cy="30162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7905" cy="3016250"/>
                    </a:xfrm>
                    <a:prstGeom prst="rect">
                      <a:avLst/>
                    </a:prstGeom>
                    <a:noFill/>
                    <a:ln>
                      <a:noFill/>
                    </a:ln>
                  </pic:spPr>
                </pic:pic>
              </a:graphicData>
            </a:graphic>
          </wp:inline>
        </w:drawing>
      </w:r>
    </w:p>
    <w:p w14:paraId="3A5DD2A2" w14:textId="6FC86433" w:rsidR="00517975" w:rsidRDefault="00517975">
      <w:pPr>
        <w:rPr>
          <w:bCs/>
          <w:szCs w:val="22"/>
        </w:rPr>
      </w:pPr>
    </w:p>
    <w:p w14:paraId="75B8F25C" w14:textId="7A10412B" w:rsidR="00517975" w:rsidRDefault="00517975">
      <w:pPr>
        <w:rPr>
          <w:bCs/>
          <w:szCs w:val="22"/>
        </w:rPr>
      </w:pPr>
      <w:r>
        <w:rPr>
          <w:bCs/>
          <w:szCs w:val="22"/>
        </w:rPr>
        <w:t>Since the Multicast Triggered Reporting subelement is optional, as is the Vendor Specific subelement, the question here perhaps should be why there is a specific call out for the Multicast Triggered Reporting sublement in the Figure 9-211 field layout, rather than having Multicast Triggered Reporting subelement just be one of the Optional Subelements</w:t>
      </w:r>
      <w:r w:rsidR="001D5A56">
        <w:rPr>
          <w:bCs/>
          <w:szCs w:val="22"/>
        </w:rPr>
        <w:t>, in the usual style.</w:t>
      </w:r>
    </w:p>
    <w:p w14:paraId="5CA105E8" w14:textId="286C75B7" w:rsidR="001D5A56" w:rsidRDefault="001D5A56">
      <w:pPr>
        <w:rPr>
          <w:bCs/>
          <w:szCs w:val="22"/>
        </w:rPr>
      </w:pPr>
    </w:p>
    <w:p w14:paraId="63ECBE8D" w14:textId="608307C0" w:rsidR="001D5A56" w:rsidRDefault="001D5A56">
      <w:pPr>
        <w:rPr>
          <w:bCs/>
          <w:szCs w:val="22"/>
        </w:rPr>
      </w:pPr>
      <w:r w:rsidRPr="001D5A56">
        <w:rPr>
          <w:bCs/>
          <w:szCs w:val="22"/>
          <w:highlight w:val="yellow"/>
          <w:u w:val="single"/>
        </w:rPr>
        <w:t>Proposed Resolution:</w:t>
      </w:r>
    </w:p>
    <w:p w14:paraId="1DCD4A23" w14:textId="67A1DE14" w:rsidR="001D5A56" w:rsidRDefault="001D5A56">
      <w:pPr>
        <w:rPr>
          <w:bCs/>
          <w:szCs w:val="22"/>
        </w:rPr>
      </w:pPr>
    </w:p>
    <w:p w14:paraId="47D19C67" w14:textId="4B71CD76" w:rsidR="001D5A56" w:rsidRDefault="001D5A56">
      <w:pPr>
        <w:rPr>
          <w:bCs/>
          <w:szCs w:val="22"/>
        </w:rPr>
      </w:pPr>
      <w:r>
        <w:rPr>
          <w:bCs/>
          <w:szCs w:val="22"/>
        </w:rPr>
        <w:t>Revised.  Remove the field “Multicast Triggered Reporting (optional)” from Figure 9-211.  Move the text from P1037.31 through P1038.10 to appear after the text at P1038.14 and Table 9-117 and before the text at P1038.32.</w:t>
      </w:r>
    </w:p>
    <w:p w14:paraId="67E404B4" w14:textId="08DB14BD" w:rsidR="001D5A56" w:rsidRDefault="001D5A56">
      <w:pPr>
        <w:rPr>
          <w:bCs/>
          <w:szCs w:val="22"/>
        </w:rPr>
      </w:pPr>
    </w:p>
    <w:p w14:paraId="57B74A23" w14:textId="73BF6924" w:rsidR="00793864" w:rsidRDefault="00793864">
      <w:pPr>
        <w:rPr>
          <w:bCs/>
          <w:szCs w:val="22"/>
        </w:rPr>
      </w:pPr>
      <w:r w:rsidRPr="00793864">
        <w:rPr>
          <w:bCs/>
          <w:szCs w:val="22"/>
          <w:highlight w:val="cyan"/>
        </w:rPr>
        <w:t>2020-02-19 Telecon:</w:t>
      </w:r>
    </w:p>
    <w:p w14:paraId="4BD145BD" w14:textId="366D399B" w:rsidR="00793864" w:rsidRDefault="00793864">
      <w:pPr>
        <w:rPr>
          <w:bCs/>
          <w:szCs w:val="22"/>
        </w:rPr>
      </w:pPr>
    </w:p>
    <w:p w14:paraId="557CEA70" w14:textId="77777777" w:rsidR="00793864" w:rsidRPr="00793864" w:rsidRDefault="00793864" w:rsidP="00793864">
      <w:pPr>
        <w:rPr>
          <w:bCs/>
          <w:szCs w:val="22"/>
        </w:rPr>
      </w:pPr>
      <w:r w:rsidRPr="00793864">
        <w:rPr>
          <w:bCs/>
          <w:szCs w:val="22"/>
        </w:rPr>
        <w:t>Review P1037.31 – note that the removal of the field causes the text that is proposed to be moved no longer correct.</w:t>
      </w:r>
    </w:p>
    <w:p w14:paraId="343AA5CD" w14:textId="7039B284" w:rsidR="00793864" w:rsidRPr="00793864" w:rsidRDefault="00793864" w:rsidP="00793864">
      <w:pPr>
        <w:rPr>
          <w:bCs/>
          <w:szCs w:val="22"/>
        </w:rPr>
      </w:pPr>
      <w:r w:rsidRPr="00793864">
        <w:rPr>
          <w:bCs/>
          <w:szCs w:val="22"/>
        </w:rPr>
        <w:lastRenderedPageBreak/>
        <w:t>Optional fields need to have a subelement ID and then the subsequent optional fields can be identified. Having a strange tag for identifying the 4th field is strange.</w:t>
      </w:r>
    </w:p>
    <w:p w14:paraId="48F77E84" w14:textId="70825DD9" w:rsidR="00793864" w:rsidRPr="00793864" w:rsidRDefault="00793864" w:rsidP="00793864">
      <w:pPr>
        <w:rPr>
          <w:bCs/>
          <w:szCs w:val="22"/>
        </w:rPr>
      </w:pPr>
      <w:r w:rsidRPr="00793864">
        <w:rPr>
          <w:bCs/>
          <w:szCs w:val="22"/>
        </w:rPr>
        <w:t>More Work is needed to address the moving of the text.</w:t>
      </w:r>
    </w:p>
    <w:p w14:paraId="1747AFE6" w14:textId="01C628A0" w:rsidR="00793864" w:rsidRDefault="00793864">
      <w:pPr>
        <w:rPr>
          <w:bCs/>
          <w:szCs w:val="22"/>
        </w:rPr>
      </w:pPr>
    </w:p>
    <w:p w14:paraId="2A112EB6" w14:textId="22DB6677" w:rsidR="00793864" w:rsidRPr="00881431" w:rsidRDefault="00E25F76">
      <w:pPr>
        <w:rPr>
          <w:bCs/>
          <w:szCs w:val="22"/>
          <w:u w:val="single"/>
        </w:rPr>
      </w:pPr>
      <w:r w:rsidRPr="00881431">
        <w:rPr>
          <w:bCs/>
          <w:szCs w:val="22"/>
          <w:highlight w:val="yellow"/>
          <w:u w:val="single"/>
        </w:rPr>
        <w:t>Updated Proposed Resolution:</w:t>
      </w:r>
    </w:p>
    <w:p w14:paraId="55F69F06" w14:textId="713F8111" w:rsidR="00E25F76" w:rsidRDefault="00E25F76">
      <w:pPr>
        <w:rPr>
          <w:bCs/>
          <w:szCs w:val="22"/>
        </w:rPr>
      </w:pPr>
    </w:p>
    <w:p w14:paraId="51AF692F" w14:textId="0C576444" w:rsidR="00E25F76" w:rsidRDefault="00E25F76" w:rsidP="00E25F76">
      <w:pPr>
        <w:rPr>
          <w:bCs/>
          <w:szCs w:val="22"/>
        </w:rPr>
      </w:pPr>
      <w:r>
        <w:rPr>
          <w:bCs/>
          <w:szCs w:val="22"/>
        </w:rPr>
        <w:t>Revised.  Remove the field “Multicast Triggered Reporting (optional)” from Figure 9-211.  Move the text from P1037.31 through P1038.</w:t>
      </w:r>
      <w:r w:rsidR="00481958" w:rsidRPr="00481958">
        <w:rPr>
          <w:bCs/>
          <w:szCs w:val="22"/>
          <w:highlight w:val="cyan"/>
        </w:rPr>
        <w:t>7</w:t>
      </w:r>
      <w:r>
        <w:rPr>
          <w:bCs/>
          <w:szCs w:val="22"/>
        </w:rPr>
        <w:t xml:space="preserve"> to appear after the text at P1038.14 and Table 9-117 and before the text at P1038.32, with the indicated changes:</w:t>
      </w:r>
    </w:p>
    <w:p w14:paraId="41965CF3" w14:textId="4078AD6B" w:rsidR="00E25F76" w:rsidRDefault="00E25F76" w:rsidP="00E25F76">
      <w:pPr>
        <w:rPr>
          <w:bCs/>
          <w:szCs w:val="22"/>
        </w:rPr>
      </w:pPr>
    </w:p>
    <w:p w14:paraId="2573EE8F" w14:textId="15535D7E" w:rsidR="00E25F76" w:rsidRDefault="00E25F76" w:rsidP="00E25F76">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 xml:space="preserve">The Multicast Triggered Reporting </w:t>
      </w:r>
      <w:r w:rsidRPr="00481958">
        <w:rPr>
          <w:rFonts w:ascii="TimesNewRoman" w:hAnsi="TimesNewRoman" w:cs="TimesNewRoman"/>
          <w:strike/>
          <w:sz w:val="20"/>
          <w:highlight w:val="cyan"/>
          <w:lang w:val="en-US" w:eastAsia="ja-JP"/>
        </w:rPr>
        <w:t>field</w:t>
      </w:r>
      <w:r w:rsidRPr="00481958">
        <w:rPr>
          <w:rFonts w:ascii="TimesNewRoman" w:hAnsi="TimesNewRoman" w:cs="TimesNewRoman"/>
          <w:sz w:val="20"/>
          <w:highlight w:val="cyan"/>
          <w:lang w:val="en-US" w:eastAsia="ja-JP"/>
        </w:rPr>
        <w:t xml:space="preserve"> </w:t>
      </w:r>
      <w:r w:rsidRPr="00481958">
        <w:rPr>
          <w:rFonts w:ascii="TimesNewRoman" w:hAnsi="TimesNewRoman" w:cs="TimesNewRoman"/>
          <w:sz w:val="20"/>
          <w:highlight w:val="cyan"/>
          <w:u w:val="single"/>
          <w:lang w:val="en-US" w:eastAsia="ja-JP"/>
        </w:rPr>
        <w:t>subelement</w:t>
      </w:r>
      <w:r>
        <w:rPr>
          <w:rFonts w:ascii="TimesNewRoman" w:hAnsi="TimesNewRoman" w:cs="TimesNewRoman"/>
          <w:sz w:val="20"/>
          <w:u w:val="single"/>
          <w:lang w:val="en-US" w:eastAsia="ja-JP"/>
        </w:rPr>
        <w:t xml:space="preserve"> </w:t>
      </w:r>
      <w:r>
        <w:rPr>
          <w:rFonts w:ascii="TimesNewRoman" w:hAnsi="TimesNewRoman" w:cs="TimesNewRoman"/>
          <w:sz w:val="20"/>
          <w:lang w:val="en-US" w:eastAsia="ja-JP"/>
        </w:rPr>
        <w:t>is used to specify trigger conditions and thresholds. It is present only when requesting triggered multicast diagnostic reporting. The format of Multicast Triggered Reporting subelement is as shown in Figure 9-212 (Multicast Triggered Reporting subelement format).</w:t>
      </w:r>
    </w:p>
    <w:p w14:paraId="3121EB4C" w14:textId="3A3673FB" w:rsidR="00E25F76" w:rsidRDefault="00E25F76" w:rsidP="00E25F76">
      <w:pPr>
        <w:autoSpaceDE w:val="0"/>
        <w:autoSpaceDN w:val="0"/>
        <w:adjustRightInd w:val="0"/>
        <w:ind w:left="360"/>
        <w:rPr>
          <w:rFonts w:ascii="TimesNewRoman" w:hAnsi="TimesNewRoman" w:cs="TimesNewRoman"/>
          <w:sz w:val="20"/>
          <w:lang w:val="en-US" w:eastAsia="ja-JP"/>
        </w:rPr>
      </w:pPr>
    </w:p>
    <w:p w14:paraId="560C296B" w14:textId="4E949ED6" w:rsidR="00E25F76" w:rsidRDefault="00D1704B" w:rsidP="00E25F76">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drawing>
          <wp:inline distT="0" distB="0" distL="0" distR="0" wp14:anchorId="65C76DDF" wp14:editId="2B4D0AAF">
            <wp:extent cx="5510849" cy="95127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6550" cy="955715"/>
                    </a:xfrm>
                    <a:prstGeom prst="rect">
                      <a:avLst/>
                    </a:prstGeom>
                    <a:noFill/>
                    <a:ln>
                      <a:noFill/>
                    </a:ln>
                  </pic:spPr>
                </pic:pic>
              </a:graphicData>
            </a:graphic>
          </wp:inline>
        </w:drawing>
      </w:r>
    </w:p>
    <w:p w14:paraId="5E11EDA7" w14:textId="77777777" w:rsidR="00E25F76" w:rsidRDefault="00E25F76" w:rsidP="00E25F76">
      <w:pPr>
        <w:autoSpaceDE w:val="0"/>
        <w:autoSpaceDN w:val="0"/>
        <w:adjustRightInd w:val="0"/>
        <w:ind w:left="360"/>
        <w:rPr>
          <w:rFonts w:ascii="TimesNewRoman" w:hAnsi="TimesNewRoman" w:cs="TimesNewRoman"/>
          <w:sz w:val="20"/>
          <w:lang w:val="en-US" w:eastAsia="ja-JP"/>
        </w:rPr>
      </w:pPr>
    </w:p>
    <w:p w14:paraId="62C1CFC3" w14:textId="042CB3D0" w:rsidR="00E25F76" w:rsidRDefault="00E25F76" w:rsidP="00E25F76">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Multicast Trigger Condition field specifies reporting triggers for triggered management diagnostic reporting. The format of the Multicast Trigger Condition field is shown in Figure 9-213 (Multicast Trigger Condition field format(#2607)).</w:t>
      </w:r>
    </w:p>
    <w:p w14:paraId="41FAE92F" w14:textId="70D6F9F4" w:rsidR="00E25F76" w:rsidRDefault="00E25F76" w:rsidP="00E25F76">
      <w:pPr>
        <w:autoSpaceDE w:val="0"/>
        <w:autoSpaceDN w:val="0"/>
        <w:adjustRightInd w:val="0"/>
        <w:ind w:left="360"/>
        <w:rPr>
          <w:rFonts w:ascii="TimesNewRoman" w:hAnsi="TimesNewRoman" w:cs="TimesNewRoman"/>
          <w:sz w:val="20"/>
          <w:lang w:val="en-US" w:eastAsia="ja-JP"/>
        </w:rPr>
      </w:pPr>
    </w:p>
    <w:p w14:paraId="02400120" w14:textId="64C6FFDC" w:rsidR="00E25F76" w:rsidRDefault="00D1704B" w:rsidP="00E25F76">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drawing>
          <wp:inline distT="0" distB="0" distL="0" distR="0" wp14:anchorId="18C91882" wp14:editId="39C8C063">
            <wp:extent cx="4928958" cy="1198784"/>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0698" cy="1206503"/>
                    </a:xfrm>
                    <a:prstGeom prst="rect">
                      <a:avLst/>
                    </a:prstGeom>
                    <a:noFill/>
                    <a:ln>
                      <a:noFill/>
                    </a:ln>
                  </pic:spPr>
                </pic:pic>
              </a:graphicData>
            </a:graphic>
          </wp:inline>
        </w:drawing>
      </w:r>
    </w:p>
    <w:p w14:paraId="4F3D8C5C" w14:textId="77777777" w:rsidR="00E25F76" w:rsidRDefault="00E25F76" w:rsidP="00E25F76">
      <w:pPr>
        <w:autoSpaceDE w:val="0"/>
        <w:autoSpaceDN w:val="0"/>
        <w:adjustRightInd w:val="0"/>
        <w:ind w:left="360"/>
        <w:rPr>
          <w:rFonts w:ascii="TimesNewRoman" w:hAnsi="TimesNewRoman" w:cs="TimesNewRoman"/>
          <w:sz w:val="20"/>
          <w:lang w:val="en-US" w:eastAsia="ja-JP"/>
        </w:rPr>
      </w:pPr>
    </w:p>
    <w:p w14:paraId="70A1C539" w14:textId="24D525B6" w:rsidR="00E25F76" w:rsidRDefault="00E25F76" w:rsidP="00E25F76">
      <w:pPr>
        <w:autoSpaceDE w:val="0"/>
        <w:autoSpaceDN w:val="0"/>
        <w:adjustRightInd w:val="0"/>
        <w:ind w:left="360"/>
        <w:rPr>
          <w:bCs/>
          <w:szCs w:val="22"/>
        </w:rPr>
      </w:pPr>
      <w:r>
        <w:rPr>
          <w:rFonts w:ascii="TimesNewRoman" w:hAnsi="TimesNewRoman" w:cs="TimesNewRoman"/>
          <w:sz w:val="20"/>
          <w:lang w:val="en-US" w:eastAsia="ja-JP"/>
        </w:rPr>
        <w:t>The Inactivity Timeout Request field is 1 to request that a multicast triggered report be generated when no group addressed frames with the monitored group address are received in a time equal to the value given in the Inactivity Timeout field. The Inactivity Timeout Request field is 0 when a multicast reception timeout is not requested.</w:t>
      </w:r>
    </w:p>
    <w:p w14:paraId="2C476BDA" w14:textId="20148113" w:rsidR="00E25F76" w:rsidRDefault="00E25F76" w:rsidP="00E25F76">
      <w:pPr>
        <w:ind w:left="360"/>
        <w:rPr>
          <w:bCs/>
          <w:szCs w:val="22"/>
        </w:rPr>
      </w:pPr>
    </w:p>
    <w:p w14:paraId="49C2A968" w14:textId="4F917EE6" w:rsidR="00E25F76" w:rsidRDefault="00E25F76" w:rsidP="00E25F76">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Inactivity Timeout field contains a time value in units of 100 TUs to be used as the threshold value for the inactivity timeout trigger condition.</w:t>
      </w:r>
    </w:p>
    <w:p w14:paraId="1BBE14EC" w14:textId="77777777" w:rsidR="00E25F76" w:rsidRDefault="00E25F76" w:rsidP="00E25F76">
      <w:pPr>
        <w:autoSpaceDE w:val="0"/>
        <w:autoSpaceDN w:val="0"/>
        <w:adjustRightInd w:val="0"/>
        <w:ind w:left="360"/>
        <w:rPr>
          <w:rFonts w:ascii="TimesNewRoman" w:hAnsi="TimesNewRoman" w:cs="TimesNewRoman"/>
          <w:sz w:val="20"/>
          <w:lang w:val="en-US" w:eastAsia="ja-JP"/>
        </w:rPr>
      </w:pPr>
    </w:p>
    <w:p w14:paraId="67A525DE" w14:textId="7A9341E1" w:rsidR="00E25F76" w:rsidRDefault="00E25F76" w:rsidP="00E25F76">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Reactivation Delay field contains a value in units of 100 TUs during which a measuring STA does not generate further multicast triggered reports after a trigger condition has been met.</w:t>
      </w:r>
    </w:p>
    <w:p w14:paraId="7E5347F9" w14:textId="77777777" w:rsidR="00E25F76" w:rsidRDefault="00E25F76" w:rsidP="00E25F76">
      <w:pPr>
        <w:autoSpaceDE w:val="0"/>
        <w:autoSpaceDN w:val="0"/>
        <w:adjustRightInd w:val="0"/>
        <w:ind w:left="360"/>
        <w:rPr>
          <w:rFonts w:ascii="TimesNewRoman" w:hAnsi="TimesNewRoman" w:cs="TimesNewRoman"/>
          <w:sz w:val="20"/>
          <w:lang w:val="en-US" w:eastAsia="ja-JP"/>
        </w:rPr>
      </w:pPr>
    </w:p>
    <w:p w14:paraId="5558BC5C" w14:textId="63C1BA6E" w:rsidR="00377D83" w:rsidRDefault="007C000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77D83" w14:paraId="5C2880C2"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483EFEB2"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3BDD45F"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48914F5"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9F5C9AD"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546E76A"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77D83" w:rsidRPr="00DE7477" w14:paraId="64888A48" w14:textId="77777777" w:rsidTr="005C22F6">
        <w:trPr>
          <w:trHeight w:val="2295"/>
        </w:trPr>
        <w:tc>
          <w:tcPr>
            <w:tcW w:w="738" w:type="dxa"/>
            <w:hideMark/>
          </w:tcPr>
          <w:p w14:paraId="18E0759C" w14:textId="77777777" w:rsidR="00377D83" w:rsidRPr="00DE7477" w:rsidRDefault="00377D83" w:rsidP="005C22F6">
            <w:pPr>
              <w:jc w:val="right"/>
              <w:rPr>
                <w:rFonts w:ascii="Arial" w:eastAsia="Times New Roman" w:hAnsi="Arial" w:cs="Arial"/>
                <w:sz w:val="20"/>
                <w:lang w:val="en-US"/>
              </w:rPr>
            </w:pPr>
            <w:r w:rsidRPr="00DE7477">
              <w:rPr>
                <w:rFonts w:ascii="Arial" w:eastAsia="Times New Roman" w:hAnsi="Arial" w:cs="Arial"/>
                <w:sz w:val="20"/>
                <w:lang w:val="en-US"/>
              </w:rPr>
              <w:t>4567</w:t>
            </w:r>
          </w:p>
        </w:tc>
        <w:tc>
          <w:tcPr>
            <w:tcW w:w="990" w:type="dxa"/>
            <w:hideMark/>
          </w:tcPr>
          <w:p w14:paraId="760CA10F" w14:textId="77777777" w:rsidR="00377D83" w:rsidRPr="00DE7477" w:rsidRDefault="00377D83" w:rsidP="005C22F6">
            <w:pPr>
              <w:jc w:val="right"/>
              <w:rPr>
                <w:rFonts w:ascii="Arial" w:eastAsia="Times New Roman" w:hAnsi="Arial" w:cs="Arial"/>
                <w:sz w:val="20"/>
                <w:lang w:val="en-US"/>
              </w:rPr>
            </w:pPr>
            <w:r w:rsidRPr="00DE7477">
              <w:rPr>
                <w:rFonts w:ascii="Arial" w:eastAsia="Times New Roman" w:hAnsi="Arial" w:cs="Arial"/>
                <w:sz w:val="20"/>
                <w:lang w:val="en-US"/>
              </w:rPr>
              <w:t>2302.49</w:t>
            </w:r>
          </w:p>
        </w:tc>
        <w:tc>
          <w:tcPr>
            <w:tcW w:w="1080" w:type="dxa"/>
            <w:hideMark/>
          </w:tcPr>
          <w:p w14:paraId="5D8BAFEA" w14:textId="77777777" w:rsidR="00377D83" w:rsidRPr="00DE7477" w:rsidRDefault="00377D83" w:rsidP="005C22F6">
            <w:pPr>
              <w:rPr>
                <w:rFonts w:ascii="Arial" w:eastAsia="Times New Roman" w:hAnsi="Arial" w:cs="Arial"/>
                <w:sz w:val="20"/>
                <w:lang w:val="en-US"/>
              </w:rPr>
            </w:pPr>
            <w:r w:rsidRPr="00DE7477">
              <w:rPr>
                <w:rFonts w:ascii="Arial" w:eastAsia="Times New Roman" w:hAnsi="Arial" w:cs="Arial"/>
                <w:sz w:val="20"/>
                <w:lang w:val="en-US"/>
              </w:rPr>
              <w:t>11.10.9.2</w:t>
            </w:r>
          </w:p>
        </w:tc>
        <w:tc>
          <w:tcPr>
            <w:tcW w:w="3600" w:type="dxa"/>
            <w:hideMark/>
          </w:tcPr>
          <w:p w14:paraId="52E87A66" w14:textId="77777777" w:rsidR="00377D83" w:rsidRPr="00DE7477" w:rsidRDefault="00377D83" w:rsidP="005C22F6">
            <w:pPr>
              <w:rPr>
                <w:rFonts w:ascii="Arial" w:eastAsia="Times New Roman" w:hAnsi="Arial" w:cs="Arial"/>
                <w:sz w:val="20"/>
                <w:lang w:val="en-US"/>
              </w:rPr>
            </w:pPr>
            <w:r w:rsidRPr="00DE7477">
              <w:rPr>
                <w:rFonts w:ascii="Arial" w:eastAsia="Times New Roman" w:hAnsi="Arial" w:cs="Arial"/>
                <w:sz w:val="20"/>
                <w:lang w:val="en-US"/>
              </w:rPr>
              <w:t>"a Frame Report</w:t>
            </w:r>
            <w:r w:rsidRPr="00DE7477">
              <w:rPr>
                <w:rFonts w:ascii="Arial" w:eastAsia="Times New Roman" w:hAnsi="Arial" w:cs="Arial"/>
                <w:sz w:val="20"/>
                <w:lang w:val="en-US"/>
              </w:rPr>
              <w:br/>
              <w:t>Entry field where Transmitter Address (TA) matching the MAC address field value" -- is this TA in the MAC header?  A field somewhere?  I think it's a misnamed field from Figure 9-235--Frame Report Entry field format</w:t>
            </w:r>
          </w:p>
        </w:tc>
        <w:tc>
          <w:tcPr>
            <w:tcW w:w="3600" w:type="dxa"/>
            <w:hideMark/>
          </w:tcPr>
          <w:p w14:paraId="3BAC8574" w14:textId="77777777" w:rsidR="00377D83" w:rsidRPr="00DE7477" w:rsidRDefault="00377D83" w:rsidP="005C22F6">
            <w:pPr>
              <w:rPr>
                <w:rFonts w:ascii="Arial" w:eastAsia="Times New Roman" w:hAnsi="Arial" w:cs="Arial"/>
                <w:sz w:val="20"/>
                <w:lang w:val="en-US"/>
              </w:rPr>
            </w:pPr>
            <w:r w:rsidRPr="00DE7477">
              <w:rPr>
                <w:rFonts w:ascii="Arial" w:eastAsia="Times New Roman" w:hAnsi="Arial" w:cs="Arial"/>
                <w:sz w:val="20"/>
                <w:lang w:val="en-US"/>
              </w:rPr>
              <w:t>Change to "a Frame Report</w:t>
            </w:r>
            <w:r w:rsidRPr="00DE7477">
              <w:rPr>
                <w:rFonts w:ascii="Arial" w:eastAsia="Times New Roman" w:hAnsi="Arial" w:cs="Arial"/>
                <w:sz w:val="20"/>
                <w:lang w:val="en-US"/>
              </w:rPr>
              <w:br/>
              <w:t>Entry field with a Transmit Address field matching the MAC address field value"</w:t>
            </w:r>
          </w:p>
        </w:tc>
      </w:tr>
    </w:tbl>
    <w:p w14:paraId="59274B3A" w14:textId="652DCF82" w:rsidR="00E507EF" w:rsidRDefault="00E507EF">
      <w:pPr>
        <w:rPr>
          <w:bCs/>
          <w:szCs w:val="22"/>
        </w:rPr>
      </w:pPr>
    </w:p>
    <w:p w14:paraId="27F5A0B0" w14:textId="77777777" w:rsidR="00377D83" w:rsidRDefault="00377D83" w:rsidP="00377D83">
      <w:pPr>
        <w:rPr>
          <w:bCs/>
          <w:szCs w:val="22"/>
        </w:rPr>
      </w:pPr>
      <w:r>
        <w:rPr>
          <w:bCs/>
          <w:szCs w:val="22"/>
          <w:u w:val="single"/>
        </w:rPr>
        <w:t>Discussion:</w:t>
      </w:r>
    </w:p>
    <w:p w14:paraId="1522452D" w14:textId="77777777" w:rsidR="00377D83" w:rsidRDefault="00377D83" w:rsidP="00377D83">
      <w:pPr>
        <w:rPr>
          <w:bCs/>
          <w:szCs w:val="22"/>
        </w:rPr>
      </w:pPr>
    </w:p>
    <w:p w14:paraId="5EC47C87" w14:textId="77777777" w:rsidR="00377D83" w:rsidRPr="00DF2556" w:rsidRDefault="00377D83" w:rsidP="00377D83">
      <w:pPr>
        <w:rPr>
          <w:bCs/>
          <w:noProof/>
          <w:szCs w:val="22"/>
          <w:bdr w:val="single" w:sz="8" w:space="0" w:color="auto" w:shadow="1"/>
        </w:rPr>
      </w:pPr>
      <w:r w:rsidRPr="00DF2556">
        <w:rPr>
          <w:bCs/>
          <w:noProof/>
          <w:szCs w:val="22"/>
          <w:bdr w:val="single" w:sz="8" w:space="0" w:color="auto" w:shadow="1"/>
        </w:rPr>
        <w:drawing>
          <wp:inline distT="0" distB="0" distL="0" distR="0" wp14:anchorId="6E26BF2F" wp14:editId="5F816462">
            <wp:extent cx="6009005" cy="190627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9005" cy="1906270"/>
                    </a:xfrm>
                    <a:prstGeom prst="rect">
                      <a:avLst/>
                    </a:prstGeom>
                    <a:noFill/>
                    <a:ln>
                      <a:noFill/>
                    </a:ln>
                  </pic:spPr>
                </pic:pic>
              </a:graphicData>
            </a:graphic>
          </wp:inline>
        </w:drawing>
      </w:r>
    </w:p>
    <w:p w14:paraId="32EA3530" w14:textId="77777777" w:rsidR="00377D83" w:rsidRDefault="00377D83" w:rsidP="00377D83">
      <w:pPr>
        <w:rPr>
          <w:bCs/>
          <w:szCs w:val="22"/>
        </w:rPr>
      </w:pPr>
    </w:p>
    <w:p w14:paraId="5E074CB9" w14:textId="77777777" w:rsidR="00377D83" w:rsidRDefault="00377D83" w:rsidP="00377D83">
      <w:pPr>
        <w:rPr>
          <w:bCs/>
          <w:szCs w:val="22"/>
        </w:rPr>
      </w:pPr>
      <w:r>
        <w:rPr>
          <w:bCs/>
          <w:szCs w:val="22"/>
        </w:rPr>
        <w:t>The Frame request frame has the following format and description:</w:t>
      </w:r>
    </w:p>
    <w:p w14:paraId="591750B0" w14:textId="77777777" w:rsidR="00377D83" w:rsidRDefault="00377D83" w:rsidP="00377D83">
      <w:pPr>
        <w:rPr>
          <w:bCs/>
          <w:szCs w:val="22"/>
        </w:rPr>
      </w:pPr>
    </w:p>
    <w:p w14:paraId="6E7F56F6" w14:textId="77777777" w:rsidR="00377D83" w:rsidRPr="00DF2556" w:rsidRDefault="00377D83" w:rsidP="00377D83">
      <w:pPr>
        <w:rPr>
          <w:bCs/>
          <w:noProof/>
          <w:szCs w:val="22"/>
          <w:bdr w:val="single" w:sz="8" w:space="0" w:color="auto" w:shadow="1"/>
        </w:rPr>
      </w:pPr>
      <w:r w:rsidRPr="00DF2556">
        <w:rPr>
          <w:bCs/>
          <w:noProof/>
          <w:szCs w:val="22"/>
          <w:bdr w:val="single" w:sz="8" w:space="0" w:color="auto" w:shadow="1"/>
        </w:rPr>
        <w:drawing>
          <wp:inline distT="0" distB="0" distL="0" distR="0" wp14:anchorId="01F4FC9D" wp14:editId="2E8BD3ED">
            <wp:extent cx="6003290" cy="181102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3290" cy="1811020"/>
                    </a:xfrm>
                    <a:prstGeom prst="rect">
                      <a:avLst/>
                    </a:prstGeom>
                    <a:noFill/>
                    <a:ln>
                      <a:noFill/>
                    </a:ln>
                  </pic:spPr>
                </pic:pic>
              </a:graphicData>
            </a:graphic>
          </wp:inline>
        </w:drawing>
      </w:r>
    </w:p>
    <w:p w14:paraId="26381235" w14:textId="77777777" w:rsidR="00377D83" w:rsidRPr="00DF2556" w:rsidRDefault="00377D83" w:rsidP="00377D83">
      <w:pPr>
        <w:rPr>
          <w:bCs/>
          <w:noProof/>
          <w:szCs w:val="22"/>
          <w:bdr w:val="single" w:sz="8" w:space="0" w:color="auto" w:shadow="1"/>
        </w:rPr>
      </w:pPr>
      <w:r w:rsidRPr="00DF2556">
        <w:rPr>
          <w:bCs/>
          <w:noProof/>
          <w:szCs w:val="22"/>
          <w:bdr w:val="single" w:sz="8" w:space="0" w:color="auto" w:shadow="1"/>
        </w:rPr>
        <w:drawing>
          <wp:inline distT="0" distB="0" distL="0" distR="0" wp14:anchorId="454DEA1D" wp14:editId="591B4229">
            <wp:extent cx="6003290" cy="70675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3290" cy="706755"/>
                    </a:xfrm>
                    <a:prstGeom prst="rect">
                      <a:avLst/>
                    </a:prstGeom>
                    <a:noFill/>
                    <a:ln>
                      <a:noFill/>
                    </a:ln>
                  </pic:spPr>
                </pic:pic>
              </a:graphicData>
            </a:graphic>
          </wp:inline>
        </w:drawing>
      </w:r>
    </w:p>
    <w:p w14:paraId="501F3207" w14:textId="77777777" w:rsidR="00377D83" w:rsidRDefault="00377D83" w:rsidP="00377D83">
      <w:pPr>
        <w:rPr>
          <w:bCs/>
          <w:szCs w:val="22"/>
        </w:rPr>
      </w:pPr>
    </w:p>
    <w:p w14:paraId="57CF07EA" w14:textId="77777777" w:rsidR="00377D83" w:rsidRDefault="00377D83" w:rsidP="00377D83">
      <w:pPr>
        <w:rPr>
          <w:bCs/>
          <w:szCs w:val="22"/>
        </w:rPr>
      </w:pPr>
      <w:r>
        <w:rPr>
          <w:bCs/>
          <w:szCs w:val="22"/>
        </w:rPr>
        <w:t>So, it is frames received with a TA that matches the Frame request’s MAC Address field, that are counted for the Frame report.  So, agree with the commenter that this sentence is mixing up terms and concepts.</w:t>
      </w:r>
    </w:p>
    <w:p w14:paraId="3C6F7FE3" w14:textId="77777777" w:rsidR="00377D83" w:rsidRDefault="00377D83" w:rsidP="00377D83">
      <w:pPr>
        <w:rPr>
          <w:bCs/>
          <w:szCs w:val="22"/>
        </w:rPr>
      </w:pPr>
    </w:p>
    <w:p w14:paraId="1C8A062D" w14:textId="77777777" w:rsidR="00377D83" w:rsidRDefault="00377D83" w:rsidP="00377D83">
      <w:pPr>
        <w:rPr>
          <w:bCs/>
          <w:szCs w:val="22"/>
        </w:rPr>
      </w:pPr>
      <w:r>
        <w:rPr>
          <w:bCs/>
          <w:szCs w:val="22"/>
        </w:rPr>
        <w:t>However, it would be better to state this clearly (with a re-write of the sentence), in a way that is similar to the subsequent sentence.</w:t>
      </w:r>
    </w:p>
    <w:p w14:paraId="761BB699" w14:textId="77777777" w:rsidR="00377D83" w:rsidRDefault="00377D83" w:rsidP="00377D83">
      <w:pPr>
        <w:rPr>
          <w:bCs/>
          <w:szCs w:val="22"/>
        </w:rPr>
      </w:pPr>
    </w:p>
    <w:p w14:paraId="20390C03" w14:textId="77777777" w:rsidR="00377D83" w:rsidRDefault="00377D83" w:rsidP="00377D83">
      <w:pPr>
        <w:rPr>
          <w:bCs/>
          <w:szCs w:val="22"/>
        </w:rPr>
      </w:pPr>
      <w:r w:rsidRPr="00871FD1">
        <w:rPr>
          <w:bCs/>
          <w:szCs w:val="22"/>
          <w:highlight w:val="yellow"/>
          <w:u w:val="single"/>
        </w:rPr>
        <w:t>Proposed Resolution:</w:t>
      </w:r>
    </w:p>
    <w:p w14:paraId="0ED4D0EB" w14:textId="77777777" w:rsidR="00C034F6" w:rsidRPr="00871FD1" w:rsidRDefault="00C034F6" w:rsidP="00C034F6">
      <w:pPr>
        <w:rPr>
          <w:bCs/>
          <w:i/>
          <w:iCs/>
          <w:szCs w:val="22"/>
        </w:rPr>
      </w:pPr>
      <w:r w:rsidRPr="00871FD1">
        <w:rPr>
          <w:bCs/>
          <w:i/>
          <w:iCs/>
          <w:szCs w:val="22"/>
          <w:highlight w:val="yellow"/>
        </w:rPr>
        <w:lastRenderedPageBreak/>
        <w:t>This proposal loses the concept of “if at least one Data or Management frame was received”.  Is that important and correct to have included?</w:t>
      </w:r>
    </w:p>
    <w:p w14:paraId="155F6D83" w14:textId="77777777" w:rsidR="00C034F6" w:rsidRDefault="00C034F6" w:rsidP="00C034F6">
      <w:pPr>
        <w:rPr>
          <w:bCs/>
          <w:szCs w:val="22"/>
        </w:rPr>
      </w:pPr>
    </w:p>
    <w:p w14:paraId="478E8F74" w14:textId="6AD04D2E" w:rsidR="00377D83" w:rsidRDefault="00C034F6" w:rsidP="00377D83">
      <w:pPr>
        <w:rPr>
          <w:bCs/>
          <w:szCs w:val="22"/>
        </w:rPr>
      </w:pPr>
      <w:r>
        <w:rPr>
          <w:bCs/>
          <w:szCs w:val="22"/>
        </w:rPr>
        <w:t>Revised.</w:t>
      </w:r>
    </w:p>
    <w:p w14:paraId="542DC436" w14:textId="77777777" w:rsidR="00C034F6" w:rsidRDefault="00C034F6" w:rsidP="00377D83">
      <w:pPr>
        <w:rPr>
          <w:bCs/>
          <w:szCs w:val="22"/>
        </w:rPr>
      </w:pPr>
    </w:p>
    <w:p w14:paraId="4322301B" w14:textId="77777777" w:rsidR="00377D83" w:rsidRDefault="00377D83" w:rsidP="00377D83">
      <w:pPr>
        <w:rPr>
          <w:bCs/>
          <w:szCs w:val="22"/>
        </w:rPr>
      </w:pPr>
      <w:r>
        <w:rPr>
          <w:bCs/>
          <w:szCs w:val="22"/>
        </w:rPr>
        <w:t>Replace:</w:t>
      </w:r>
    </w:p>
    <w:p w14:paraId="78704526" w14:textId="77777777" w:rsidR="00377D83" w:rsidRPr="00871FD1" w:rsidRDefault="00377D83" w:rsidP="00377D83">
      <w:pPr>
        <w:rPr>
          <w:bCs/>
          <w:szCs w:val="22"/>
        </w:rPr>
      </w:pPr>
      <w:r w:rsidRPr="00871FD1">
        <w:rPr>
          <w:bCs/>
          <w:szCs w:val="22"/>
        </w:rPr>
        <w:t>If the MAC Address field included in the Frame request was not set to the broadcast address, a Frame Report</w:t>
      </w:r>
      <w:r>
        <w:rPr>
          <w:bCs/>
          <w:szCs w:val="22"/>
        </w:rPr>
        <w:t xml:space="preserve"> </w:t>
      </w:r>
      <w:r w:rsidRPr="00871FD1">
        <w:rPr>
          <w:bCs/>
          <w:szCs w:val="22"/>
        </w:rPr>
        <w:t>Entry field where Transmitter Address (TA) matching the MAC address field value shall be included in the</w:t>
      </w:r>
      <w:r>
        <w:rPr>
          <w:bCs/>
          <w:szCs w:val="22"/>
        </w:rPr>
        <w:t xml:space="preserve"> </w:t>
      </w:r>
      <w:r w:rsidRPr="00871FD1">
        <w:rPr>
          <w:bCs/>
          <w:szCs w:val="22"/>
        </w:rPr>
        <w:t>Frame report if at least one Data or Management frame was received with this Transmitter Address during the</w:t>
      </w:r>
      <w:r>
        <w:rPr>
          <w:bCs/>
          <w:szCs w:val="22"/>
        </w:rPr>
        <w:t xml:space="preserve"> </w:t>
      </w:r>
      <w:r w:rsidRPr="00871FD1">
        <w:rPr>
          <w:bCs/>
          <w:szCs w:val="22"/>
        </w:rPr>
        <w:t>measurement duration.</w:t>
      </w:r>
    </w:p>
    <w:p w14:paraId="0619B2FA" w14:textId="77777777" w:rsidR="00377D83" w:rsidRPr="00871FD1" w:rsidRDefault="00377D83" w:rsidP="00377D83">
      <w:pPr>
        <w:rPr>
          <w:bCs/>
          <w:szCs w:val="22"/>
        </w:rPr>
      </w:pPr>
    </w:p>
    <w:p w14:paraId="22F3D127" w14:textId="77777777" w:rsidR="00377D83" w:rsidRPr="00871FD1" w:rsidRDefault="00377D83" w:rsidP="00377D83">
      <w:pPr>
        <w:rPr>
          <w:bCs/>
          <w:szCs w:val="22"/>
        </w:rPr>
      </w:pPr>
      <w:r w:rsidRPr="00871FD1">
        <w:rPr>
          <w:bCs/>
          <w:szCs w:val="22"/>
        </w:rPr>
        <w:t>with:</w:t>
      </w:r>
    </w:p>
    <w:p w14:paraId="1428F924" w14:textId="13BBFDC8" w:rsidR="00377D83" w:rsidRPr="00871FD1" w:rsidRDefault="00377D83" w:rsidP="00377D83">
      <w:pPr>
        <w:rPr>
          <w:bCs/>
          <w:szCs w:val="22"/>
        </w:rPr>
      </w:pPr>
      <w:r w:rsidRPr="00871FD1">
        <w:rPr>
          <w:bCs/>
          <w:szCs w:val="22"/>
        </w:rPr>
        <w:t>If the MAC Address field included in the Frame request was not set to the broadcast</w:t>
      </w:r>
      <w:r>
        <w:rPr>
          <w:bCs/>
          <w:szCs w:val="22"/>
        </w:rPr>
        <w:t xml:space="preserve"> </w:t>
      </w:r>
      <w:r w:rsidRPr="00871FD1">
        <w:rPr>
          <w:bCs/>
          <w:szCs w:val="22"/>
        </w:rPr>
        <w:t xml:space="preserve">address, the measuring station shall report, in one or more Frame reports, only those Data or Management frames received during the measurement duration </w:t>
      </w:r>
      <w:r>
        <w:rPr>
          <w:bCs/>
          <w:szCs w:val="22"/>
        </w:rPr>
        <w:t>with a</w:t>
      </w:r>
      <w:r w:rsidRPr="00871FD1">
        <w:rPr>
          <w:bCs/>
          <w:szCs w:val="22"/>
        </w:rPr>
        <w:t xml:space="preserve"> TA </w:t>
      </w:r>
      <w:r>
        <w:rPr>
          <w:bCs/>
          <w:szCs w:val="22"/>
        </w:rPr>
        <w:t xml:space="preserve">field </w:t>
      </w:r>
      <w:r w:rsidRPr="00871FD1">
        <w:rPr>
          <w:bCs/>
          <w:szCs w:val="22"/>
        </w:rPr>
        <w:t>match</w:t>
      </w:r>
      <w:r>
        <w:rPr>
          <w:bCs/>
          <w:szCs w:val="22"/>
        </w:rPr>
        <w:t>ing</w:t>
      </w:r>
      <w:r w:rsidRPr="00871FD1">
        <w:rPr>
          <w:bCs/>
          <w:szCs w:val="22"/>
        </w:rPr>
        <w:t xml:space="preserve"> the MAC Address field of the Frame request</w:t>
      </w:r>
      <w:r w:rsidR="00D64D1D">
        <w:rPr>
          <w:bCs/>
          <w:szCs w:val="22"/>
        </w:rPr>
        <w:t xml:space="preserve">, </w:t>
      </w:r>
      <w:r w:rsidR="00D64D1D" w:rsidRPr="00D64D1D">
        <w:rPr>
          <w:bCs/>
          <w:szCs w:val="22"/>
          <w:highlight w:val="cyan"/>
        </w:rPr>
        <w:t>if at least one such frame was received</w:t>
      </w:r>
      <w:r w:rsidRPr="00871FD1">
        <w:rPr>
          <w:bCs/>
          <w:szCs w:val="22"/>
        </w:rPr>
        <w:t>.</w:t>
      </w:r>
    </w:p>
    <w:p w14:paraId="02EA98A6" w14:textId="2E039B34" w:rsidR="00377D83" w:rsidRDefault="00377D83" w:rsidP="00377D83">
      <w:pPr>
        <w:rPr>
          <w:bCs/>
          <w:szCs w:val="22"/>
        </w:rPr>
      </w:pPr>
    </w:p>
    <w:p w14:paraId="5B65E08C" w14:textId="19B47EC3" w:rsidR="00D64D1D" w:rsidRPr="00D64D1D" w:rsidRDefault="00D64D1D" w:rsidP="00377D83">
      <w:pPr>
        <w:rPr>
          <w:highlight w:val="cyan"/>
        </w:rPr>
      </w:pPr>
      <w:r w:rsidRPr="00D64D1D">
        <w:rPr>
          <w:bCs/>
          <w:szCs w:val="22"/>
          <w:highlight w:val="cyan"/>
        </w:rPr>
        <w:t xml:space="preserve">Also, </w:t>
      </w:r>
      <w:r w:rsidRPr="00D64D1D">
        <w:rPr>
          <w:highlight w:val="cyan"/>
        </w:rPr>
        <w:t>in 9.4.2.20.8, Replace:</w:t>
      </w:r>
    </w:p>
    <w:p w14:paraId="3C6FBF94" w14:textId="18E3C567" w:rsidR="00D64D1D" w:rsidRPr="00D64D1D" w:rsidRDefault="00D64D1D" w:rsidP="00D64D1D">
      <w:pPr>
        <w:autoSpaceDE w:val="0"/>
        <w:autoSpaceDN w:val="0"/>
        <w:adjustRightInd w:val="0"/>
        <w:rPr>
          <w:rFonts w:ascii="TimesNewRoman" w:hAnsi="TimesNewRoman" w:cs="TimesNewRoman"/>
          <w:sz w:val="20"/>
          <w:highlight w:val="cyan"/>
          <w:lang w:val="en-US" w:eastAsia="ja-JP"/>
        </w:rPr>
      </w:pPr>
      <w:r w:rsidRPr="00D64D1D">
        <w:rPr>
          <w:rFonts w:ascii="TimesNewRoman" w:hAnsi="TimesNewRoman" w:cs="TimesNewRoman"/>
          <w:sz w:val="20"/>
          <w:highlight w:val="cyan"/>
          <w:lang w:val="en-US" w:eastAsia="ja-JP"/>
        </w:rPr>
        <w:t>If the MAC Address field is the broadcast address, then all Data or Management frames are counted toward the Frame report generated in response to this Frame request. For other MAC addresses, only frames matching this MAC address as the Transmitter Address are counted toward the Frame report generated in response to this Frame request.</w:t>
      </w:r>
    </w:p>
    <w:p w14:paraId="7518B671" w14:textId="77777777" w:rsidR="00D64D1D" w:rsidRPr="00D64D1D" w:rsidRDefault="00D64D1D" w:rsidP="00D64D1D">
      <w:pPr>
        <w:autoSpaceDE w:val="0"/>
        <w:autoSpaceDN w:val="0"/>
        <w:adjustRightInd w:val="0"/>
        <w:rPr>
          <w:highlight w:val="cyan"/>
        </w:rPr>
      </w:pPr>
    </w:p>
    <w:p w14:paraId="1E4B921F" w14:textId="628FFCB2" w:rsidR="00D64D1D" w:rsidRPr="00D64D1D" w:rsidRDefault="00D64D1D" w:rsidP="00377D83">
      <w:pPr>
        <w:rPr>
          <w:highlight w:val="cyan"/>
        </w:rPr>
      </w:pPr>
      <w:r w:rsidRPr="00D64D1D">
        <w:rPr>
          <w:highlight w:val="cyan"/>
        </w:rPr>
        <w:t>with:</w:t>
      </w:r>
    </w:p>
    <w:p w14:paraId="023A0538" w14:textId="67A836D2" w:rsidR="00D64D1D" w:rsidRPr="00A80A0D" w:rsidRDefault="00D64D1D" w:rsidP="00D64D1D">
      <w:pPr>
        <w:autoSpaceDE w:val="0"/>
        <w:autoSpaceDN w:val="0"/>
        <w:adjustRightInd w:val="0"/>
        <w:rPr>
          <w:bCs/>
          <w:szCs w:val="22"/>
        </w:rPr>
      </w:pPr>
      <w:r w:rsidRPr="00D64D1D">
        <w:rPr>
          <w:bCs/>
          <w:szCs w:val="22"/>
          <w:highlight w:val="cyan"/>
        </w:rPr>
        <w:t xml:space="preserve">The MAC Address field indicates the TA to match against Data and Management frames in order to </w:t>
      </w:r>
      <w:r w:rsidRPr="00D64D1D">
        <w:rPr>
          <w:rFonts w:ascii="TimesNewRoman" w:hAnsi="TimesNewRoman" w:cs="TimesNewRoman"/>
          <w:sz w:val="20"/>
          <w:highlight w:val="cyan"/>
          <w:lang w:val="en-US" w:eastAsia="ja-JP"/>
        </w:rPr>
        <w:t>count toward the Frame report generated in response to this Frame request.</w:t>
      </w:r>
    </w:p>
    <w:p w14:paraId="1902523F" w14:textId="7357CFD1" w:rsidR="00556719" w:rsidRDefault="00377D8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81431" w14:paraId="4315EB45" w14:textId="77777777" w:rsidTr="00F474C1">
        <w:trPr>
          <w:trHeight w:val="524"/>
        </w:trPr>
        <w:tc>
          <w:tcPr>
            <w:tcW w:w="738" w:type="dxa"/>
            <w:tcBorders>
              <w:top w:val="single" w:sz="4" w:space="0" w:color="auto"/>
              <w:left w:val="single" w:sz="4" w:space="0" w:color="auto"/>
              <w:bottom w:val="single" w:sz="4" w:space="0" w:color="auto"/>
              <w:right w:val="single" w:sz="4" w:space="0" w:color="auto"/>
            </w:tcBorders>
            <w:hideMark/>
          </w:tcPr>
          <w:p w14:paraId="4A4C5CFE" w14:textId="77777777" w:rsidR="00881431" w:rsidRDefault="00881431"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E984A3C" w14:textId="77777777" w:rsidR="00881431" w:rsidRDefault="00881431"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364CCBE" w14:textId="77777777" w:rsidR="00881431" w:rsidRDefault="00881431"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D0F730F" w14:textId="77777777" w:rsidR="00881431" w:rsidRDefault="00881431"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4BDDEB7" w14:textId="77777777" w:rsidR="00881431" w:rsidRDefault="00881431"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881431" w:rsidRPr="00DE7477" w14:paraId="026F5815" w14:textId="77777777" w:rsidTr="00F474C1">
        <w:trPr>
          <w:trHeight w:val="1275"/>
        </w:trPr>
        <w:tc>
          <w:tcPr>
            <w:tcW w:w="738" w:type="dxa"/>
            <w:hideMark/>
          </w:tcPr>
          <w:p w14:paraId="14E32966" w14:textId="77777777" w:rsidR="00881431" w:rsidRPr="00DE7477" w:rsidRDefault="00881431" w:rsidP="00F474C1">
            <w:pPr>
              <w:jc w:val="right"/>
              <w:rPr>
                <w:rFonts w:ascii="Arial" w:eastAsia="Times New Roman" w:hAnsi="Arial" w:cs="Arial"/>
                <w:sz w:val="20"/>
                <w:lang w:val="en-US"/>
              </w:rPr>
            </w:pPr>
            <w:r w:rsidRPr="00DE7477">
              <w:rPr>
                <w:rFonts w:ascii="Arial" w:eastAsia="Times New Roman" w:hAnsi="Arial" w:cs="Arial"/>
                <w:sz w:val="20"/>
                <w:lang w:val="en-US"/>
              </w:rPr>
              <w:t>4808</w:t>
            </w:r>
          </w:p>
        </w:tc>
        <w:tc>
          <w:tcPr>
            <w:tcW w:w="990" w:type="dxa"/>
            <w:hideMark/>
          </w:tcPr>
          <w:p w14:paraId="69B7ECC4" w14:textId="77777777" w:rsidR="00881431" w:rsidRPr="00DE7477" w:rsidRDefault="00881431" w:rsidP="00F474C1">
            <w:pPr>
              <w:jc w:val="right"/>
              <w:rPr>
                <w:rFonts w:ascii="Arial" w:eastAsia="Times New Roman" w:hAnsi="Arial" w:cs="Arial"/>
                <w:sz w:val="20"/>
                <w:lang w:val="en-US"/>
              </w:rPr>
            </w:pPr>
            <w:r w:rsidRPr="00DE7477">
              <w:rPr>
                <w:rFonts w:ascii="Arial" w:eastAsia="Times New Roman" w:hAnsi="Arial" w:cs="Arial"/>
                <w:sz w:val="20"/>
                <w:lang w:val="en-US"/>
              </w:rPr>
              <w:t>1543.10</w:t>
            </w:r>
          </w:p>
        </w:tc>
        <w:tc>
          <w:tcPr>
            <w:tcW w:w="1080" w:type="dxa"/>
            <w:hideMark/>
          </w:tcPr>
          <w:p w14:paraId="50031CAE" w14:textId="77777777" w:rsidR="00881431" w:rsidRPr="00DE7477" w:rsidRDefault="00881431" w:rsidP="00F474C1">
            <w:pPr>
              <w:rPr>
                <w:rFonts w:ascii="Arial" w:eastAsia="Times New Roman" w:hAnsi="Arial" w:cs="Arial"/>
                <w:sz w:val="20"/>
                <w:lang w:val="en-US"/>
              </w:rPr>
            </w:pPr>
            <w:r w:rsidRPr="00DE7477">
              <w:rPr>
                <w:rFonts w:ascii="Arial" w:eastAsia="Times New Roman" w:hAnsi="Arial" w:cs="Arial"/>
                <w:sz w:val="20"/>
                <w:lang w:val="en-US"/>
              </w:rPr>
              <w:t>9.6.7.16</w:t>
            </w:r>
          </w:p>
        </w:tc>
        <w:tc>
          <w:tcPr>
            <w:tcW w:w="3600" w:type="dxa"/>
            <w:hideMark/>
          </w:tcPr>
          <w:p w14:paraId="22701442" w14:textId="77777777" w:rsidR="00881431" w:rsidRPr="00DE7477" w:rsidRDefault="00881431" w:rsidP="00F474C1">
            <w:pPr>
              <w:rPr>
                <w:rFonts w:ascii="Arial" w:eastAsia="Times New Roman" w:hAnsi="Arial" w:cs="Arial"/>
                <w:sz w:val="20"/>
                <w:lang w:val="en-US"/>
              </w:rPr>
            </w:pPr>
            <w:r w:rsidRPr="00DE7477">
              <w:rPr>
                <w:rFonts w:ascii="Arial" w:eastAsia="Times New Roman" w:hAnsi="Arial" w:cs="Arial"/>
                <w:sz w:val="20"/>
                <w:lang w:val="en-US"/>
              </w:rPr>
              <w:t>RSNE, and FTE, are not "optionally present" if security is required.  They _are_ present if security is required.</w:t>
            </w:r>
          </w:p>
        </w:tc>
        <w:tc>
          <w:tcPr>
            <w:tcW w:w="3600" w:type="dxa"/>
            <w:hideMark/>
          </w:tcPr>
          <w:p w14:paraId="40C5E1AC" w14:textId="77777777" w:rsidR="00881431" w:rsidRPr="00DE7477" w:rsidRDefault="00881431" w:rsidP="00F474C1">
            <w:pPr>
              <w:rPr>
                <w:rFonts w:ascii="Arial" w:eastAsia="Times New Roman" w:hAnsi="Arial" w:cs="Arial"/>
                <w:sz w:val="20"/>
                <w:lang w:val="en-US"/>
              </w:rPr>
            </w:pPr>
            <w:r w:rsidRPr="00DE7477">
              <w:rPr>
                <w:rFonts w:ascii="Arial" w:eastAsia="Times New Roman" w:hAnsi="Arial" w:cs="Arial"/>
                <w:sz w:val="20"/>
                <w:lang w:val="en-US"/>
              </w:rPr>
              <w:t xml:space="preserve">Delete "optionally" at </w:t>
            </w:r>
            <w:bookmarkStart w:id="2" w:name="_Hlk41215546"/>
            <w:r w:rsidRPr="00DE7477">
              <w:rPr>
                <w:rFonts w:ascii="Arial" w:eastAsia="Times New Roman" w:hAnsi="Arial" w:cs="Arial"/>
                <w:sz w:val="20"/>
                <w:lang w:val="en-US"/>
              </w:rPr>
              <w:t>P1543.10 and P1543.18.</w:t>
            </w:r>
            <w:bookmarkEnd w:id="2"/>
          </w:p>
        </w:tc>
      </w:tr>
    </w:tbl>
    <w:p w14:paraId="1033B7A6" w14:textId="77777777" w:rsidR="00881431" w:rsidRDefault="00881431" w:rsidP="00881431">
      <w:pPr>
        <w:rPr>
          <w:bCs/>
          <w:szCs w:val="22"/>
        </w:rPr>
      </w:pPr>
    </w:p>
    <w:p w14:paraId="2B192184" w14:textId="77777777" w:rsidR="00881431" w:rsidRDefault="00881431" w:rsidP="00881431">
      <w:pPr>
        <w:rPr>
          <w:bCs/>
          <w:szCs w:val="22"/>
        </w:rPr>
      </w:pPr>
      <w:r>
        <w:rPr>
          <w:bCs/>
          <w:szCs w:val="22"/>
          <w:u w:val="single"/>
        </w:rPr>
        <w:t>Discussion:</w:t>
      </w:r>
    </w:p>
    <w:p w14:paraId="7E277FFE" w14:textId="1E1CA255" w:rsidR="00881431" w:rsidRDefault="00881431" w:rsidP="00881431">
      <w:pPr>
        <w:rPr>
          <w:bCs/>
          <w:szCs w:val="22"/>
        </w:rPr>
      </w:pPr>
    </w:p>
    <w:p w14:paraId="4B8C6434" w14:textId="2B7F79F6" w:rsidR="00881431" w:rsidRDefault="00881431" w:rsidP="00881431">
      <w:pPr>
        <w:rPr>
          <w:bCs/>
          <w:szCs w:val="22"/>
        </w:rPr>
      </w:pPr>
      <w:r>
        <w:rPr>
          <w:bCs/>
          <w:szCs w:val="22"/>
        </w:rPr>
        <w:t>From P1543:</w:t>
      </w:r>
    </w:p>
    <w:p w14:paraId="3B231CF4" w14:textId="276D1072" w:rsidR="00881431" w:rsidRPr="00852E21" w:rsidRDefault="00881431" w:rsidP="00881431">
      <w:pPr>
        <w:rPr>
          <w:bCs/>
          <w:noProof/>
          <w:szCs w:val="22"/>
          <w:bdr w:val="single" w:sz="8" w:space="0" w:color="auto" w:shadow="1"/>
        </w:rPr>
      </w:pPr>
      <w:r w:rsidRPr="00852E21">
        <w:rPr>
          <w:bCs/>
          <w:noProof/>
          <w:szCs w:val="22"/>
          <w:bdr w:val="single" w:sz="8" w:space="0" w:color="auto" w:shadow="1"/>
        </w:rPr>
        <w:drawing>
          <wp:inline distT="0" distB="0" distL="0" distR="0" wp14:anchorId="6D450EEE" wp14:editId="1A115EC3">
            <wp:extent cx="6400800" cy="28232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2823210"/>
                    </a:xfrm>
                    <a:prstGeom prst="rect">
                      <a:avLst/>
                    </a:prstGeom>
                    <a:noFill/>
                    <a:ln>
                      <a:noFill/>
                    </a:ln>
                  </pic:spPr>
                </pic:pic>
              </a:graphicData>
            </a:graphic>
          </wp:inline>
        </w:drawing>
      </w:r>
    </w:p>
    <w:p w14:paraId="15B4B6B0" w14:textId="24AE7827" w:rsidR="00881431" w:rsidRDefault="00881431" w:rsidP="00881431">
      <w:pPr>
        <w:rPr>
          <w:bCs/>
          <w:szCs w:val="22"/>
        </w:rPr>
      </w:pPr>
    </w:p>
    <w:p w14:paraId="544448A8" w14:textId="575E7F86" w:rsidR="00881431" w:rsidRDefault="00C03EEB" w:rsidP="00C03EEB">
      <w:pPr>
        <w:autoSpaceDE w:val="0"/>
        <w:autoSpaceDN w:val="0"/>
        <w:adjustRightInd w:val="0"/>
        <w:rPr>
          <w:bCs/>
          <w:szCs w:val="22"/>
        </w:rPr>
      </w:pPr>
      <w:r>
        <w:rPr>
          <w:bCs/>
          <w:szCs w:val="22"/>
        </w:rPr>
        <w:t xml:space="preserve">In TDLS Setup frames, the language is (for the RSNE, for example, FTE is similar): </w:t>
      </w:r>
      <w:r w:rsidRPr="00C03EEB">
        <w:rPr>
          <w:bCs/>
          <w:sz w:val="20"/>
        </w:rPr>
        <w:t>“</w:t>
      </w:r>
      <w:r w:rsidRPr="00C03EEB">
        <w:rPr>
          <w:rFonts w:ascii="TimesNewRomanPSMT" w:eastAsia="TimesNewRomanPSMT" w:cs="TimesNewRomanPSMT"/>
          <w:sz w:val="20"/>
          <w:lang w:val="en-US" w:eastAsia="ja-JP"/>
        </w:rPr>
        <w:t>The RSNE is present if security is required on the TDLS direct link and the Status Code is SUCCESS, and not present otherwise. The RSNE is defined in 9.4.2.24 (RSNE).</w:t>
      </w:r>
      <w:r w:rsidRPr="00C03EEB">
        <w:rPr>
          <w:rFonts w:ascii="TimesNewRomanPSMT" w:eastAsia="TimesNewRomanPSMT" w:cs="TimesNewRomanPSMT"/>
          <w:sz w:val="20"/>
          <w:lang w:val="en-US" w:eastAsia="ja-JP"/>
        </w:rPr>
        <w:t>”</w:t>
      </w:r>
    </w:p>
    <w:p w14:paraId="6AA0B069" w14:textId="6F5F93B6" w:rsidR="00881431" w:rsidRDefault="00881431" w:rsidP="00881431">
      <w:pPr>
        <w:rPr>
          <w:bCs/>
          <w:szCs w:val="22"/>
        </w:rPr>
      </w:pPr>
    </w:p>
    <w:p w14:paraId="40B28FC8" w14:textId="679D7A1D" w:rsidR="00C03EEB" w:rsidRDefault="00B434B2" w:rsidP="00881431">
      <w:pPr>
        <w:rPr>
          <w:rFonts w:ascii="TimesNewRomanPSMT" w:eastAsia="TimesNewRomanPSMT" w:cs="TimesNewRomanPSMT"/>
          <w:sz w:val="20"/>
          <w:lang w:val="en-US" w:eastAsia="ja-JP"/>
        </w:rPr>
      </w:pPr>
      <w:r>
        <w:rPr>
          <w:bCs/>
          <w:szCs w:val="22"/>
        </w:rPr>
        <w:t>Per 11.21.1 (General subclause of Tunneled direct-link setup): “</w:t>
      </w:r>
      <w:r>
        <w:rPr>
          <w:rFonts w:ascii="TimesNewRomanPSMT" w:eastAsia="TimesNewRomanPSMT" w:cs="TimesNewRomanPSMT"/>
          <w:sz w:val="20"/>
          <w:lang w:val="en-US" w:eastAsia="ja-JP"/>
        </w:rPr>
        <w:t>Security is available on the TDLS direct link only when both TDLS peer STAs have an RSNA with the BSS.</w:t>
      </w:r>
      <w:r>
        <w:rPr>
          <w:rFonts w:ascii="TimesNewRomanPSMT" w:eastAsia="TimesNewRomanPSMT" w:cs="TimesNewRomanPSMT"/>
          <w:sz w:val="20"/>
          <w:lang w:val="en-US" w:eastAsia="ja-JP"/>
        </w:rPr>
        <w:t>”</w:t>
      </w:r>
    </w:p>
    <w:p w14:paraId="1F628A4C" w14:textId="22605556" w:rsidR="00B434B2" w:rsidRDefault="00B434B2" w:rsidP="00881431">
      <w:pPr>
        <w:rPr>
          <w:rFonts w:ascii="TimesNewRomanPSMT" w:eastAsia="TimesNewRomanPSMT" w:cs="TimesNewRomanPSMT"/>
          <w:sz w:val="20"/>
          <w:lang w:val="en-US" w:eastAsia="ja-JP"/>
        </w:rPr>
      </w:pPr>
    </w:p>
    <w:p w14:paraId="64B681E8" w14:textId="57D08611" w:rsidR="00B434B2" w:rsidRDefault="00B434B2" w:rsidP="00B434B2">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12.7.8.4.2 (TPK handshake message 1):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initiator STA has security enabled on the link with the AP, it shall add an RSNE, FTE, and Timeout Interval element to its TDLS Setup Request frame.</w:t>
      </w:r>
      <w:r>
        <w:rPr>
          <w:rFonts w:ascii="TimesNewRomanPSMT" w:eastAsia="TimesNewRomanPSMT" w:cs="TimesNewRomanPSMT"/>
          <w:sz w:val="20"/>
          <w:lang w:val="en-US" w:eastAsia="ja-JP"/>
        </w:rPr>
        <w:t>”</w:t>
      </w:r>
    </w:p>
    <w:p w14:paraId="75B40ED8" w14:textId="17AA580D" w:rsidR="00B434B2" w:rsidRDefault="00B434B2" w:rsidP="00B434B2">
      <w:pPr>
        <w:autoSpaceDE w:val="0"/>
        <w:autoSpaceDN w:val="0"/>
        <w:adjustRightInd w:val="0"/>
        <w:rPr>
          <w:rFonts w:ascii="TimesNewRomanPSMT" w:eastAsia="TimesNewRomanPSMT" w:cs="TimesNewRomanPSMT"/>
          <w:sz w:val="20"/>
          <w:lang w:val="en-US" w:eastAsia="ja-JP"/>
        </w:rPr>
      </w:pPr>
    </w:p>
    <w:p w14:paraId="7D00ADA1" w14:textId="25C8D3F4" w:rsidR="00B434B2" w:rsidRDefault="00B434B2" w:rsidP="00B434B2">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12.7.8.4.3 (TPK handshake message 2):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responder STA validates the TPK handshake message 1 for this TDLS instance, the TDLS responder STA may respond with TPK handshake message 2. To do so, the TDLS responder STA shall add an RSNE, FTE, and Timeout Interval element to its TDLS Setup Response frame.</w:t>
      </w:r>
      <w:r>
        <w:rPr>
          <w:rFonts w:ascii="TimesNewRomanPSMT" w:eastAsia="TimesNewRomanPSMT" w:cs="TimesNewRomanPSMT"/>
          <w:sz w:val="20"/>
          <w:lang w:val="en-US" w:eastAsia="ja-JP"/>
        </w:rPr>
        <w:t>”</w:t>
      </w:r>
    </w:p>
    <w:p w14:paraId="2477ECB1" w14:textId="27C00CDB" w:rsidR="00B434B2" w:rsidRDefault="00B434B2" w:rsidP="00B434B2">
      <w:pPr>
        <w:autoSpaceDE w:val="0"/>
        <w:autoSpaceDN w:val="0"/>
        <w:adjustRightInd w:val="0"/>
        <w:rPr>
          <w:rFonts w:ascii="TimesNewRomanPSMT" w:eastAsia="TimesNewRomanPSMT" w:cs="TimesNewRomanPSMT"/>
          <w:sz w:val="20"/>
          <w:lang w:val="en-US" w:eastAsia="ja-JP"/>
        </w:rPr>
      </w:pPr>
    </w:p>
    <w:p w14:paraId="0DB9FD23" w14:textId="43DACB43" w:rsidR="00B434B2" w:rsidRDefault="00B434B2" w:rsidP="00B434B2">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Thus, it appears that the RSNE and FTE elements shall be present when security is enabled on the link to the AP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with the BSS</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 on both the initiator and responder.</w:t>
      </w:r>
    </w:p>
    <w:p w14:paraId="3BB49744" w14:textId="1A1BE1F3" w:rsidR="00B434B2" w:rsidRDefault="00B434B2" w:rsidP="00B434B2">
      <w:pPr>
        <w:autoSpaceDE w:val="0"/>
        <w:autoSpaceDN w:val="0"/>
        <w:adjustRightInd w:val="0"/>
        <w:rPr>
          <w:rFonts w:ascii="TimesNewRomanPSMT" w:eastAsia="TimesNewRomanPSMT" w:cs="TimesNewRomanPSMT"/>
          <w:sz w:val="20"/>
          <w:lang w:val="en-US" w:eastAsia="ja-JP"/>
        </w:rPr>
      </w:pPr>
    </w:p>
    <w:p w14:paraId="3AB7DD60" w14:textId="159C8533" w:rsidR="00B434B2" w:rsidRDefault="00B434B2" w:rsidP="00B434B2">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In Table 9-373, we are dealing with TDLS Discovery.  As the TDLS Discovery Request frame does not appear to provide security/RSN information for the potential TDLS initiator, at the time of responding to the discovery, the responder can only indicate whether it does have </w:t>
      </w:r>
      <w:r w:rsidR="00535B5E">
        <w:rPr>
          <w:rFonts w:ascii="TimesNewRomanPSMT" w:eastAsia="TimesNewRomanPSMT" w:cs="TimesNewRomanPSMT"/>
          <w:sz w:val="20"/>
          <w:lang w:val="en-US" w:eastAsia="ja-JP"/>
        </w:rPr>
        <w:t>security enabled with the BSS, and security would be available on the TDLS link, if the initiator also has security enabled.</w:t>
      </w:r>
    </w:p>
    <w:p w14:paraId="30AEA076" w14:textId="364EABC7" w:rsidR="00535B5E" w:rsidRDefault="00535B5E" w:rsidP="00B434B2">
      <w:pPr>
        <w:autoSpaceDE w:val="0"/>
        <w:autoSpaceDN w:val="0"/>
        <w:adjustRightInd w:val="0"/>
        <w:rPr>
          <w:rFonts w:ascii="TimesNewRomanPSMT" w:eastAsia="TimesNewRomanPSMT" w:cs="TimesNewRomanPSMT"/>
          <w:sz w:val="20"/>
          <w:lang w:val="en-US" w:eastAsia="ja-JP"/>
        </w:rPr>
      </w:pPr>
    </w:p>
    <w:p w14:paraId="0320D421" w14:textId="4C88945A" w:rsidR="00535B5E" w:rsidRDefault="00535B5E" w:rsidP="00B434B2">
      <w:pPr>
        <w:autoSpaceDE w:val="0"/>
        <w:autoSpaceDN w:val="0"/>
        <w:adjustRightInd w:val="0"/>
        <w:rPr>
          <w:bCs/>
          <w:szCs w:val="22"/>
        </w:rPr>
      </w:pPr>
      <w:r>
        <w:rPr>
          <w:rFonts w:ascii="TimesNewRomanPSMT" w:eastAsia="TimesNewRomanPSMT" w:cs="TimesNewRomanPSMT"/>
          <w:sz w:val="20"/>
          <w:lang w:val="en-US" w:eastAsia="ja-JP"/>
        </w:rPr>
        <w:t>Thus, in the TDLS Discovery Response frame, the RSNE and FTE must be present if the transmitter has security enabled on the link with the AP.</w:t>
      </w:r>
    </w:p>
    <w:p w14:paraId="225250D5" w14:textId="77777777" w:rsidR="00C03EEB" w:rsidRPr="00A64508" w:rsidRDefault="00C03EEB" w:rsidP="00881431">
      <w:pPr>
        <w:rPr>
          <w:bCs/>
          <w:szCs w:val="22"/>
        </w:rPr>
      </w:pPr>
    </w:p>
    <w:p w14:paraId="50D13C47" w14:textId="77777777" w:rsidR="00881431" w:rsidRPr="00A64508" w:rsidRDefault="00881431" w:rsidP="00881431">
      <w:pPr>
        <w:rPr>
          <w:bCs/>
          <w:szCs w:val="22"/>
        </w:rPr>
      </w:pPr>
      <w:r w:rsidRPr="00621DD6">
        <w:rPr>
          <w:bCs/>
          <w:szCs w:val="22"/>
          <w:highlight w:val="yellow"/>
          <w:u w:val="single"/>
        </w:rPr>
        <w:lastRenderedPageBreak/>
        <w:t>Proposed Resolution:</w:t>
      </w:r>
    </w:p>
    <w:p w14:paraId="06024E6E" w14:textId="77777777" w:rsidR="00881431" w:rsidRPr="00A64508" w:rsidRDefault="00881431" w:rsidP="00881431">
      <w:pPr>
        <w:rPr>
          <w:bCs/>
          <w:szCs w:val="22"/>
        </w:rPr>
      </w:pPr>
    </w:p>
    <w:p w14:paraId="21879540" w14:textId="77777777" w:rsidR="00881431" w:rsidRPr="00A64508" w:rsidRDefault="00881431" w:rsidP="00881431">
      <w:pPr>
        <w:rPr>
          <w:bCs/>
          <w:szCs w:val="22"/>
        </w:rPr>
      </w:pPr>
      <w:r w:rsidRPr="00A64508">
        <w:rPr>
          <w:bCs/>
          <w:szCs w:val="22"/>
        </w:rPr>
        <w:t>Revised.</w:t>
      </w:r>
    </w:p>
    <w:p w14:paraId="69757012" w14:textId="2EB01C09" w:rsidR="00881431" w:rsidRDefault="00881431" w:rsidP="00881431">
      <w:pPr>
        <w:rPr>
          <w:bCs/>
          <w:szCs w:val="22"/>
        </w:rPr>
      </w:pPr>
    </w:p>
    <w:p w14:paraId="353048DB" w14:textId="6F284100" w:rsidR="00535B5E" w:rsidRDefault="00535B5E" w:rsidP="00881431">
      <w:pPr>
        <w:rPr>
          <w:bCs/>
          <w:szCs w:val="22"/>
        </w:rPr>
      </w:pPr>
      <w:r>
        <w:rPr>
          <w:bCs/>
          <w:szCs w:val="22"/>
        </w:rPr>
        <w:t xml:space="preserve">At </w:t>
      </w:r>
      <w:r w:rsidRPr="00535B5E">
        <w:rPr>
          <w:bCs/>
          <w:szCs w:val="22"/>
        </w:rPr>
        <w:t>P1543.10 and P1543.18</w:t>
      </w:r>
      <w:r>
        <w:rPr>
          <w:bCs/>
          <w:szCs w:val="22"/>
        </w:rPr>
        <w:t>, replace:</w:t>
      </w:r>
    </w:p>
    <w:p w14:paraId="601993F8" w14:textId="0C18AC6C" w:rsidR="00535B5E" w:rsidRDefault="00535B5E" w:rsidP="00881431">
      <w:pPr>
        <w:rPr>
          <w:bCs/>
          <w:szCs w:val="22"/>
        </w:rPr>
      </w:pPr>
      <w:r>
        <w:rPr>
          <w:bCs/>
          <w:szCs w:val="22"/>
        </w:rPr>
        <w:t>“is optionally present if security is required on the direct link.”</w:t>
      </w:r>
    </w:p>
    <w:p w14:paraId="5A1FDF21" w14:textId="13BFE54F" w:rsidR="00535B5E" w:rsidRDefault="00535B5E" w:rsidP="00881431">
      <w:pPr>
        <w:rPr>
          <w:bCs/>
          <w:szCs w:val="22"/>
        </w:rPr>
      </w:pPr>
    </w:p>
    <w:p w14:paraId="43CCC5E4" w14:textId="28A3A42B" w:rsidR="00535B5E" w:rsidRDefault="00535B5E" w:rsidP="00881431">
      <w:pPr>
        <w:rPr>
          <w:bCs/>
          <w:szCs w:val="22"/>
        </w:rPr>
      </w:pPr>
      <w:r>
        <w:rPr>
          <w:bCs/>
          <w:szCs w:val="22"/>
        </w:rPr>
        <w:t>with:</w:t>
      </w:r>
    </w:p>
    <w:p w14:paraId="51B18981" w14:textId="299B7484" w:rsidR="00535B5E" w:rsidRPr="00A64508" w:rsidRDefault="00535B5E" w:rsidP="00881431">
      <w:pPr>
        <w:rPr>
          <w:bCs/>
          <w:szCs w:val="22"/>
        </w:rPr>
      </w:pPr>
      <w:r>
        <w:rPr>
          <w:bCs/>
          <w:szCs w:val="22"/>
        </w:rPr>
        <w:t>“is present if the transmitting STA has security enabled on its link with the AP”.</w:t>
      </w:r>
    </w:p>
    <w:p w14:paraId="58206EA8" w14:textId="77777777" w:rsidR="00F53F01" w:rsidRDefault="00881431" w:rsidP="0088143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53F01" w14:paraId="23CF9511" w14:textId="77777777" w:rsidTr="00F474C1">
        <w:trPr>
          <w:trHeight w:val="524"/>
        </w:trPr>
        <w:tc>
          <w:tcPr>
            <w:tcW w:w="738" w:type="dxa"/>
            <w:tcBorders>
              <w:top w:val="single" w:sz="4" w:space="0" w:color="auto"/>
              <w:left w:val="single" w:sz="4" w:space="0" w:color="auto"/>
              <w:bottom w:val="single" w:sz="4" w:space="0" w:color="auto"/>
              <w:right w:val="single" w:sz="4" w:space="0" w:color="auto"/>
            </w:tcBorders>
            <w:hideMark/>
          </w:tcPr>
          <w:p w14:paraId="6F41FE24" w14:textId="77777777" w:rsidR="00F53F01" w:rsidRDefault="00F53F01"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1BFA67C" w14:textId="77777777" w:rsidR="00F53F01" w:rsidRDefault="00F53F01"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062C32E" w14:textId="77777777" w:rsidR="00F53F01" w:rsidRDefault="00F53F01"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7E69746" w14:textId="77777777" w:rsidR="00F53F01" w:rsidRDefault="00F53F01"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44630EB" w14:textId="77777777" w:rsidR="00F53F01" w:rsidRDefault="00F53F01"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53F01" w:rsidRPr="00DE7477" w14:paraId="5C340FDB" w14:textId="77777777" w:rsidTr="00F53F01">
        <w:trPr>
          <w:trHeight w:val="623"/>
        </w:trPr>
        <w:tc>
          <w:tcPr>
            <w:tcW w:w="738" w:type="dxa"/>
            <w:hideMark/>
          </w:tcPr>
          <w:p w14:paraId="6D968404" w14:textId="47B9A52B" w:rsidR="00F53F01" w:rsidRPr="00DE7477" w:rsidRDefault="00F53F01" w:rsidP="00F474C1">
            <w:pPr>
              <w:jc w:val="right"/>
              <w:rPr>
                <w:rFonts w:ascii="Arial" w:eastAsia="Times New Roman" w:hAnsi="Arial" w:cs="Arial"/>
                <w:sz w:val="20"/>
                <w:lang w:val="en-US"/>
              </w:rPr>
            </w:pPr>
            <w:r>
              <w:rPr>
                <w:rFonts w:ascii="Arial" w:eastAsia="Times New Roman" w:hAnsi="Arial" w:cs="Arial"/>
                <w:sz w:val="20"/>
                <w:lang w:val="en-US"/>
              </w:rPr>
              <w:t>4653</w:t>
            </w:r>
          </w:p>
        </w:tc>
        <w:tc>
          <w:tcPr>
            <w:tcW w:w="990" w:type="dxa"/>
            <w:hideMark/>
          </w:tcPr>
          <w:p w14:paraId="42537B4C" w14:textId="243D71F5" w:rsidR="00F53F01" w:rsidRPr="00DE7477" w:rsidRDefault="00F53F01" w:rsidP="00F474C1">
            <w:pPr>
              <w:jc w:val="right"/>
              <w:rPr>
                <w:rFonts w:ascii="Arial" w:eastAsia="Times New Roman" w:hAnsi="Arial" w:cs="Arial"/>
                <w:sz w:val="20"/>
                <w:lang w:val="en-US"/>
              </w:rPr>
            </w:pPr>
            <w:r>
              <w:rPr>
                <w:rFonts w:ascii="Arial" w:eastAsia="Times New Roman" w:hAnsi="Arial" w:cs="Arial"/>
                <w:sz w:val="20"/>
                <w:lang w:val="en-US"/>
              </w:rPr>
              <w:t>885.35</w:t>
            </w:r>
          </w:p>
        </w:tc>
        <w:tc>
          <w:tcPr>
            <w:tcW w:w="1080" w:type="dxa"/>
            <w:hideMark/>
          </w:tcPr>
          <w:p w14:paraId="17ADF78A" w14:textId="177EB714" w:rsidR="00F53F01" w:rsidRPr="00DE7477" w:rsidRDefault="00F53F01" w:rsidP="00F474C1">
            <w:pPr>
              <w:rPr>
                <w:rFonts w:ascii="Arial" w:eastAsia="Times New Roman" w:hAnsi="Arial" w:cs="Arial"/>
                <w:sz w:val="20"/>
                <w:lang w:val="en-US"/>
              </w:rPr>
            </w:pPr>
            <w:r w:rsidRPr="00F53F01">
              <w:rPr>
                <w:rFonts w:ascii="Arial" w:eastAsia="Times New Roman" w:hAnsi="Arial" w:cs="Arial"/>
                <w:sz w:val="20"/>
                <w:lang w:val="en-US"/>
              </w:rPr>
              <w:t>9.3.3.11</w:t>
            </w:r>
          </w:p>
        </w:tc>
        <w:tc>
          <w:tcPr>
            <w:tcW w:w="3600" w:type="dxa"/>
            <w:hideMark/>
          </w:tcPr>
          <w:p w14:paraId="07FE3650" w14:textId="7D84F9A3" w:rsidR="00F53F01" w:rsidRPr="00DE7477" w:rsidRDefault="00F53F01" w:rsidP="00F474C1">
            <w:pPr>
              <w:rPr>
                <w:rFonts w:ascii="Arial" w:eastAsia="Times New Roman" w:hAnsi="Arial" w:cs="Arial"/>
                <w:sz w:val="20"/>
                <w:lang w:val="en-US"/>
              </w:rPr>
            </w:pPr>
            <w:r w:rsidRPr="00F53F01">
              <w:rPr>
                <w:rFonts w:ascii="Arial" w:eastAsia="Times New Roman" w:hAnsi="Arial" w:cs="Arial"/>
                <w:sz w:val="20"/>
                <w:lang w:val="en-US"/>
              </w:rPr>
              <w:t>"conditionally present" is not clear</w:t>
            </w:r>
          </w:p>
        </w:tc>
        <w:tc>
          <w:tcPr>
            <w:tcW w:w="3600" w:type="dxa"/>
            <w:hideMark/>
          </w:tcPr>
          <w:p w14:paraId="3E7651FC" w14:textId="7295EC37" w:rsidR="00F53F01" w:rsidRPr="00DE7477" w:rsidRDefault="00F53F01" w:rsidP="00F474C1">
            <w:pPr>
              <w:rPr>
                <w:rFonts w:ascii="Arial" w:eastAsia="Times New Roman" w:hAnsi="Arial" w:cs="Arial"/>
                <w:sz w:val="20"/>
                <w:lang w:val="en-US"/>
              </w:rPr>
            </w:pPr>
            <w:r w:rsidRPr="00F53F01">
              <w:rPr>
                <w:rFonts w:ascii="Arial" w:eastAsia="Times New Roman" w:hAnsi="Arial" w:cs="Arial"/>
                <w:sz w:val="20"/>
                <w:lang w:val="en-US"/>
              </w:rPr>
              <w:t>Change to "optionally present"</w:t>
            </w:r>
          </w:p>
        </w:tc>
      </w:tr>
    </w:tbl>
    <w:p w14:paraId="54512032" w14:textId="77777777" w:rsidR="00F53F01" w:rsidRDefault="00F53F01" w:rsidP="00F53F01">
      <w:pPr>
        <w:rPr>
          <w:bCs/>
          <w:szCs w:val="22"/>
        </w:rPr>
      </w:pPr>
    </w:p>
    <w:p w14:paraId="474CFD9F" w14:textId="77777777" w:rsidR="00F53F01" w:rsidRDefault="00F53F01" w:rsidP="00F53F01">
      <w:pPr>
        <w:rPr>
          <w:bCs/>
          <w:szCs w:val="22"/>
        </w:rPr>
      </w:pPr>
      <w:r>
        <w:rPr>
          <w:bCs/>
          <w:szCs w:val="22"/>
          <w:u w:val="single"/>
        </w:rPr>
        <w:t>Discussion:</w:t>
      </w:r>
    </w:p>
    <w:p w14:paraId="43919D32" w14:textId="77777777" w:rsidR="00F53F01" w:rsidRDefault="00F53F01" w:rsidP="00F53F01">
      <w:pPr>
        <w:rPr>
          <w:bCs/>
          <w:szCs w:val="22"/>
        </w:rPr>
      </w:pPr>
    </w:p>
    <w:p w14:paraId="44485C6F" w14:textId="77777777" w:rsidR="00F53F01" w:rsidRPr="001A1B4F" w:rsidRDefault="00F53F01" w:rsidP="00F53F01">
      <w:pPr>
        <w:rPr>
          <w:bCs/>
          <w:noProof/>
          <w:szCs w:val="22"/>
          <w:bdr w:val="single" w:sz="8" w:space="0" w:color="auto" w:shadow="1"/>
        </w:rPr>
      </w:pPr>
      <w:r w:rsidRPr="001A1B4F">
        <w:rPr>
          <w:bCs/>
          <w:noProof/>
          <w:szCs w:val="22"/>
          <w:bdr w:val="single" w:sz="8" w:space="0" w:color="auto" w:shadow="1"/>
        </w:rPr>
        <w:drawing>
          <wp:inline distT="0" distB="0" distL="0" distR="0" wp14:anchorId="003E3855" wp14:editId="6E03CC40">
            <wp:extent cx="6026785" cy="2076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6785" cy="207645"/>
                    </a:xfrm>
                    <a:prstGeom prst="rect">
                      <a:avLst/>
                    </a:prstGeom>
                    <a:noFill/>
                    <a:ln>
                      <a:noFill/>
                    </a:ln>
                  </pic:spPr>
                </pic:pic>
              </a:graphicData>
            </a:graphic>
          </wp:inline>
        </w:drawing>
      </w:r>
    </w:p>
    <w:p w14:paraId="270EDCED" w14:textId="77777777" w:rsidR="00F53F01" w:rsidRPr="001A1B4F" w:rsidRDefault="00F53F01" w:rsidP="00F53F01">
      <w:pPr>
        <w:rPr>
          <w:bCs/>
          <w:noProof/>
          <w:szCs w:val="22"/>
          <w:bdr w:val="single" w:sz="8" w:space="0" w:color="auto" w:shadow="1"/>
        </w:rPr>
      </w:pPr>
      <w:r>
        <w:rPr>
          <w:bCs/>
          <w:noProof/>
          <w:szCs w:val="22"/>
        </w:rPr>
        <mc:AlternateContent>
          <mc:Choice Requires="wpi">
            <w:drawing>
              <wp:anchor distT="0" distB="0" distL="114300" distR="114300" simplePos="0" relativeHeight="251683840" behindDoc="0" locked="0" layoutInCell="1" allowOverlap="1" wp14:anchorId="22BF9602" wp14:editId="2AEA9C06">
                <wp:simplePos x="0" y="0"/>
                <wp:positionH relativeFrom="column">
                  <wp:posOffset>4891327</wp:posOffset>
                </wp:positionH>
                <wp:positionV relativeFrom="paragraph">
                  <wp:posOffset>2101239</wp:posOffset>
                </wp:positionV>
                <wp:extent cx="902880" cy="41760"/>
                <wp:effectExtent l="95250" t="152400" r="107315" b="168275"/>
                <wp:wrapNone/>
                <wp:docPr id="19" name="Ink 19"/>
                <wp:cNvGraphicFramePr/>
                <a:graphic xmlns:a="http://schemas.openxmlformats.org/drawingml/2006/main">
                  <a:graphicData uri="http://schemas.microsoft.com/office/word/2010/wordprocessingInk">
                    <w14:contentPart bwMode="auto" r:id="rId18">
                      <w14:nvContentPartPr>
                        <w14:cNvContentPartPr/>
                      </w14:nvContentPartPr>
                      <w14:xfrm>
                        <a:off x="0" y="0"/>
                        <a:ext cx="902880" cy="41760"/>
                      </w14:xfrm>
                    </w14:contentPart>
                  </a:graphicData>
                </a:graphic>
              </wp:anchor>
            </w:drawing>
          </mc:Choice>
          <mc:Fallback>
            <w:pict>
              <v:shapetype w14:anchorId="6457C44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 o:spid="_x0000_s1026" type="#_x0000_t75" style="position:absolute;margin-left:380.9pt;margin-top:156.95pt;width:79.6pt;height:20.3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">
                <v:imagedata r:id="rId19" o:title=""/>
              </v:shape>
            </w:pict>
          </mc:Fallback>
        </mc:AlternateContent>
      </w:r>
      <w:r w:rsidRPr="001A1B4F">
        <w:rPr>
          <w:bCs/>
          <w:noProof/>
          <w:szCs w:val="22"/>
          <w:bdr w:val="single" w:sz="8" w:space="0" w:color="auto" w:shadow="1"/>
        </w:rPr>
        <w:drawing>
          <wp:inline distT="0" distB="0" distL="0" distR="0" wp14:anchorId="05706F18" wp14:editId="4562A830">
            <wp:extent cx="6038850" cy="24168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8850" cy="2416810"/>
                    </a:xfrm>
                    <a:prstGeom prst="rect">
                      <a:avLst/>
                    </a:prstGeom>
                    <a:noFill/>
                    <a:ln>
                      <a:noFill/>
                    </a:ln>
                  </pic:spPr>
                </pic:pic>
              </a:graphicData>
            </a:graphic>
          </wp:inline>
        </w:drawing>
      </w:r>
    </w:p>
    <w:p w14:paraId="2F8CB1E6" w14:textId="77777777" w:rsidR="00F53F01" w:rsidRDefault="00F53F01" w:rsidP="00F53F01">
      <w:pPr>
        <w:rPr>
          <w:bCs/>
          <w:szCs w:val="22"/>
        </w:rPr>
      </w:pPr>
    </w:p>
    <w:p w14:paraId="094D2BE1" w14:textId="47D4A6A0" w:rsidR="00F53F01" w:rsidRDefault="00F53F01" w:rsidP="00F53F01">
      <w:pPr>
        <w:rPr>
          <w:bCs/>
          <w:szCs w:val="22"/>
        </w:rPr>
      </w:pPr>
      <w:r>
        <w:rPr>
          <w:bCs/>
          <w:szCs w:val="22"/>
        </w:rPr>
        <w:t>A very similar CID 4652 was previously reviewed and agreed to be “Accepted” to change “conditionally present” to just “present” (see elsewhere in this document).  However, that analysis was that “conditionally present” is not the correct/usual text.  No analysis was done on whether the field should be optional or not, at that time.</w:t>
      </w:r>
    </w:p>
    <w:p w14:paraId="4409215D" w14:textId="2D51D370" w:rsidR="00F53F01" w:rsidRDefault="00F53F01" w:rsidP="00F53F01">
      <w:pPr>
        <w:rPr>
          <w:bCs/>
          <w:szCs w:val="22"/>
        </w:rPr>
      </w:pPr>
    </w:p>
    <w:p w14:paraId="372943AF" w14:textId="48147E78" w:rsidR="00F53F01" w:rsidRDefault="00F53F01" w:rsidP="00F53F01">
      <w:pPr>
        <w:rPr>
          <w:bCs/>
          <w:szCs w:val="22"/>
        </w:rPr>
      </w:pPr>
      <w:r>
        <w:rPr>
          <w:bCs/>
          <w:szCs w:val="22"/>
        </w:rPr>
        <w:t>To answer the question on optionality, we look at P2574, in subclause 12.4.</w:t>
      </w:r>
      <w:r w:rsidR="00991198">
        <w:rPr>
          <w:bCs/>
          <w:szCs w:val="22"/>
        </w:rPr>
        <w:t>5</w:t>
      </w:r>
      <w:r>
        <w:rPr>
          <w:bCs/>
          <w:szCs w:val="22"/>
        </w:rPr>
        <w:t xml:space="preserve">.4, </w:t>
      </w:r>
      <w:r w:rsidR="00991198" w:rsidRPr="00991198">
        <w:rPr>
          <w:bCs/>
          <w:szCs w:val="22"/>
        </w:rPr>
        <w:t>Processing of a peer’s SAE Commit message</w:t>
      </w:r>
      <w:r>
        <w:rPr>
          <w:bCs/>
          <w:szCs w:val="22"/>
        </w:rPr>
        <w:t>:</w:t>
      </w:r>
    </w:p>
    <w:p w14:paraId="5DB5B8F1" w14:textId="77777777" w:rsidR="00991198" w:rsidRDefault="00991198" w:rsidP="00F53F01">
      <w:pPr>
        <w:rPr>
          <w:bCs/>
          <w:szCs w:val="22"/>
        </w:rPr>
      </w:pPr>
    </w:p>
    <w:p w14:paraId="39664C6C" w14:textId="7F4B5267" w:rsidR="00F53F01" w:rsidRPr="00852E21" w:rsidRDefault="00991198" w:rsidP="00F53F01">
      <w:pPr>
        <w:rPr>
          <w:bCs/>
          <w:noProof/>
          <w:szCs w:val="22"/>
          <w:bdr w:val="single" w:sz="8" w:space="0" w:color="auto" w:shadow="1"/>
        </w:rPr>
      </w:pPr>
      <w:r w:rsidRPr="00852E21">
        <w:rPr>
          <w:bCs/>
          <w:noProof/>
          <w:szCs w:val="22"/>
          <w:bdr w:val="single" w:sz="8" w:space="0" w:color="auto" w:shadow="1"/>
        </w:rPr>
        <w:drawing>
          <wp:inline distT="0" distB="0" distL="0" distR="0" wp14:anchorId="2F40E60D" wp14:editId="446C06BD">
            <wp:extent cx="6404610" cy="113601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4610" cy="1136015"/>
                    </a:xfrm>
                    <a:prstGeom prst="rect">
                      <a:avLst/>
                    </a:prstGeom>
                    <a:noFill/>
                    <a:ln>
                      <a:noFill/>
                    </a:ln>
                  </pic:spPr>
                </pic:pic>
              </a:graphicData>
            </a:graphic>
          </wp:inline>
        </w:drawing>
      </w:r>
    </w:p>
    <w:p w14:paraId="7BEDB7CE" w14:textId="5DB901E6" w:rsidR="00F53F01" w:rsidRDefault="00F53F01" w:rsidP="00F53F01">
      <w:pPr>
        <w:rPr>
          <w:bCs/>
          <w:szCs w:val="22"/>
        </w:rPr>
      </w:pPr>
    </w:p>
    <w:p w14:paraId="1D8ABF7B" w14:textId="03296D9F" w:rsidR="00F53F01" w:rsidRDefault="00F53F01" w:rsidP="00F53F01">
      <w:pPr>
        <w:rPr>
          <w:bCs/>
          <w:szCs w:val="22"/>
        </w:rPr>
      </w:pPr>
      <w:r>
        <w:rPr>
          <w:bCs/>
          <w:szCs w:val="22"/>
        </w:rPr>
        <w:t xml:space="preserve">As status code 126 is SAE_HASH_TO_ELEMENT (per Table 9-52), </w:t>
      </w:r>
      <w:r w:rsidR="00744782">
        <w:rPr>
          <w:bCs/>
          <w:szCs w:val="22"/>
        </w:rPr>
        <w:t>the “conditionally present” referenced in Table 9-43 is on condition of that status code, as described in the above paragraph.  The above paragraph makes it clear that either endpoint may send no Rejected Groups element, even when the status code is SAE_HASH_TO_ELEMENT.</w:t>
      </w:r>
    </w:p>
    <w:p w14:paraId="675F2495" w14:textId="5D3C28D9" w:rsidR="00744782" w:rsidRDefault="00744782" w:rsidP="00F53F01">
      <w:pPr>
        <w:rPr>
          <w:bCs/>
          <w:szCs w:val="22"/>
        </w:rPr>
      </w:pPr>
    </w:p>
    <w:p w14:paraId="67F7F368" w14:textId="77538175" w:rsidR="00744782" w:rsidRDefault="00744782" w:rsidP="00F53F01">
      <w:pPr>
        <w:rPr>
          <w:bCs/>
          <w:szCs w:val="22"/>
        </w:rPr>
      </w:pPr>
      <w:r>
        <w:rPr>
          <w:bCs/>
          <w:szCs w:val="22"/>
        </w:rPr>
        <w:t>Thus, it is correct/appropriate that “optionally present” is the correct phrase.</w:t>
      </w:r>
    </w:p>
    <w:p w14:paraId="599A5D8A" w14:textId="77777777" w:rsidR="00744782" w:rsidRDefault="00744782" w:rsidP="00F53F01">
      <w:pPr>
        <w:rPr>
          <w:bCs/>
          <w:szCs w:val="22"/>
        </w:rPr>
      </w:pPr>
    </w:p>
    <w:p w14:paraId="37895A3F" w14:textId="77777777" w:rsidR="00F53F01" w:rsidRPr="00A64508" w:rsidRDefault="00F53F01" w:rsidP="00F53F01">
      <w:pPr>
        <w:rPr>
          <w:bCs/>
          <w:szCs w:val="22"/>
        </w:rPr>
      </w:pPr>
    </w:p>
    <w:p w14:paraId="69B1461B" w14:textId="77777777" w:rsidR="00F53F01" w:rsidRPr="00A64508" w:rsidRDefault="00F53F01" w:rsidP="00F53F01">
      <w:pPr>
        <w:rPr>
          <w:bCs/>
          <w:szCs w:val="22"/>
        </w:rPr>
      </w:pPr>
      <w:r w:rsidRPr="00621DD6">
        <w:rPr>
          <w:bCs/>
          <w:szCs w:val="22"/>
          <w:highlight w:val="yellow"/>
          <w:u w:val="single"/>
        </w:rPr>
        <w:t>Proposed Resolution:</w:t>
      </w:r>
    </w:p>
    <w:p w14:paraId="50DB65C8" w14:textId="77777777" w:rsidR="00F53F01" w:rsidRPr="00A64508" w:rsidRDefault="00F53F01" w:rsidP="00F53F01">
      <w:pPr>
        <w:rPr>
          <w:bCs/>
          <w:szCs w:val="22"/>
        </w:rPr>
      </w:pPr>
    </w:p>
    <w:p w14:paraId="0BDC79AF" w14:textId="134356BD" w:rsidR="00F53F01" w:rsidRPr="00A64508" w:rsidRDefault="00744782" w:rsidP="00F53F01">
      <w:pPr>
        <w:rPr>
          <w:bCs/>
          <w:szCs w:val="22"/>
        </w:rPr>
      </w:pPr>
      <w:r>
        <w:rPr>
          <w:bCs/>
          <w:szCs w:val="22"/>
        </w:rPr>
        <w:t>Accepted.</w:t>
      </w:r>
    </w:p>
    <w:p w14:paraId="2434E1C1" w14:textId="77777777" w:rsidR="00F53F01" w:rsidRDefault="00F53F01" w:rsidP="00F53F01">
      <w:pPr>
        <w:rPr>
          <w:bCs/>
          <w:szCs w:val="22"/>
        </w:rPr>
      </w:pPr>
    </w:p>
    <w:p w14:paraId="088FBB6B" w14:textId="2988C475" w:rsidR="00F53F01" w:rsidRDefault="00744782" w:rsidP="00F53F01">
      <w:pPr>
        <w:rPr>
          <w:bCs/>
          <w:szCs w:val="22"/>
        </w:rPr>
      </w:pPr>
      <w:r w:rsidRPr="00744782">
        <w:rPr>
          <w:bCs/>
          <w:szCs w:val="22"/>
          <w:highlight w:val="cyan"/>
        </w:rPr>
        <w:t>Also,</w:t>
      </w:r>
    </w:p>
    <w:p w14:paraId="7EE5810F" w14:textId="4595245E" w:rsidR="00744782" w:rsidRDefault="00744782" w:rsidP="00F53F01">
      <w:pPr>
        <w:rPr>
          <w:bCs/>
          <w:szCs w:val="22"/>
        </w:rPr>
      </w:pPr>
    </w:p>
    <w:p w14:paraId="05A1172C" w14:textId="0A2B160A" w:rsidR="00744782" w:rsidRPr="00744782" w:rsidRDefault="00744782" w:rsidP="00F53F01">
      <w:pPr>
        <w:rPr>
          <w:bCs/>
          <w:szCs w:val="22"/>
          <w:highlight w:val="cyan"/>
        </w:rPr>
      </w:pPr>
      <w:r w:rsidRPr="00744782">
        <w:rPr>
          <w:bCs/>
          <w:szCs w:val="22"/>
          <w:highlight w:val="cyan"/>
        </w:rPr>
        <w:t>Revisit CID 4652, and change that resolution to:</w:t>
      </w:r>
    </w:p>
    <w:p w14:paraId="31F94617" w14:textId="6CB2FA6F" w:rsidR="00744782" w:rsidRPr="00A64508" w:rsidRDefault="00744782" w:rsidP="00F53F01">
      <w:pPr>
        <w:rPr>
          <w:bCs/>
          <w:szCs w:val="22"/>
        </w:rPr>
      </w:pPr>
      <w:r w:rsidRPr="00744782">
        <w:rPr>
          <w:bCs/>
          <w:szCs w:val="22"/>
          <w:highlight w:val="cyan"/>
        </w:rPr>
        <w:t xml:space="preserve">Revised.  </w:t>
      </w:r>
      <w:r w:rsidRPr="00744782">
        <w:rPr>
          <w:rFonts w:ascii="Arial" w:eastAsia="Times New Roman" w:hAnsi="Arial" w:cs="Arial"/>
          <w:sz w:val="20"/>
          <w:highlight w:val="cyan"/>
          <w:lang w:val="en-US"/>
        </w:rPr>
        <w:t>Change to "optionally present"</w:t>
      </w:r>
    </w:p>
    <w:p w14:paraId="1AB9B596" w14:textId="77777777" w:rsidR="0073659C" w:rsidRDefault="00F53F01" w:rsidP="00F53F0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3659C" w14:paraId="460B89CB" w14:textId="77777777" w:rsidTr="00F474C1">
        <w:trPr>
          <w:trHeight w:val="524"/>
        </w:trPr>
        <w:tc>
          <w:tcPr>
            <w:tcW w:w="738" w:type="dxa"/>
            <w:tcBorders>
              <w:top w:val="single" w:sz="4" w:space="0" w:color="auto"/>
              <w:left w:val="single" w:sz="4" w:space="0" w:color="auto"/>
              <w:bottom w:val="single" w:sz="4" w:space="0" w:color="auto"/>
              <w:right w:val="single" w:sz="4" w:space="0" w:color="auto"/>
            </w:tcBorders>
            <w:hideMark/>
          </w:tcPr>
          <w:p w14:paraId="61780AD7" w14:textId="77777777" w:rsidR="0073659C" w:rsidRDefault="0073659C"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544C1A8" w14:textId="77777777" w:rsidR="0073659C" w:rsidRDefault="0073659C"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9C624EB" w14:textId="77777777" w:rsidR="0073659C" w:rsidRDefault="0073659C"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18331DF" w14:textId="77777777" w:rsidR="0073659C" w:rsidRDefault="0073659C"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11D246F" w14:textId="77777777" w:rsidR="0073659C" w:rsidRDefault="0073659C"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73659C" w:rsidRPr="00DE7477" w14:paraId="329EFC8B" w14:textId="77777777" w:rsidTr="00F474C1">
        <w:trPr>
          <w:trHeight w:val="765"/>
        </w:trPr>
        <w:tc>
          <w:tcPr>
            <w:tcW w:w="738" w:type="dxa"/>
          </w:tcPr>
          <w:p w14:paraId="247F8C9E" w14:textId="77777777" w:rsidR="0073659C" w:rsidRDefault="0073659C" w:rsidP="00F474C1">
            <w:pPr>
              <w:jc w:val="right"/>
              <w:rPr>
                <w:rFonts w:ascii="Arial" w:eastAsia="Times New Roman" w:hAnsi="Arial" w:cs="Arial"/>
                <w:color w:val="000000"/>
                <w:sz w:val="20"/>
                <w:lang w:val="en-US"/>
              </w:rPr>
            </w:pPr>
            <w:r>
              <w:rPr>
                <w:rFonts w:ascii="Arial" w:eastAsia="Times New Roman" w:hAnsi="Arial" w:cs="Arial"/>
                <w:color w:val="000000"/>
                <w:sz w:val="20"/>
                <w:lang w:val="en-US"/>
              </w:rPr>
              <w:t>4325</w:t>
            </w:r>
          </w:p>
        </w:tc>
        <w:tc>
          <w:tcPr>
            <w:tcW w:w="990" w:type="dxa"/>
          </w:tcPr>
          <w:p w14:paraId="4C425F44" w14:textId="77777777" w:rsidR="0073659C" w:rsidRDefault="0073659C" w:rsidP="00F474C1">
            <w:pPr>
              <w:jc w:val="right"/>
              <w:rPr>
                <w:rFonts w:ascii="Arial" w:eastAsia="Times New Roman" w:hAnsi="Arial" w:cs="Arial"/>
                <w:color w:val="000000"/>
                <w:sz w:val="20"/>
                <w:lang w:val="en-US"/>
              </w:rPr>
            </w:pPr>
          </w:p>
        </w:tc>
        <w:tc>
          <w:tcPr>
            <w:tcW w:w="1080" w:type="dxa"/>
          </w:tcPr>
          <w:p w14:paraId="294D93B0" w14:textId="77777777" w:rsidR="0073659C" w:rsidRDefault="0073659C" w:rsidP="00F474C1">
            <w:pPr>
              <w:rPr>
                <w:rFonts w:ascii="Arial" w:eastAsia="Times New Roman" w:hAnsi="Arial" w:cs="Arial"/>
                <w:color w:val="000000"/>
                <w:sz w:val="20"/>
                <w:lang w:val="en-US"/>
              </w:rPr>
            </w:pPr>
          </w:p>
        </w:tc>
        <w:tc>
          <w:tcPr>
            <w:tcW w:w="3600" w:type="dxa"/>
          </w:tcPr>
          <w:p w14:paraId="20279491" w14:textId="77777777" w:rsidR="0073659C" w:rsidRPr="00C64A9B" w:rsidRDefault="0073659C" w:rsidP="00F474C1">
            <w:pPr>
              <w:rPr>
                <w:rFonts w:ascii="Arial" w:eastAsia="Times New Roman" w:hAnsi="Arial" w:cs="Arial"/>
                <w:color w:val="000000"/>
                <w:sz w:val="20"/>
                <w:lang w:val="en-US"/>
              </w:rPr>
            </w:pPr>
            <w:r w:rsidRPr="00C64A9B">
              <w:rPr>
                <w:rFonts w:ascii="Arial" w:eastAsia="Times New Roman" w:hAnsi="Arial" w:cs="Arial"/>
                <w:color w:val="000000"/>
                <w:sz w:val="20"/>
                <w:lang w:val="en-US"/>
              </w:rPr>
              <w:t>"AC parameters" is not a defined thing; should be "EDCA parameters" (5x)</w:t>
            </w:r>
          </w:p>
        </w:tc>
        <w:tc>
          <w:tcPr>
            <w:tcW w:w="3600" w:type="dxa"/>
          </w:tcPr>
          <w:p w14:paraId="2DC67C65" w14:textId="5C929012" w:rsidR="0073659C" w:rsidRPr="00C64A9B" w:rsidRDefault="0073659C" w:rsidP="00F474C1">
            <w:pPr>
              <w:rPr>
                <w:rFonts w:ascii="Arial" w:eastAsia="Times New Roman" w:hAnsi="Arial" w:cs="Arial"/>
                <w:color w:val="000000"/>
                <w:sz w:val="20"/>
                <w:lang w:val="en-US"/>
              </w:rPr>
            </w:pPr>
            <w:r w:rsidRPr="00C64A9B">
              <w:rPr>
                <w:rFonts w:ascii="Arial" w:eastAsia="Times New Roman" w:hAnsi="Arial" w:cs="Arial"/>
                <w:color w:val="000000"/>
                <w:sz w:val="20"/>
                <w:lang w:val="en-US"/>
              </w:rPr>
              <w:t>As it says in the comment</w:t>
            </w:r>
          </w:p>
        </w:tc>
      </w:tr>
    </w:tbl>
    <w:p w14:paraId="69B8602B" w14:textId="77777777" w:rsidR="0073659C" w:rsidRDefault="0073659C" w:rsidP="0073659C">
      <w:pPr>
        <w:rPr>
          <w:bCs/>
          <w:szCs w:val="22"/>
        </w:rPr>
      </w:pPr>
    </w:p>
    <w:p w14:paraId="614E326D" w14:textId="77777777" w:rsidR="0073659C" w:rsidRDefault="0073659C" w:rsidP="0073659C">
      <w:pPr>
        <w:rPr>
          <w:bCs/>
          <w:szCs w:val="22"/>
        </w:rPr>
      </w:pPr>
      <w:r>
        <w:rPr>
          <w:bCs/>
          <w:szCs w:val="22"/>
          <w:u w:val="single"/>
        </w:rPr>
        <w:t>Discussion:</w:t>
      </w:r>
    </w:p>
    <w:p w14:paraId="0FF17384" w14:textId="091B6F95" w:rsidR="0073659C" w:rsidRDefault="0073659C" w:rsidP="0073659C">
      <w:pPr>
        <w:rPr>
          <w:bCs/>
          <w:szCs w:val="22"/>
        </w:rPr>
      </w:pPr>
    </w:p>
    <w:p w14:paraId="0DDD3AAA" w14:textId="7CD854CE" w:rsidR="00912010" w:rsidRDefault="00912010" w:rsidP="00912010">
      <w:pPr>
        <w:autoSpaceDE w:val="0"/>
        <w:autoSpaceDN w:val="0"/>
        <w:adjustRightInd w:val="0"/>
        <w:rPr>
          <w:sz w:val="24"/>
          <w:szCs w:val="18"/>
          <w:lang w:val="en-US" w:eastAsia="ja-JP" w:bidi="he-IL"/>
        </w:rPr>
      </w:pPr>
      <w:r w:rsidRPr="006F7072">
        <w:rPr>
          <w:rFonts w:eastAsia="TimesNewRoman"/>
          <w:bCs/>
          <w:sz w:val="24"/>
          <w:lang w:val="en-US" w:eastAsia="ja-JP"/>
        </w:rPr>
        <w:t>In 11-20/272r6, Graham states</w:t>
      </w:r>
      <w:r w:rsidR="006F7072">
        <w:rPr>
          <w:rFonts w:eastAsia="TimesNewRoman"/>
          <w:bCs/>
          <w:sz w:val="24"/>
          <w:lang w:val="en-US" w:eastAsia="ja-JP"/>
        </w:rPr>
        <w:t xml:space="preserve"> that</w:t>
      </w:r>
      <w:r w:rsidRPr="006F7072">
        <w:rPr>
          <w:rFonts w:eastAsia="TimesNewRoman"/>
          <w:bCs/>
          <w:sz w:val="24"/>
          <w:lang w:val="en-US" w:eastAsia="ja-JP"/>
        </w:rPr>
        <w:t xml:space="preserve"> </w:t>
      </w:r>
      <w:r w:rsidR="006F7072">
        <w:rPr>
          <w:rFonts w:eastAsia="TimesNewRoman"/>
          <w:bCs/>
          <w:sz w:val="24"/>
          <w:lang w:val="en-US" w:eastAsia="ja-JP"/>
        </w:rPr>
        <w:t>t</w:t>
      </w:r>
      <w:r>
        <w:rPr>
          <w:sz w:val="24"/>
          <w:szCs w:val="18"/>
          <w:lang w:val="en-US" w:eastAsia="ja-JP" w:bidi="he-IL"/>
        </w:rPr>
        <w:t xml:space="preserve">here are 5 instances of “AC parameters”, there are 22 instances of “EDCA parameters”.  </w:t>
      </w:r>
    </w:p>
    <w:p w14:paraId="7B203B09" w14:textId="436B4E09" w:rsidR="00912010" w:rsidRDefault="00912010" w:rsidP="00912010">
      <w:pPr>
        <w:autoSpaceDE w:val="0"/>
        <w:autoSpaceDN w:val="0"/>
        <w:adjustRightInd w:val="0"/>
        <w:rPr>
          <w:sz w:val="24"/>
          <w:szCs w:val="18"/>
          <w:lang w:val="en-US" w:eastAsia="ja-JP" w:bidi="he-IL"/>
        </w:rPr>
      </w:pPr>
    </w:p>
    <w:p w14:paraId="069D9121" w14:textId="02E81430" w:rsidR="009E5B38" w:rsidRDefault="006F7072" w:rsidP="00912010">
      <w:pPr>
        <w:autoSpaceDE w:val="0"/>
        <w:autoSpaceDN w:val="0"/>
        <w:adjustRightInd w:val="0"/>
        <w:rPr>
          <w:sz w:val="24"/>
          <w:szCs w:val="18"/>
          <w:lang w:val="en-US" w:eastAsia="ja-JP" w:bidi="he-IL"/>
        </w:rPr>
      </w:pPr>
      <w:r>
        <w:rPr>
          <w:sz w:val="24"/>
          <w:szCs w:val="18"/>
          <w:lang w:val="en-US" w:eastAsia="ja-JP" w:bidi="he-IL"/>
        </w:rPr>
        <w:t>Per 10.2.3.2 (</w:t>
      </w:r>
      <w:r w:rsidRPr="009E5B38">
        <w:rPr>
          <w:sz w:val="24"/>
          <w:szCs w:val="18"/>
          <w:lang w:val="en-US" w:eastAsia="ja-JP" w:bidi="he-IL"/>
        </w:rPr>
        <w:t>HCF contention based channel access (EDCA)</w:t>
      </w:r>
      <w:r>
        <w:rPr>
          <w:sz w:val="24"/>
          <w:szCs w:val="18"/>
          <w:lang w:val="en-US" w:eastAsia="ja-JP" w:bidi="he-IL"/>
        </w:rPr>
        <w:t>), t</w:t>
      </w:r>
      <w:r w:rsidR="009E5B38">
        <w:rPr>
          <w:sz w:val="24"/>
          <w:szCs w:val="18"/>
          <w:lang w:val="en-US" w:eastAsia="ja-JP" w:bidi="he-IL"/>
        </w:rPr>
        <w:t xml:space="preserve">he AP uses EDCA parameters per </w:t>
      </w:r>
      <w:r w:rsidR="009E5B38" w:rsidRPr="009E5B38">
        <w:rPr>
          <w:sz w:val="24"/>
          <w:szCs w:val="18"/>
          <w:lang w:val="en-US" w:eastAsia="ja-JP" w:bidi="he-IL"/>
        </w:rPr>
        <w:t>dot11QAPEDCATable</w:t>
      </w:r>
      <w:r w:rsidR="009E5B38">
        <w:rPr>
          <w:sz w:val="24"/>
          <w:szCs w:val="18"/>
          <w:lang w:val="en-US" w:eastAsia="ja-JP" w:bidi="he-IL"/>
        </w:rPr>
        <w:t xml:space="preserve"> in the MIB, while non-AP STAs use parameters as announced by the AP (or a default if no such announcement is made) and stored in </w:t>
      </w:r>
      <w:r w:rsidR="009E5B38" w:rsidRPr="009E5B38">
        <w:rPr>
          <w:sz w:val="24"/>
          <w:szCs w:val="18"/>
          <w:lang w:val="en-US" w:eastAsia="ja-JP" w:bidi="he-IL"/>
        </w:rPr>
        <w:t>dot11EDCATable</w:t>
      </w:r>
      <w:r w:rsidR="009E5B38">
        <w:rPr>
          <w:sz w:val="24"/>
          <w:szCs w:val="18"/>
          <w:lang w:val="en-US" w:eastAsia="ja-JP" w:bidi="he-IL"/>
        </w:rPr>
        <w:t>.</w:t>
      </w:r>
    </w:p>
    <w:p w14:paraId="68308561" w14:textId="5DCBA3E3" w:rsidR="009E5B38" w:rsidRDefault="009E5B38" w:rsidP="00912010">
      <w:pPr>
        <w:autoSpaceDE w:val="0"/>
        <w:autoSpaceDN w:val="0"/>
        <w:adjustRightInd w:val="0"/>
        <w:rPr>
          <w:sz w:val="24"/>
          <w:szCs w:val="18"/>
          <w:lang w:val="en-US" w:eastAsia="ja-JP" w:bidi="he-IL"/>
        </w:rPr>
      </w:pPr>
    </w:p>
    <w:p w14:paraId="685B330C" w14:textId="26A66560" w:rsidR="009E5B38" w:rsidRDefault="006F7072" w:rsidP="009E5B38">
      <w:pPr>
        <w:autoSpaceDE w:val="0"/>
        <w:autoSpaceDN w:val="0"/>
        <w:adjustRightInd w:val="0"/>
        <w:rPr>
          <w:sz w:val="24"/>
          <w:szCs w:val="18"/>
          <w:lang w:val="en-US" w:eastAsia="ja-JP" w:bidi="he-IL"/>
        </w:rPr>
      </w:pPr>
      <w:r>
        <w:rPr>
          <w:sz w:val="24"/>
          <w:szCs w:val="18"/>
          <w:lang w:val="en-US" w:eastAsia="ja-JP" w:bidi="he-IL"/>
        </w:rPr>
        <w:t>Also p</w:t>
      </w:r>
      <w:r w:rsidR="009E5B38">
        <w:rPr>
          <w:sz w:val="24"/>
          <w:szCs w:val="18"/>
          <w:lang w:val="en-US" w:eastAsia="ja-JP" w:bidi="he-IL"/>
        </w:rPr>
        <w:t>er 10.2.3.2, “</w:t>
      </w:r>
      <w:r w:rsidR="009E5B38" w:rsidRPr="009E5B38">
        <w:rPr>
          <w:sz w:val="24"/>
          <w:szCs w:val="18"/>
          <w:lang w:val="en-US" w:eastAsia="ja-JP" w:bidi="he-IL"/>
        </w:rPr>
        <w:t>The QoS AP shall announce the EDCA parameters in selected Beacon frames and in all Probe Response and</w:t>
      </w:r>
      <w:r w:rsidR="009E5B38">
        <w:rPr>
          <w:sz w:val="24"/>
          <w:szCs w:val="18"/>
          <w:lang w:val="en-US" w:eastAsia="ja-JP" w:bidi="he-IL"/>
        </w:rPr>
        <w:t xml:space="preserve"> </w:t>
      </w:r>
      <w:r w:rsidR="009E5B38" w:rsidRPr="009E5B38">
        <w:rPr>
          <w:sz w:val="24"/>
          <w:szCs w:val="18"/>
          <w:lang w:val="en-US" w:eastAsia="ja-JP" w:bidi="he-IL"/>
        </w:rPr>
        <w:t>(Re)Association Response frames by the inclusion of the EDCA Parameter Set element using the information</w:t>
      </w:r>
      <w:r w:rsidR="009E5B38">
        <w:rPr>
          <w:sz w:val="24"/>
          <w:szCs w:val="18"/>
          <w:lang w:val="en-US" w:eastAsia="ja-JP" w:bidi="he-IL"/>
        </w:rPr>
        <w:t xml:space="preserve"> </w:t>
      </w:r>
      <w:r w:rsidR="009E5B38" w:rsidRPr="009E5B38">
        <w:rPr>
          <w:sz w:val="24"/>
          <w:szCs w:val="18"/>
          <w:lang w:val="en-US" w:eastAsia="ja-JP" w:bidi="he-IL"/>
        </w:rPr>
        <w:t>from the MIB entries in dot11ECDATable</w:t>
      </w:r>
      <w:r w:rsidR="009E5B38">
        <w:rPr>
          <w:sz w:val="24"/>
          <w:szCs w:val="18"/>
          <w:lang w:val="en-US" w:eastAsia="ja-JP" w:bidi="he-IL"/>
        </w:rPr>
        <w:t>.”</w:t>
      </w:r>
    </w:p>
    <w:p w14:paraId="44373081" w14:textId="144CAC6B" w:rsidR="009E5B38" w:rsidRDefault="009E5B38" w:rsidP="009E5B38">
      <w:pPr>
        <w:autoSpaceDE w:val="0"/>
        <w:autoSpaceDN w:val="0"/>
        <w:adjustRightInd w:val="0"/>
        <w:rPr>
          <w:sz w:val="24"/>
          <w:szCs w:val="18"/>
          <w:lang w:val="en-US" w:eastAsia="ja-JP" w:bidi="he-IL"/>
        </w:rPr>
      </w:pPr>
    </w:p>
    <w:p w14:paraId="5C7F3965" w14:textId="673634D8" w:rsidR="009E5B38" w:rsidRDefault="009E5B38" w:rsidP="009E5B38">
      <w:pPr>
        <w:autoSpaceDE w:val="0"/>
        <w:autoSpaceDN w:val="0"/>
        <w:adjustRightInd w:val="0"/>
        <w:rPr>
          <w:sz w:val="24"/>
          <w:szCs w:val="18"/>
          <w:lang w:val="en-US" w:eastAsia="ja-JP" w:bidi="he-IL"/>
        </w:rPr>
      </w:pPr>
      <w:r>
        <w:rPr>
          <w:sz w:val="24"/>
          <w:szCs w:val="18"/>
          <w:lang w:val="en-US" w:eastAsia="ja-JP" w:bidi="he-IL"/>
        </w:rPr>
        <w:t>So, the information being described in 9.4.2.28 (EDCA Parameter Set element) is the ECDA parameters announced by the AP.</w:t>
      </w:r>
    </w:p>
    <w:p w14:paraId="6182437A" w14:textId="77777777" w:rsidR="009E5B38" w:rsidRDefault="009E5B38" w:rsidP="00912010">
      <w:pPr>
        <w:autoSpaceDE w:val="0"/>
        <w:autoSpaceDN w:val="0"/>
        <w:adjustRightInd w:val="0"/>
        <w:rPr>
          <w:sz w:val="24"/>
          <w:szCs w:val="18"/>
          <w:lang w:val="en-US" w:eastAsia="ja-JP" w:bidi="he-IL"/>
        </w:rPr>
      </w:pPr>
    </w:p>
    <w:p w14:paraId="6FA88D32" w14:textId="7744D8A0" w:rsidR="00912010" w:rsidRDefault="006F7072" w:rsidP="00912010">
      <w:pPr>
        <w:autoSpaceDE w:val="0"/>
        <w:autoSpaceDN w:val="0"/>
        <w:adjustRightInd w:val="0"/>
        <w:rPr>
          <w:sz w:val="24"/>
          <w:szCs w:val="18"/>
          <w:u w:val="single"/>
          <w:lang w:val="en-US" w:eastAsia="ja-JP" w:bidi="he-IL"/>
        </w:rPr>
      </w:pPr>
      <w:r w:rsidRPr="006F7072">
        <w:rPr>
          <w:sz w:val="24"/>
          <w:szCs w:val="18"/>
          <w:highlight w:val="yellow"/>
          <w:u w:val="single"/>
          <w:lang w:val="en-US" w:eastAsia="ja-JP" w:bidi="he-IL"/>
        </w:rPr>
        <w:t xml:space="preserve">Proposed </w:t>
      </w:r>
      <w:r w:rsidR="00912010" w:rsidRPr="006F7072">
        <w:rPr>
          <w:sz w:val="24"/>
          <w:szCs w:val="18"/>
          <w:highlight w:val="yellow"/>
          <w:u w:val="single"/>
          <w:lang w:val="en-US" w:eastAsia="ja-JP" w:bidi="he-IL"/>
        </w:rPr>
        <w:t>Resolution:</w:t>
      </w:r>
    </w:p>
    <w:p w14:paraId="3B2C4460" w14:textId="2C47E434" w:rsidR="002E0292" w:rsidRDefault="002E0292" w:rsidP="00912010">
      <w:pPr>
        <w:autoSpaceDE w:val="0"/>
        <w:autoSpaceDN w:val="0"/>
        <w:adjustRightInd w:val="0"/>
        <w:rPr>
          <w:sz w:val="24"/>
          <w:szCs w:val="18"/>
          <w:u w:val="single"/>
          <w:lang w:val="en-US" w:eastAsia="ja-JP" w:bidi="he-IL"/>
        </w:rPr>
      </w:pPr>
    </w:p>
    <w:p w14:paraId="303D9B32" w14:textId="56ECE891" w:rsidR="00912010" w:rsidRDefault="009E5B38" w:rsidP="00912010">
      <w:pPr>
        <w:autoSpaceDE w:val="0"/>
        <w:autoSpaceDN w:val="0"/>
        <w:adjustRightInd w:val="0"/>
        <w:rPr>
          <w:sz w:val="24"/>
          <w:szCs w:val="18"/>
          <w:lang w:val="en-US" w:eastAsia="ja-JP" w:bidi="he-IL"/>
        </w:rPr>
      </w:pPr>
      <w:r w:rsidRPr="009E5B38">
        <w:rPr>
          <w:sz w:val="24"/>
          <w:szCs w:val="18"/>
          <w:highlight w:val="cyan"/>
          <w:lang w:val="en-US" w:eastAsia="ja-JP" w:bidi="he-IL"/>
        </w:rPr>
        <w:t>Revised.</w:t>
      </w:r>
    </w:p>
    <w:p w14:paraId="46779386" w14:textId="77777777" w:rsidR="00912010" w:rsidRDefault="00912010" w:rsidP="00912010">
      <w:pPr>
        <w:autoSpaceDE w:val="0"/>
        <w:autoSpaceDN w:val="0"/>
        <w:adjustRightInd w:val="0"/>
        <w:rPr>
          <w:sz w:val="24"/>
          <w:szCs w:val="18"/>
          <w:lang w:val="en-US" w:eastAsia="ja-JP" w:bidi="he-IL"/>
        </w:rPr>
      </w:pPr>
    </w:p>
    <w:p w14:paraId="1F4DDE17" w14:textId="77777777" w:rsidR="00912010" w:rsidRDefault="00912010" w:rsidP="00912010">
      <w:pPr>
        <w:autoSpaceDE w:val="0"/>
        <w:autoSpaceDN w:val="0"/>
        <w:adjustRightInd w:val="0"/>
        <w:rPr>
          <w:sz w:val="24"/>
          <w:szCs w:val="18"/>
          <w:lang w:val="en-US" w:eastAsia="ja-JP" w:bidi="he-IL"/>
        </w:rPr>
      </w:pPr>
      <w:r>
        <w:rPr>
          <w:sz w:val="24"/>
          <w:szCs w:val="18"/>
          <w:lang w:val="en-US" w:eastAsia="ja-JP" w:bidi="he-IL"/>
        </w:rPr>
        <w:t>At the following locations, make changes as shown:</w:t>
      </w:r>
    </w:p>
    <w:p w14:paraId="094DD1FB" w14:textId="77777777" w:rsidR="00912010" w:rsidRDefault="00912010" w:rsidP="00912010">
      <w:pPr>
        <w:autoSpaceDE w:val="0"/>
        <w:autoSpaceDN w:val="0"/>
        <w:adjustRightInd w:val="0"/>
        <w:rPr>
          <w:sz w:val="24"/>
          <w:szCs w:val="18"/>
          <w:lang w:val="en-US" w:eastAsia="ja-JP" w:bidi="he-IL"/>
        </w:rPr>
      </w:pPr>
    </w:p>
    <w:p w14:paraId="097D3173" w14:textId="77777777" w:rsidR="00912010" w:rsidRDefault="00912010" w:rsidP="00912010">
      <w:pPr>
        <w:autoSpaceDE w:val="0"/>
        <w:autoSpaceDN w:val="0"/>
        <w:adjustRightInd w:val="0"/>
        <w:rPr>
          <w:sz w:val="24"/>
          <w:szCs w:val="18"/>
          <w:lang w:val="en-US" w:eastAsia="ja-JP" w:bidi="he-IL"/>
        </w:rPr>
      </w:pPr>
      <w:r>
        <w:rPr>
          <w:sz w:val="24"/>
          <w:szCs w:val="18"/>
          <w:lang w:val="en-US" w:eastAsia="ja-JP" w:bidi="he-IL"/>
        </w:rPr>
        <w:t xml:space="preserve">P1117L47 </w:t>
      </w:r>
      <w:r>
        <w:rPr>
          <w:sz w:val="24"/>
          <w:szCs w:val="18"/>
          <w:lang w:val="en-US" w:eastAsia="ja-JP" w:bidi="he-IL"/>
        </w:rPr>
        <w:tab/>
        <w:t xml:space="preserve">9.4.2.28 </w:t>
      </w:r>
    </w:p>
    <w:p w14:paraId="22DEC326" w14:textId="77777777" w:rsidR="00912010" w:rsidRDefault="00912010" w:rsidP="00912010">
      <w:pPr>
        <w:autoSpaceDE w:val="0"/>
        <w:autoSpaceDN w:val="0"/>
        <w:adjustRightInd w:val="0"/>
        <w:rPr>
          <w:rFonts w:eastAsia="TimesNewRoman"/>
          <w:sz w:val="24"/>
          <w:lang w:val="en-US" w:eastAsia="ja-JP"/>
        </w:rPr>
      </w:pPr>
      <w:r>
        <w:rPr>
          <w:rFonts w:eastAsia="TimesNewRoman"/>
          <w:sz w:val="24"/>
          <w:lang w:val="en-US" w:eastAsia="ja-JP"/>
        </w:rPr>
        <w:t xml:space="preserve">Change </w:t>
      </w:r>
    </w:p>
    <w:p w14:paraId="56F14F63" w14:textId="77777777" w:rsidR="00912010" w:rsidRDefault="00912010" w:rsidP="00912010">
      <w:pPr>
        <w:autoSpaceDE w:val="0"/>
        <w:autoSpaceDN w:val="0"/>
        <w:adjustRightInd w:val="0"/>
        <w:rPr>
          <w:rFonts w:eastAsia="TimesNewRoman"/>
          <w:sz w:val="24"/>
          <w:lang w:val="en-US" w:eastAsia="ja-JP"/>
        </w:rPr>
      </w:pPr>
      <w:r>
        <w:rPr>
          <w:rFonts w:eastAsia="TimesNewRoman"/>
          <w:sz w:val="24"/>
          <w:lang w:val="en-US" w:eastAsia="ja-JP"/>
        </w:rPr>
        <w:t>“is incremented each time any of the AC parameters changes”</w:t>
      </w:r>
    </w:p>
    <w:p w14:paraId="027F66DB" w14:textId="77777777" w:rsidR="00912010" w:rsidRDefault="00912010" w:rsidP="00912010">
      <w:pPr>
        <w:autoSpaceDE w:val="0"/>
        <w:autoSpaceDN w:val="0"/>
        <w:adjustRightInd w:val="0"/>
        <w:rPr>
          <w:rFonts w:eastAsia="TimesNewRoman"/>
          <w:sz w:val="24"/>
          <w:lang w:val="en-US" w:eastAsia="ja-JP"/>
        </w:rPr>
      </w:pPr>
      <w:r>
        <w:rPr>
          <w:rFonts w:eastAsia="TimesNewRoman"/>
          <w:sz w:val="24"/>
          <w:lang w:val="en-US" w:eastAsia="ja-JP"/>
        </w:rPr>
        <w:t>to</w:t>
      </w:r>
    </w:p>
    <w:p w14:paraId="6C998386" w14:textId="751D685D" w:rsidR="00912010" w:rsidRDefault="00912010" w:rsidP="00912010">
      <w:pPr>
        <w:autoSpaceDE w:val="0"/>
        <w:autoSpaceDN w:val="0"/>
        <w:adjustRightInd w:val="0"/>
        <w:rPr>
          <w:rFonts w:eastAsia="TimesNewRoman"/>
          <w:sz w:val="24"/>
          <w:lang w:val="en-US" w:eastAsia="ja-JP"/>
        </w:rPr>
      </w:pPr>
      <w:r>
        <w:rPr>
          <w:rFonts w:eastAsia="TimesNewRoman"/>
          <w:sz w:val="24"/>
          <w:lang w:val="en-US" w:eastAsia="ja-JP"/>
        </w:rPr>
        <w:t xml:space="preserve">“is incremented each time any of the </w:t>
      </w:r>
      <w:r w:rsidR="009E5B38" w:rsidRPr="009E5B38">
        <w:rPr>
          <w:rFonts w:eastAsia="TimesNewRoman"/>
          <w:sz w:val="24"/>
          <w:highlight w:val="cyan"/>
          <w:lang w:val="en-US" w:eastAsia="ja-JP"/>
        </w:rPr>
        <w:t>announc</w:t>
      </w:r>
      <w:r w:rsidR="009E5B38" w:rsidRPr="006F7072">
        <w:rPr>
          <w:rFonts w:eastAsia="TimesNewRoman"/>
          <w:sz w:val="24"/>
          <w:highlight w:val="cyan"/>
          <w:lang w:val="en-US" w:eastAsia="ja-JP"/>
        </w:rPr>
        <w:t xml:space="preserve">ed </w:t>
      </w:r>
      <w:r w:rsidRPr="006F7072">
        <w:rPr>
          <w:rFonts w:eastAsia="TimesNewRoman"/>
          <w:sz w:val="24"/>
          <w:highlight w:val="cyan"/>
          <w:lang w:val="en-US" w:eastAsia="ja-JP"/>
        </w:rPr>
        <w:t>EDCA</w:t>
      </w:r>
      <w:r>
        <w:rPr>
          <w:rFonts w:eastAsia="TimesNewRoman"/>
          <w:sz w:val="24"/>
          <w:lang w:val="en-US" w:eastAsia="ja-JP"/>
        </w:rPr>
        <w:t xml:space="preserve"> parameters change.” </w:t>
      </w:r>
    </w:p>
    <w:p w14:paraId="58578CB7" w14:textId="77777777" w:rsidR="00912010" w:rsidRDefault="00912010" w:rsidP="00912010">
      <w:pPr>
        <w:autoSpaceDE w:val="0"/>
        <w:autoSpaceDN w:val="0"/>
        <w:adjustRightInd w:val="0"/>
        <w:rPr>
          <w:rFonts w:eastAsia="TimesNewRoman"/>
          <w:sz w:val="24"/>
          <w:lang w:val="en-US" w:eastAsia="ja-JP"/>
        </w:rPr>
      </w:pPr>
    </w:p>
    <w:p w14:paraId="6534C119" w14:textId="77777777" w:rsidR="00912010" w:rsidRDefault="00912010" w:rsidP="00912010">
      <w:pPr>
        <w:autoSpaceDE w:val="0"/>
        <w:autoSpaceDN w:val="0"/>
        <w:adjustRightInd w:val="0"/>
        <w:rPr>
          <w:rFonts w:eastAsia="TimesNewRoman"/>
          <w:szCs w:val="22"/>
          <w:lang w:val="en-US" w:eastAsia="ja-JP"/>
        </w:rPr>
      </w:pPr>
      <w:r>
        <w:rPr>
          <w:rFonts w:eastAsia="TimesNewRoman"/>
          <w:szCs w:val="22"/>
          <w:lang w:val="en-US" w:eastAsia="ja-JP"/>
        </w:rPr>
        <w:t>P1718L58</w:t>
      </w:r>
      <w:r>
        <w:rPr>
          <w:rFonts w:eastAsia="TimesNewRoman"/>
          <w:szCs w:val="22"/>
          <w:lang w:val="en-US" w:eastAsia="ja-JP"/>
        </w:rPr>
        <w:tab/>
        <w:t xml:space="preserve">10.2.3.2 </w:t>
      </w:r>
    </w:p>
    <w:p w14:paraId="33E0CF19" w14:textId="77777777" w:rsidR="00912010" w:rsidRDefault="00912010" w:rsidP="00912010">
      <w:pPr>
        <w:autoSpaceDE w:val="0"/>
        <w:autoSpaceDN w:val="0"/>
        <w:adjustRightInd w:val="0"/>
        <w:rPr>
          <w:rFonts w:eastAsia="TimesNewRoman"/>
          <w:szCs w:val="22"/>
          <w:lang w:val="en-US" w:eastAsia="ja-JP"/>
        </w:rPr>
      </w:pPr>
      <w:r>
        <w:rPr>
          <w:rFonts w:eastAsia="TimesNewRoman"/>
          <w:szCs w:val="22"/>
          <w:lang w:val="en-US" w:eastAsia="ja-JP"/>
        </w:rPr>
        <w:t xml:space="preserve">Change </w:t>
      </w:r>
    </w:p>
    <w:p w14:paraId="5275C4F4" w14:textId="77777777" w:rsidR="00912010" w:rsidRDefault="00912010" w:rsidP="00912010">
      <w:pPr>
        <w:autoSpaceDE w:val="0"/>
        <w:autoSpaceDN w:val="0"/>
        <w:adjustRightInd w:val="0"/>
        <w:rPr>
          <w:rFonts w:eastAsia="TimesNewRoman"/>
          <w:szCs w:val="22"/>
          <w:lang w:val="en-US" w:eastAsia="ja-JP"/>
        </w:rPr>
      </w:pPr>
      <w:r>
        <w:rPr>
          <w:rFonts w:eastAsia="TimesNewRoman"/>
          <w:szCs w:val="22"/>
          <w:lang w:val="en-US" w:eastAsia="ja-JP"/>
        </w:rPr>
        <w:t>“following a change in AC parameters, which provides all STAs an opportunity to receive the updated EDCA parameters.”</w:t>
      </w:r>
    </w:p>
    <w:p w14:paraId="0B119A70" w14:textId="77777777" w:rsidR="00912010" w:rsidRDefault="00912010" w:rsidP="00912010">
      <w:pPr>
        <w:autoSpaceDE w:val="0"/>
        <w:autoSpaceDN w:val="0"/>
        <w:adjustRightInd w:val="0"/>
        <w:rPr>
          <w:rFonts w:eastAsia="TimesNewRoman"/>
          <w:szCs w:val="22"/>
          <w:lang w:val="en-US" w:eastAsia="ja-JP"/>
        </w:rPr>
      </w:pPr>
      <w:r>
        <w:rPr>
          <w:rFonts w:eastAsia="TimesNewRoman"/>
          <w:szCs w:val="22"/>
          <w:lang w:val="en-US" w:eastAsia="ja-JP"/>
        </w:rPr>
        <w:t xml:space="preserve">To </w:t>
      </w:r>
    </w:p>
    <w:p w14:paraId="3D5E6D57" w14:textId="33FCBF98" w:rsidR="00912010" w:rsidRDefault="00912010" w:rsidP="00912010">
      <w:pPr>
        <w:autoSpaceDE w:val="0"/>
        <w:autoSpaceDN w:val="0"/>
        <w:adjustRightInd w:val="0"/>
        <w:rPr>
          <w:rFonts w:eastAsia="TimesNewRoman"/>
          <w:szCs w:val="22"/>
          <w:lang w:val="en-US" w:eastAsia="ja-JP"/>
        </w:rPr>
      </w:pPr>
      <w:r>
        <w:rPr>
          <w:rFonts w:eastAsia="TimesNewRoman"/>
          <w:szCs w:val="22"/>
          <w:lang w:val="en-US" w:eastAsia="ja-JP"/>
        </w:rPr>
        <w:t xml:space="preserve">following a change in </w:t>
      </w:r>
      <w:r w:rsidR="009E5B38" w:rsidRPr="009E5B38">
        <w:rPr>
          <w:rFonts w:eastAsia="TimesNewRoman"/>
          <w:szCs w:val="22"/>
          <w:highlight w:val="cyan"/>
          <w:lang w:val="en-US" w:eastAsia="ja-JP"/>
        </w:rPr>
        <w:t>announc</w:t>
      </w:r>
      <w:r w:rsidR="009E5B38" w:rsidRPr="006F7072">
        <w:rPr>
          <w:rFonts w:eastAsia="TimesNewRoman"/>
          <w:szCs w:val="22"/>
          <w:highlight w:val="cyan"/>
          <w:lang w:val="en-US" w:eastAsia="ja-JP"/>
        </w:rPr>
        <w:t xml:space="preserve">ed </w:t>
      </w:r>
      <w:r w:rsidRPr="006F7072">
        <w:rPr>
          <w:rFonts w:eastAsia="TimesNewRoman"/>
          <w:szCs w:val="22"/>
          <w:highlight w:val="cyan"/>
          <w:lang w:val="en-US" w:eastAsia="ja-JP"/>
        </w:rPr>
        <w:t>EDCA</w:t>
      </w:r>
      <w:r>
        <w:rPr>
          <w:rFonts w:eastAsia="TimesNewRoman"/>
          <w:szCs w:val="22"/>
          <w:lang w:val="en-US" w:eastAsia="ja-JP"/>
        </w:rPr>
        <w:t xml:space="preserve"> parameters, which provides all STAs an opportunity to receive the updated EDCA parameters.</w:t>
      </w:r>
    </w:p>
    <w:p w14:paraId="6A95745A" w14:textId="77777777" w:rsidR="00912010" w:rsidRDefault="00912010" w:rsidP="00912010">
      <w:pPr>
        <w:autoSpaceDE w:val="0"/>
        <w:autoSpaceDN w:val="0"/>
        <w:adjustRightInd w:val="0"/>
        <w:rPr>
          <w:sz w:val="24"/>
          <w:szCs w:val="18"/>
          <w:lang w:val="en-US" w:eastAsia="ja-JP" w:bidi="he-IL"/>
        </w:rPr>
      </w:pPr>
    </w:p>
    <w:p w14:paraId="029D810F" w14:textId="77777777" w:rsidR="00912010" w:rsidRDefault="00912010" w:rsidP="00912010">
      <w:pPr>
        <w:autoSpaceDE w:val="0"/>
        <w:autoSpaceDN w:val="0"/>
        <w:adjustRightInd w:val="0"/>
        <w:rPr>
          <w:rFonts w:ascii="TimesNewRoman" w:hAnsi="TimesNewRoman" w:cs="TimesNewRoman"/>
          <w:sz w:val="20"/>
          <w:lang w:val="en-US" w:eastAsia="ja-JP"/>
        </w:rPr>
      </w:pPr>
      <w:r>
        <w:rPr>
          <w:sz w:val="24"/>
          <w:szCs w:val="18"/>
          <w:lang w:val="en-US" w:eastAsia="ja-JP" w:bidi="he-IL"/>
        </w:rPr>
        <w:t>P1719L41</w:t>
      </w:r>
      <w:r>
        <w:rPr>
          <w:rFonts w:ascii="TimesNewRoman" w:hAnsi="TimesNewRoman" w:cs="TimesNewRoman"/>
          <w:sz w:val="20"/>
          <w:lang w:val="en-US" w:eastAsia="ja-JP"/>
        </w:rPr>
        <w:t xml:space="preserve"> </w:t>
      </w:r>
      <w:r>
        <w:rPr>
          <w:rFonts w:ascii="TimesNewRoman" w:hAnsi="TimesNewRoman" w:cs="TimesNewRoman"/>
          <w:sz w:val="20"/>
          <w:lang w:val="en-US" w:eastAsia="ja-JP"/>
        </w:rPr>
        <w:tab/>
        <w:t>10.2.3.2</w:t>
      </w:r>
    </w:p>
    <w:p w14:paraId="6F6CC030" w14:textId="77777777" w:rsidR="00912010" w:rsidRDefault="00912010" w:rsidP="00912010">
      <w:pPr>
        <w:autoSpaceDE w:val="0"/>
        <w:autoSpaceDN w:val="0"/>
        <w:adjustRightInd w:val="0"/>
        <w:rPr>
          <w:rFonts w:eastAsia="TimesNewRoman"/>
          <w:sz w:val="24"/>
          <w:szCs w:val="24"/>
          <w:lang w:val="en-US" w:eastAsia="ja-JP"/>
        </w:rPr>
      </w:pPr>
      <w:r>
        <w:rPr>
          <w:rFonts w:eastAsia="TimesNewRoman"/>
          <w:sz w:val="24"/>
          <w:szCs w:val="24"/>
          <w:lang w:val="en-US" w:eastAsia="ja-JP"/>
        </w:rPr>
        <w:t>Change</w:t>
      </w:r>
    </w:p>
    <w:p w14:paraId="3A15E3EE" w14:textId="77777777" w:rsidR="00912010" w:rsidRDefault="00912010" w:rsidP="00912010">
      <w:pPr>
        <w:autoSpaceDE w:val="0"/>
        <w:autoSpaceDN w:val="0"/>
        <w:adjustRightInd w:val="0"/>
        <w:rPr>
          <w:rFonts w:eastAsia="TimesNewRoman"/>
          <w:sz w:val="24"/>
          <w:szCs w:val="24"/>
          <w:lang w:val="en-US" w:eastAsia="ja-JP"/>
        </w:rPr>
      </w:pPr>
      <w:r>
        <w:rPr>
          <w:rFonts w:eastAsia="TimesNewRoman"/>
          <w:sz w:val="24"/>
          <w:szCs w:val="24"/>
          <w:lang w:val="en-US" w:eastAsia="ja-JP"/>
        </w:rPr>
        <w:t>“is incremented every time any of the AC parameters changes.”</w:t>
      </w:r>
    </w:p>
    <w:p w14:paraId="74D600FE" w14:textId="77777777" w:rsidR="00912010" w:rsidRDefault="00912010" w:rsidP="00912010">
      <w:pPr>
        <w:autoSpaceDE w:val="0"/>
        <w:autoSpaceDN w:val="0"/>
        <w:adjustRightInd w:val="0"/>
        <w:rPr>
          <w:rFonts w:eastAsia="TimesNewRoman"/>
          <w:sz w:val="24"/>
          <w:szCs w:val="24"/>
          <w:lang w:val="en-US" w:eastAsia="ja-JP"/>
        </w:rPr>
      </w:pPr>
      <w:r>
        <w:rPr>
          <w:rFonts w:eastAsia="TimesNewRoman"/>
          <w:sz w:val="24"/>
          <w:szCs w:val="24"/>
          <w:lang w:val="en-US" w:eastAsia="ja-JP"/>
        </w:rPr>
        <w:t>To</w:t>
      </w:r>
    </w:p>
    <w:p w14:paraId="50F100D1" w14:textId="7501EC89" w:rsidR="00912010" w:rsidRDefault="00912010" w:rsidP="00912010">
      <w:pPr>
        <w:autoSpaceDE w:val="0"/>
        <w:autoSpaceDN w:val="0"/>
        <w:adjustRightInd w:val="0"/>
        <w:rPr>
          <w:rFonts w:eastAsia="TimesNewRoman"/>
          <w:sz w:val="24"/>
          <w:szCs w:val="24"/>
          <w:lang w:val="en-US" w:eastAsia="ja-JP"/>
        </w:rPr>
      </w:pPr>
      <w:r>
        <w:rPr>
          <w:rFonts w:eastAsia="TimesNewRoman"/>
          <w:sz w:val="24"/>
          <w:szCs w:val="24"/>
          <w:lang w:val="en-US" w:eastAsia="ja-JP"/>
        </w:rPr>
        <w:t xml:space="preserve">“is incremented every time any of the </w:t>
      </w:r>
      <w:r w:rsidR="009E5B38" w:rsidRPr="009E5B38">
        <w:rPr>
          <w:rFonts w:eastAsia="TimesNewRoman"/>
          <w:sz w:val="24"/>
          <w:szCs w:val="24"/>
          <w:highlight w:val="cyan"/>
          <w:lang w:val="en-US" w:eastAsia="ja-JP"/>
        </w:rPr>
        <w:t>annou</w:t>
      </w:r>
      <w:r w:rsidR="009E5B38" w:rsidRPr="006F7072">
        <w:rPr>
          <w:rFonts w:eastAsia="TimesNewRoman"/>
          <w:sz w:val="24"/>
          <w:szCs w:val="24"/>
          <w:highlight w:val="cyan"/>
          <w:lang w:val="en-US" w:eastAsia="ja-JP"/>
        </w:rPr>
        <w:t xml:space="preserve">nced </w:t>
      </w:r>
      <w:r w:rsidRPr="006F7072">
        <w:rPr>
          <w:rFonts w:eastAsia="TimesNewRoman"/>
          <w:sz w:val="24"/>
          <w:szCs w:val="24"/>
          <w:highlight w:val="cyan"/>
          <w:lang w:val="en-US" w:eastAsia="ja-JP"/>
        </w:rPr>
        <w:t>EDCA</w:t>
      </w:r>
      <w:r>
        <w:rPr>
          <w:rFonts w:eastAsia="TimesNewRoman"/>
          <w:sz w:val="24"/>
          <w:szCs w:val="24"/>
          <w:lang w:val="en-US" w:eastAsia="ja-JP"/>
        </w:rPr>
        <w:t xml:space="preserve"> parameters change.”</w:t>
      </w:r>
    </w:p>
    <w:p w14:paraId="48B9252C" w14:textId="77777777" w:rsidR="00912010" w:rsidRDefault="00912010" w:rsidP="00912010">
      <w:pPr>
        <w:autoSpaceDE w:val="0"/>
        <w:autoSpaceDN w:val="0"/>
        <w:adjustRightInd w:val="0"/>
        <w:rPr>
          <w:rFonts w:eastAsia="TimesNewRoman"/>
          <w:sz w:val="24"/>
          <w:szCs w:val="24"/>
          <w:lang w:val="en-US" w:eastAsia="ja-JP"/>
        </w:rPr>
      </w:pPr>
    </w:p>
    <w:p w14:paraId="01D3DB42" w14:textId="77777777" w:rsidR="00912010" w:rsidRDefault="00912010" w:rsidP="00912010">
      <w:pPr>
        <w:autoSpaceDE w:val="0"/>
        <w:autoSpaceDN w:val="0"/>
        <w:adjustRightInd w:val="0"/>
        <w:rPr>
          <w:rFonts w:eastAsia="TimesNewRoman"/>
          <w:sz w:val="24"/>
          <w:szCs w:val="24"/>
          <w:lang w:val="en-US" w:eastAsia="ja-JP"/>
        </w:rPr>
      </w:pPr>
      <w:r>
        <w:rPr>
          <w:rFonts w:eastAsia="TimesNewRoman"/>
          <w:sz w:val="24"/>
          <w:szCs w:val="24"/>
          <w:lang w:val="en-US" w:eastAsia="ja-JP"/>
        </w:rPr>
        <w:t xml:space="preserve">P4544L24  </w:t>
      </w:r>
      <w:r>
        <w:rPr>
          <w:rFonts w:eastAsia="TimesNewRoman"/>
          <w:sz w:val="24"/>
          <w:szCs w:val="24"/>
          <w:lang w:val="en-US" w:eastAsia="ja-JP"/>
        </w:rPr>
        <w:tab/>
        <w:t>K.2.1.</w:t>
      </w:r>
    </w:p>
    <w:p w14:paraId="378F3763" w14:textId="77777777" w:rsidR="00912010" w:rsidRDefault="00912010" w:rsidP="00912010">
      <w:pPr>
        <w:autoSpaceDE w:val="0"/>
        <w:autoSpaceDN w:val="0"/>
        <w:adjustRightInd w:val="0"/>
        <w:rPr>
          <w:sz w:val="24"/>
          <w:szCs w:val="24"/>
          <w:lang w:val="en-US" w:eastAsia="ja-JP" w:bidi="he-IL"/>
        </w:rPr>
      </w:pPr>
      <w:r>
        <w:rPr>
          <w:rFonts w:eastAsia="TimesNewRoman"/>
          <w:sz w:val="24"/>
          <w:szCs w:val="24"/>
          <w:lang w:val="en-US" w:eastAsia="ja-JP"/>
        </w:rPr>
        <w:lastRenderedPageBreak/>
        <w:t>“It is recommended that admission control not be required for the access categories AC_BE and AC_BK. The ACM subfield for these categories should be set to 0. The AC parameters chosen by the AP should account for unadmitted traffic in these ACs.”</w:t>
      </w:r>
      <w:r>
        <w:rPr>
          <w:sz w:val="24"/>
          <w:szCs w:val="24"/>
          <w:lang w:val="en-US" w:eastAsia="ja-JP" w:bidi="he-IL"/>
        </w:rPr>
        <w:t xml:space="preserve"> </w:t>
      </w:r>
    </w:p>
    <w:p w14:paraId="0C4CA497" w14:textId="77777777" w:rsidR="00912010" w:rsidRDefault="00912010" w:rsidP="00912010">
      <w:pPr>
        <w:rPr>
          <w:sz w:val="24"/>
          <w:szCs w:val="24"/>
          <w:lang w:val="en-US" w:eastAsia="ja-JP" w:bidi="he-IL"/>
        </w:rPr>
      </w:pPr>
      <w:r>
        <w:rPr>
          <w:sz w:val="24"/>
          <w:szCs w:val="24"/>
          <w:lang w:val="en-US" w:eastAsia="ja-JP" w:bidi="he-IL"/>
        </w:rPr>
        <w:t>To</w:t>
      </w:r>
    </w:p>
    <w:p w14:paraId="7352F43E" w14:textId="77777777" w:rsidR="00912010" w:rsidRDefault="00912010" w:rsidP="00912010">
      <w:pPr>
        <w:autoSpaceDE w:val="0"/>
        <w:autoSpaceDN w:val="0"/>
        <w:adjustRightInd w:val="0"/>
        <w:rPr>
          <w:sz w:val="24"/>
          <w:szCs w:val="24"/>
          <w:lang w:val="en-US" w:eastAsia="ja-JP" w:bidi="he-IL"/>
        </w:rPr>
      </w:pPr>
      <w:r>
        <w:rPr>
          <w:rFonts w:eastAsia="TimesNewRoman"/>
          <w:sz w:val="24"/>
          <w:szCs w:val="24"/>
          <w:lang w:val="en-US" w:eastAsia="ja-JP"/>
        </w:rPr>
        <w:t>“It is recommended that admission control not be required for the access categories AC_BE and AC_BK. The ACM subfield for these categories should be set to 0. The values of the EDCA parameters chosen by the AP should account for unadmitted traffic in these ACs.”</w:t>
      </w:r>
      <w:r>
        <w:rPr>
          <w:sz w:val="24"/>
          <w:szCs w:val="24"/>
          <w:lang w:val="en-US" w:eastAsia="ja-JP" w:bidi="he-IL"/>
        </w:rPr>
        <w:t xml:space="preserve"> </w:t>
      </w:r>
    </w:p>
    <w:p w14:paraId="5070E1FD" w14:textId="77777777" w:rsidR="00912010" w:rsidRDefault="00912010" w:rsidP="00912010">
      <w:pPr>
        <w:rPr>
          <w:sz w:val="24"/>
          <w:szCs w:val="24"/>
          <w:lang w:val="en-US" w:eastAsia="ja-JP" w:bidi="he-IL"/>
        </w:rPr>
      </w:pPr>
    </w:p>
    <w:p w14:paraId="159A7D4E" w14:textId="77777777" w:rsidR="00912010" w:rsidRDefault="00912010" w:rsidP="00912010">
      <w:pPr>
        <w:autoSpaceDE w:val="0"/>
        <w:autoSpaceDN w:val="0"/>
        <w:adjustRightInd w:val="0"/>
        <w:rPr>
          <w:rFonts w:eastAsia="TimesNewRoman"/>
          <w:sz w:val="24"/>
          <w:szCs w:val="24"/>
          <w:lang w:val="en-US" w:eastAsia="ja-JP"/>
        </w:rPr>
      </w:pPr>
      <w:r>
        <w:rPr>
          <w:rFonts w:eastAsia="TimesNewRoman"/>
          <w:sz w:val="24"/>
          <w:szCs w:val="24"/>
          <w:lang w:val="en-US" w:eastAsia="ja-JP"/>
        </w:rPr>
        <w:t>P4544L32</w:t>
      </w:r>
      <w:r>
        <w:rPr>
          <w:rFonts w:eastAsia="TimesNewRoman"/>
          <w:sz w:val="24"/>
          <w:szCs w:val="24"/>
          <w:lang w:val="en-US" w:eastAsia="ja-JP"/>
        </w:rPr>
        <w:tab/>
        <w:t>K.2.1.</w:t>
      </w:r>
    </w:p>
    <w:p w14:paraId="62C5DD5E" w14:textId="77777777" w:rsidR="00912010" w:rsidRDefault="00912010" w:rsidP="00912010">
      <w:pPr>
        <w:autoSpaceDE w:val="0"/>
        <w:autoSpaceDN w:val="0"/>
        <w:adjustRightInd w:val="0"/>
        <w:rPr>
          <w:rFonts w:eastAsia="TimesNewRoman"/>
          <w:sz w:val="24"/>
          <w:szCs w:val="24"/>
          <w:lang w:val="en-US" w:eastAsia="ja-JP"/>
        </w:rPr>
      </w:pPr>
      <w:r>
        <w:rPr>
          <w:rFonts w:eastAsia="TimesNewRoman"/>
          <w:sz w:val="24"/>
          <w:szCs w:val="24"/>
          <w:lang w:val="en-US" w:eastAsia="ja-JP"/>
        </w:rPr>
        <w:t>Change:</w:t>
      </w:r>
    </w:p>
    <w:p w14:paraId="5BCA5CA7" w14:textId="77777777" w:rsidR="00912010" w:rsidRDefault="00912010" w:rsidP="00912010">
      <w:pPr>
        <w:autoSpaceDE w:val="0"/>
        <w:autoSpaceDN w:val="0"/>
        <w:adjustRightInd w:val="0"/>
        <w:rPr>
          <w:rFonts w:eastAsia="TimesNewRoman"/>
          <w:sz w:val="24"/>
          <w:szCs w:val="24"/>
          <w:lang w:val="en-US" w:eastAsia="ja-JP"/>
        </w:rPr>
      </w:pPr>
      <w:r>
        <w:rPr>
          <w:rFonts w:eastAsia="TimesNewRoman"/>
          <w:sz w:val="24"/>
          <w:szCs w:val="24"/>
          <w:lang w:val="en-US" w:eastAsia="ja-JP"/>
        </w:rPr>
        <w:t>“AC parameters chosen by the AP should further account for any unadmitted traffic in AC_VO and AC_VI that might be reserved for users of a particular SSPN.”</w:t>
      </w:r>
    </w:p>
    <w:p w14:paraId="7D515605" w14:textId="77777777" w:rsidR="00912010" w:rsidRDefault="00912010" w:rsidP="00912010">
      <w:pPr>
        <w:autoSpaceDE w:val="0"/>
        <w:autoSpaceDN w:val="0"/>
        <w:adjustRightInd w:val="0"/>
        <w:rPr>
          <w:rFonts w:eastAsia="TimesNewRoman"/>
          <w:sz w:val="24"/>
          <w:szCs w:val="24"/>
          <w:lang w:val="en-US" w:eastAsia="ja-JP"/>
        </w:rPr>
      </w:pPr>
      <w:r>
        <w:rPr>
          <w:rFonts w:eastAsia="TimesNewRoman"/>
          <w:sz w:val="24"/>
          <w:szCs w:val="24"/>
          <w:lang w:val="en-US" w:eastAsia="ja-JP"/>
        </w:rPr>
        <w:t xml:space="preserve">To </w:t>
      </w:r>
    </w:p>
    <w:p w14:paraId="345DF87A" w14:textId="77777777" w:rsidR="00912010" w:rsidRDefault="00912010" w:rsidP="00912010">
      <w:pPr>
        <w:autoSpaceDE w:val="0"/>
        <w:autoSpaceDN w:val="0"/>
        <w:adjustRightInd w:val="0"/>
        <w:rPr>
          <w:rFonts w:eastAsia="TimesNewRoman"/>
          <w:sz w:val="24"/>
          <w:szCs w:val="24"/>
          <w:lang w:val="en-US" w:eastAsia="ja-JP"/>
        </w:rPr>
      </w:pPr>
      <w:r>
        <w:rPr>
          <w:rFonts w:eastAsia="TimesNewRoman"/>
          <w:sz w:val="24"/>
          <w:szCs w:val="24"/>
          <w:lang w:val="en-US" w:eastAsia="ja-JP"/>
        </w:rPr>
        <w:t>“EDCA parameters chosen by the AP should further account for any unadmitted traffic in AC_VO and AC_VI that might be reserved for users of a particular SSPN.”</w:t>
      </w:r>
    </w:p>
    <w:p w14:paraId="7C9453EF" w14:textId="77777777" w:rsidR="00912010" w:rsidRDefault="00912010" w:rsidP="0073659C">
      <w:pPr>
        <w:rPr>
          <w:bCs/>
          <w:szCs w:val="22"/>
        </w:rPr>
      </w:pPr>
    </w:p>
    <w:p w14:paraId="4675E2B0" w14:textId="77777777" w:rsidR="00873A2E" w:rsidRDefault="0073659C" w:rsidP="0073659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73A2E" w14:paraId="5821058C" w14:textId="77777777" w:rsidTr="00F474C1">
        <w:trPr>
          <w:trHeight w:val="524"/>
        </w:trPr>
        <w:tc>
          <w:tcPr>
            <w:tcW w:w="738" w:type="dxa"/>
            <w:tcBorders>
              <w:top w:val="single" w:sz="4" w:space="0" w:color="auto"/>
              <w:left w:val="single" w:sz="4" w:space="0" w:color="auto"/>
              <w:bottom w:val="single" w:sz="4" w:space="0" w:color="auto"/>
              <w:right w:val="single" w:sz="4" w:space="0" w:color="auto"/>
            </w:tcBorders>
            <w:hideMark/>
          </w:tcPr>
          <w:p w14:paraId="33864F95" w14:textId="77777777" w:rsidR="00873A2E" w:rsidRDefault="00873A2E"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2A7D235" w14:textId="77777777" w:rsidR="00873A2E" w:rsidRDefault="00873A2E"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B38153E" w14:textId="77777777" w:rsidR="00873A2E" w:rsidRDefault="00873A2E"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193CB21" w14:textId="77777777" w:rsidR="00873A2E" w:rsidRDefault="00873A2E"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DE4A880" w14:textId="77777777" w:rsidR="00873A2E" w:rsidRDefault="00873A2E"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873A2E" w:rsidRPr="00DE7477" w14:paraId="5444BFCC" w14:textId="77777777" w:rsidTr="00F474C1">
        <w:trPr>
          <w:trHeight w:val="765"/>
        </w:trPr>
        <w:tc>
          <w:tcPr>
            <w:tcW w:w="738" w:type="dxa"/>
          </w:tcPr>
          <w:p w14:paraId="20CF7A75" w14:textId="77777777" w:rsidR="00873A2E" w:rsidRDefault="00873A2E" w:rsidP="00F474C1">
            <w:pPr>
              <w:jc w:val="right"/>
              <w:rPr>
                <w:rFonts w:ascii="Arial" w:eastAsia="Times New Roman" w:hAnsi="Arial" w:cs="Arial"/>
                <w:color w:val="000000"/>
                <w:sz w:val="20"/>
                <w:lang w:val="en-US"/>
              </w:rPr>
            </w:pPr>
            <w:r>
              <w:rPr>
                <w:rFonts w:ascii="Arial" w:eastAsia="Times New Roman" w:hAnsi="Arial" w:cs="Arial"/>
                <w:color w:val="000000"/>
                <w:sz w:val="20"/>
                <w:lang w:val="en-US"/>
              </w:rPr>
              <w:t>4445</w:t>
            </w:r>
          </w:p>
        </w:tc>
        <w:tc>
          <w:tcPr>
            <w:tcW w:w="990" w:type="dxa"/>
          </w:tcPr>
          <w:p w14:paraId="5299B10C" w14:textId="77777777" w:rsidR="00873A2E" w:rsidRDefault="00873A2E" w:rsidP="00F474C1">
            <w:pPr>
              <w:jc w:val="right"/>
              <w:rPr>
                <w:rFonts w:ascii="Arial" w:eastAsia="Times New Roman" w:hAnsi="Arial" w:cs="Arial"/>
                <w:color w:val="000000"/>
                <w:sz w:val="20"/>
                <w:lang w:val="en-US"/>
              </w:rPr>
            </w:pPr>
            <w:r>
              <w:rPr>
                <w:rFonts w:ascii="Arial" w:eastAsia="Times New Roman" w:hAnsi="Arial" w:cs="Arial"/>
                <w:color w:val="000000"/>
                <w:sz w:val="20"/>
                <w:lang w:val="en-US"/>
              </w:rPr>
              <w:t>1011.8</w:t>
            </w:r>
          </w:p>
        </w:tc>
        <w:tc>
          <w:tcPr>
            <w:tcW w:w="1080" w:type="dxa"/>
          </w:tcPr>
          <w:p w14:paraId="6D29EB54" w14:textId="77777777" w:rsidR="00873A2E" w:rsidRDefault="00873A2E" w:rsidP="00F474C1">
            <w:pPr>
              <w:rPr>
                <w:rFonts w:ascii="Arial" w:eastAsia="Times New Roman" w:hAnsi="Arial" w:cs="Arial"/>
                <w:color w:val="000000"/>
                <w:sz w:val="20"/>
                <w:lang w:val="en-US"/>
              </w:rPr>
            </w:pPr>
          </w:p>
        </w:tc>
        <w:tc>
          <w:tcPr>
            <w:tcW w:w="3600" w:type="dxa"/>
          </w:tcPr>
          <w:p w14:paraId="7C35EAC6" w14:textId="77777777" w:rsidR="00873A2E" w:rsidRPr="00421B3E" w:rsidRDefault="00873A2E" w:rsidP="00F474C1">
            <w:pPr>
              <w:rPr>
                <w:rFonts w:ascii="Arial" w:eastAsia="Times New Roman" w:hAnsi="Arial" w:cs="Arial"/>
                <w:color w:val="000000"/>
                <w:sz w:val="20"/>
                <w:lang w:val="en-US"/>
              </w:rPr>
            </w:pPr>
            <w:r w:rsidRPr="00421B3E">
              <w:rPr>
                <w:rFonts w:ascii="Arial" w:eastAsia="Times New Roman" w:hAnsi="Arial" w:cs="Arial"/>
                <w:color w:val="000000"/>
                <w:sz w:val="20"/>
                <w:lang w:val="en-US"/>
              </w:rPr>
              <w:t>"For nonmesh STAs, the Channel Switch Count field either is set to the number of TBTTs until the STA</w:t>
            </w:r>
          </w:p>
          <w:p w14:paraId="3B7CB879" w14:textId="77777777" w:rsidR="00873A2E" w:rsidRPr="00421B3E" w:rsidRDefault="00873A2E" w:rsidP="00F474C1">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or is set to 0. (MDR2)A 1</w:t>
            </w:r>
          </w:p>
          <w:p w14:paraId="3ABDCE41" w14:textId="77777777" w:rsidR="00873A2E" w:rsidRPr="00421B3E" w:rsidRDefault="00873A2E" w:rsidP="00F474C1">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A 0 indicates that the switch occurs at</w:t>
            </w:r>
          </w:p>
          <w:p w14:paraId="1E9E545B" w14:textId="77777777" w:rsidR="00873A2E" w:rsidRPr="008F5220" w:rsidRDefault="00873A2E" w:rsidP="00F474C1">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 is self-contradictory.  If it switches before the next TBTT, the number of TBTTs until the switch was 0</w:t>
            </w:r>
          </w:p>
        </w:tc>
        <w:tc>
          <w:tcPr>
            <w:tcW w:w="3600" w:type="dxa"/>
          </w:tcPr>
          <w:p w14:paraId="3B16D823" w14:textId="77777777" w:rsidR="00873A2E" w:rsidRPr="00421B3E" w:rsidRDefault="00873A2E" w:rsidP="00F474C1">
            <w:pPr>
              <w:rPr>
                <w:rFonts w:ascii="Arial" w:eastAsia="Times New Roman" w:hAnsi="Arial" w:cs="Arial"/>
                <w:color w:val="000000"/>
                <w:sz w:val="20"/>
                <w:lang w:val="en-US"/>
              </w:rPr>
            </w:pPr>
            <w:r w:rsidRPr="00421B3E">
              <w:rPr>
                <w:rFonts w:ascii="Arial" w:eastAsia="Times New Roman" w:hAnsi="Arial" w:cs="Arial"/>
                <w:color w:val="000000"/>
                <w:sz w:val="20"/>
                <w:lang w:val="en-US"/>
              </w:rPr>
              <w:t>Change to "For nonmesh STAs, the Channel Switch Count field is set to the number of TBTTs until the STA</w:t>
            </w:r>
          </w:p>
          <w:p w14:paraId="766E8F94" w14:textId="77777777" w:rsidR="00873A2E" w:rsidRPr="00421B3E" w:rsidRDefault="00873A2E" w:rsidP="00F474C1">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(MDR2)1</w:t>
            </w:r>
          </w:p>
          <w:p w14:paraId="0A870AF1" w14:textId="77777777" w:rsidR="00873A2E" w:rsidRPr="00421B3E" w:rsidRDefault="00873A2E" w:rsidP="00F474C1">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0 indicates that the switch occurs at</w:t>
            </w:r>
          </w:p>
          <w:p w14:paraId="79BB81DC" w14:textId="77777777" w:rsidR="00873A2E" w:rsidRDefault="00873A2E" w:rsidP="00F474C1">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w:t>
            </w:r>
          </w:p>
          <w:p w14:paraId="2971CB9C" w14:textId="77777777" w:rsidR="00873A2E" w:rsidRDefault="00873A2E" w:rsidP="00F474C1">
            <w:pPr>
              <w:rPr>
                <w:rFonts w:ascii="Arial" w:eastAsia="Times New Roman" w:hAnsi="Arial" w:cs="Arial"/>
                <w:color w:val="000000"/>
                <w:sz w:val="20"/>
                <w:lang w:val="en-US"/>
              </w:rPr>
            </w:pPr>
          </w:p>
          <w:p w14:paraId="0D9CEEBA" w14:textId="77777777" w:rsidR="00873A2E" w:rsidRDefault="00873A2E" w:rsidP="00F474C1">
            <w:pPr>
              <w:rPr>
                <w:rFonts w:ascii="Arial" w:eastAsia="Times New Roman" w:hAnsi="Arial" w:cs="Arial"/>
                <w:color w:val="000000"/>
                <w:sz w:val="20"/>
                <w:lang w:val="en-US"/>
              </w:rPr>
            </w:pPr>
            <w:r>
              <w:rPr>
                <w:rFonts w:ascii="Arial" w:eastAsia="Times New Roman" w:hAnsi="Arial" w:cs="Arial"/>
                <w:color w:val="000000"/>
                <w:sz w:val="20"/>
                <w:lang w:val="en-US"/>
              </w:rPr>
              <w:t>Proposed:</w:t>
            </w:r>
          </w:p>
          <w:p w14:paraId="587EFAE2" w14:textId="77777777" w:rsidR="00873A2E" w:rsidRPr="00421B3E" w:rsidRDefault="00873A2E" w:rsidP="00F474C1">
            <w:pPr>
              <w:rPr>
                <w:rFonts w:ascii="Arial" w:eastAsia="Times New Roman" w:hAnsi="Arial" w:cs="Arial"/>
                <w:color w:val="000000"/>
                <w:sz w:val="20"/>
                <w:lang w:val="en-US"/>
              </w:rPr>
            </w:pPr>
            <w:r w:rsidRPr="00421B3E">
              <w:rPr>
                <w:rFonts w:ascii="Arial" w:eastAsia="Times New Roman" w:hAnsi="Arial" w:cs="Arial"/>
                <w:color w:val="000000"/>
                <w:sz w:val="20"/>
                <w:lang w:val="en-US"/>
              </w:rPr>
              <w:t>At P1011L8</w:t>
            </w:r>
          </w:p>
          <w:p w14:paraId="1A6B9B7A" w14:textId="77777777" w:rsidR="00873A2E" w:rsidRPr="00421B3E" w:rsidRDefault="00873A2E" w:rsidP="00F474C1">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Change </w:t>
            </w:r>
          </w:p>
          <w:p w14:paraId="2D3855F6" w14:textId="77777777" w:rsidR="00873A2E" w:rsidRPr="00421B3E" w:rsidRDefault="00873A2E" w:rsidP="00F474C1">
            <w:pPr>
              <w:rPr>
                <w:rFonts w:ascii="Arial" w:eastAsia="Times New Roman" w:hAnsi="Arial" w:cs="Arial"/>
                <w:color w:val="000000"/>
                <w:sz w:val="20"/>
                <w:lang w:val="en-US"/>
              </w:rPr>
            </w:pPr>
            <w:r w:rsidRPr="00421B3E">
              <w:rPr>
                <w:rFonts w:ascii="Arial" w:eastAsia="Times New Roman" w:hAnsi="Arial" w:cs="Arial"/>
                <w:color w:val="000000"/>
                <w:sz w:val="20"/>
                <w:lang w:val="en-US"/>
              </w:rPr>
              <w:t>“For nonmesh STAs, the Channel Switch Count field either is set to the number of TBTTs until the STA sending the Channel Switch Announcement element switches to the new channel or is set to 0. A 1 indicates that the switch occurs immediately before the next TBTT. A 0 indicates that the switch occurs at any time after the frame containing the element is transmitted.”</w:t>
            </w:r>
          </w:p>
          <w:p w14:paraId="65469282" w14:textId="77777777" w:rsidR="00873A2E" w:rsidRPr="00421B3E" w:rsidRDefault="00873A2E" w:rsidP="00F474C1">
            <w:pPr>
              <w:rPr>
                <w:rFonts w:ascii="Arial" w:eastAsia="Times New Roman" w:hAnsi="Arial" w:cs="Arial"/>
                <w:color w:val="000000"/>
                <w:sz w:val="20"/>
                <w:lang w:val="en-US"/>
              </w:rPr>
            </w:pPr>
            <w:r w:rsidRPr="00421B3E">
              <w:rPr>
                <w:rFonts w:ascii="Arial" w:eastAsia="Times New Roman" w:hAnsi="Arial" w:cs="Arial"/>
                <w:color w:val="000000"/>
                <w:sz w:val="20"/>
                <w:lang w:val="en-US"/>
              </w:rPr>
              <w:t>To</w:t>
            </w:r>
          </w:p>
          <w:p w14:paraId="5F6F84C1" w14:textId="77777777" w:rsidR="00873A2E" w:rsidRPr="008F5220" w:rsidRDefault="00873A2E" w:rsidP="00F474C1">
            <w:pPr>
              <w:rPr>
                <w:rFonts w:ascii="Arial" w:eastAsia="Times New Roman" w:hAnsi="Arial" w:cs="Arial"/>
                <w:color w:val="000000"/>
                <w:sz w:val="20"/>
                <w:lang w:val="en-US"/>
              </w:rPr>
            </w:pPr>
            <w:r w:rsidRPr="00421B3E">
              <w:rPr>
                <w:rFonts w:ascii="Arial" w:eastAsia="Times New Roman" w:hAnsi="Arial" w:cs="Arial"/>
                <w:color w:val="000000"/>
                <w:sz w:val="20"/>
                <w:lang w:val="en-US"/>
              </w:rPr>
              <w:t>"For nonmesh STAs, the Channel Switch Count field is set to the number of TBTTs until the STA sending the Channel Switch Announcement element switches to the new channel. A value of 1 indicates that the switch occurs immediately before  the next TBTT and a value of 0 indicates that the switch occurs at any time after the frame containing the element is transmitted."</w:t>
            </w:r>
          </w:p>
        </w:tc>
      </w:tr>
    </w:tbl>
    <w:p w14:paraId="2A60189E" w14:textId="77777777" w:rsidR="00873A2E" w:rsidRDefault="00873A2E" w:rsidP="00873A2E">
      <w:pPr>
        <w:rPr>
          <w:bCs/>
          <w:szCs w:val="22"/>
        </w:rPr>
      </w:pPr>
    </w:p>
    <w:p w14:paraId="439D3040" w14:textId="77777777" w:rsidR="00873A2E" w:rsidRDefault="00873A2E" w:rsidP="00873A2E">
      <w:pPr>
        <w:rPr>
          <w:bCs/>
          <w:szCs w:val="22"/>
        </w:rPr>
      </w:pPr>
      <w:r>
        <w:rPr>
          <w:bCs/>
          <w:szCs w:val="22"/>
          <w:u w:val="single"/>
        </w:rPr>
        <w:t>Discussion:</w:t>
      </w:r>
    </w:p>
    <w:p w14:paraId="0050F2B4" w14:textId="77777777" w:rsidR="00873A2E" w:rsidRDefault="00873A2E" w:rsidP="00873A2E">
      <w:pPr>
        <w:rPr>
          <w:bCs/>
          <w:szCs w:val="22"/>
        </w:rPr>
      </w:pPr>
    </w:p>
    <w:p w14:paraId="449ED4AD" w14:textId="2D322DCE" w:rsidR="00E52206" w:rsidRDefault="00E52206" w:rsidP="00873A2E">
      <w:pPr>
        <w:autoSpaceDE w:val="0"/>
        <w:autoSpaceDN w:val="0"/>
        <w:adjustRightInd w:val="0"/>
        <w:rPr>
          <w:sz w:val="24"/>
          <w:szCs w:val="18"/>
          <w:lang w:val="en-US" w:eastAsia="ja-JP" w:bidi="he-IL"/>
        </w:rPr>
      </w:pPr>
      <w:r>
        <w:rPr>
          <w:sz w:val="24"/>
          <w:szCs w:val="18"/>
          <w:lang w:val="en-US" w:eastAsia="ja-JP" w:bidi="he-IL"/>
        </w:rPr>
        <w:t>From discussion in February, and in 11-20/0272:</w:t>
      </w:r>
    </w:p>
    <w:p w14:paraId="0ADEFC56" w14:textId="77777777" w:rsidR="00E52206" w:rsidRDefault="00E52206" w:rsidP="00873A2E">
      <w:pPr>
        <w:autoSpaceDE w:val="0"/>
        <w:autoSpaceDN w:val="0"/>
        <w:adjustRightInd w:val="0"/>
        <w:rPr>
          <w:sz w:val="24"/>
          <w:szCs w:val="18"/>
          <w:lang w:val="en-US" w:eastAsia="ja-JP" w:bidi="he-IL"/>
        </w:rPr>
      </w:pPr>
    </w:p>
    <w:p w14:paraId="4078BC84" w14:textId="77777777" w:rsidR="006478EE" w:rsidRDefault="006478EE" w:rsidP="006478EE">
      <w:pPr>
        <w:autoSpaceDE w:val="0"/>
        <w:autoSpaceDN w:val="0"/>
        <w:adjustRightInd w:val="0"/>
        <w:rPr>
          <w:rFonts w:eastAsia="TimesNewRoman"/>
          <w:color w:val="000000"/>
          <w:sz w:val="24"/>
          <w:szCs w:val="24"/>
          <w:lang w:val="en-US" w:eastAsia="ja-JP"/>
        </w:rPr>
      </w:pPr>
      <w:r>
        <w:rPr>
          <w:rFonts w:eastAsia="TimesNewRoman"/>
          <w:color w:val="000000"/>
          <w:sz w:val="24"/>
          <w:szCs w:val="24"/>
          <w:lang w:val="en-US" w:eastAsia="ja-JP"/>
        </w:rPr>
        <w:t>P1011L8</w:t>
      </w:r>
    </w:p>
    <w:p w14:paraId="72E4E2ED" w14:textId="77777777" w:rsidR="006478EE" w:rsidRDefault="006478EE" w:rsidP="006478EE">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nonmesh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(MDR2)</w:t>
      </w:r>
      <w:r>
        <w:rPr>
          <w:rFonts w:eastAsia="TimesNewRoman"/>
          <w:color w:val="000000"/>
          <w:sz w:val="24"/>
          <w:szCs w:val="24"/>
          <w:lang w:val="en-US" w:eastAsia="ja-JP"/>
        </w:rPr>
        <w:t>A 1 indicates that the switch occurs immediately before the next TBTT. A 0 indicates that the switch occurs at any time after the frame containing the element is transmitted.”</w:t>
      </w:r>
    </w:p>
    <w:p w14:paraId="51E2892B" w14:textId="77777777" w:rsidR="006478EE" w:rsidRDefault="006478EE" w:rsidP="006478EE">
      <w:pPr>
        <w:autoSpaceDE w:val="0"/>
        <w:autoSpaceDN w:val="0"/>
        <w:adjustRightInd w:val="0"/>
        <w:rPr>
          <w:sz w:val="24"/>
          <w:szCs w:val="24"/>
          <w:lang w:val="en-US" w:eastAsia="ja-JP" w:bidi="he-IL"/>
        </w:rPr>
      </w:pPr>
    </w:p>
    <w:p w14:paraId="7AB52630" w14:textId="77777777" w:rsidR="006478EE" w:rsidRDefault="006478EE" w:rsidP="006478EE">
      <w:pPr>
        <w:autoSpaceDE w:val="0"/>
        <w:autoSpaceDN w:val="0"/>
        <w:adjustRightInd w:val="0"/>
        <w:rPr>
          <w:sz w:val="24"/>
          <w:szCs w:val="24"/>
          <w:lang w:val="en-US" w:eastAsia="ja-JP" w:bidi="he-IL"/>
        </w:rPr>
      </w:pPr>
      <w:r>
        <w:rPr>
          <w:sz w:val="24"/>
          <w:szCs w:val="24"/>
          <w:lang w:val="en-US" w:eastAsia="ja-JP" w:bidi="he-IL"/>
        </w:rPr>
        <w:t xml:space="preserve">Agree with commenter </w:t>
      </w:r>
    </w:p>
    <w:p w14:paraId="1286EB0A" w14:textId="77777777" w:rsidR="006478EE" w:rsidRDefault="006478EE" w:rsidP="006478EE">
      <w:pPr>
        <w:autoSpaceDE w:val="0"/>
        <w:autoSpaceDN w:val="0"/>
        <w:adjustRightInd w:val="0"/>
        <w:rPr>
          <w:sz w:val="24"/>
          <w:szCs w:val="24"/>
        </w:rPr>
      </w:pPr>
      <w:r>
        <w:rPr>
          <w:sz w:val="24"/>
          <w:szCs w:val="24"/>
        </w:rPr>
        <w:t>Comment suggested change to:</w:t>
      </w:r>
    </w:p>
    <w:p w14:paraId="5CF38BD0" w14:textId="77777777" w:rsidR="006478EE" w:rsidRDefault="006478EE" w:rsidP="006478EE">
      <w:pPr>
        <w:autoSpaceDE w:val="0"/>
        <w:autoSpaceDN w:val="0"/>
        <w:adjustRightInd w:val="0"/>
        <w:rPr>
          <w:sz w:val="24"/>
          <w:szCs w:val="24"/>
        </w:rPr>
      </w:pPr>
      <w:r>
        <w:rPr>
          <w:sz w:val="24"/>
          <w:szCs w:val="24"/>
        </w:rPr>
        <w:t xml:space="preserve">"For nonmesh STAs, the Channel Switch Count field is set to the number of TBTTs until the STA sending the Channel Switch Announcement element switches to the new channel. (MDR2)1 indicates </w:t>
      </w:r>
      <w:r>
        <w:rPr>
          <w:sz w:val="24"/>
          <w:szCs w:val="24"/>
        </w:rPr>
        <w:lastRenderedPageBreak/>
        <w:t>that the switch occurs immediately before the next TBTT. 0 indicates that the switch occurs at any time after the frame containing the element is transmitted."</w:t>
      </w:r>
    </w:p>
    <w:p w14:paraId="064798B6" w14:textId="77777777" w:rsidR="006478EE" w:rsidRDefault="006478EE" w:rsidP="006478EE">
      <w:pPr>
        <w:autoSpaceDE w:val="0"/>
        <w:autoSpaceDN w:val="0"/>
        <w:adjustRightInd w:val="0"/>
        <w:rPr>
          <w:sz w:val="24"/>
          <w:szCs w:val="24"/>
        </w:rPr>
      </w:pPr>
    </w:p>
    <w:p w14:paraId="03BA320C" w14:textId="40A00374" w:rsidR="006478EE" w:rsidRDefault="006478EE" w:rsidP="006478EE">
      <w:pPr>
        <w:autoSpaceDE w:val="0"/>
        <w:autoSpaceDN w:val="0"/>
        <w:adjustRightInd w:val="0"/>
        <w:rPr>
          <w:sz w:val="24"/>
          <w:szCs w:val="24"/>
        </w:rPr>
      </w:pPr>
      <w:r>
        <w:rPr>
          <w:sz w:val="24"/>
          <w:szCs w:val="24"/>
        </w:rPr>
        <w:t xml:space="preserve">Not sure about “1 indicates”, how about </w:t>
      </w:r>
    </w:p>
    <w:p w14:paraId="191EA51E" w14:textId="77777777" w:rsidR="006478EE" w:rsidRDefault="006478EE" w:rsidP="006478EE">
      <w:pPr>
        <w:autoSpaceDE w:val="0"/>
        <w:autoSpaceDN w:val="0"/>
        <w:adjustRightInd w:val="0"/>
        <w:rPr>
          <w:sz w:val="24"/>
          <w:szCs w:val="24"/>
        </w:rPr>
      </w:pPr>
    </w:p>
    <w:p w14:paraId="47B13090" w14:textId="77777777" w:rsidR="006478EE" w:rsidRDefault="006478EE" w:rsidP="006478EE">
      <w:pPr>
        <w:autoSpaceDE w:val="0"/>
        <w:autoSpaceDN w:val="0"/>
        <w:adjustRightInd w:val="0"/>
        <w:rPr>
          <w:sz w:val="24"/>
          <w:szCs w:val="24"/>
        </w:rPr>
      </w:pPr>
      <w:r w:rsidRPr="00E52206">
        <w:rPr>
          <w:sz w:val="24"/>
          <w:szCs w:val="24"/>
        </w:rPr>
        <w:t>REVISED</w:t>
      </w:r>
    </w:p>
    <w:p w14:paraId="73A0D4C8" w14:textId="77777777" w:rsidR="006478EE" w:rsidRDefault="006478EE" w:rsidP="006478EE">
      <w:pPr>
        <w:autoSpaceDE w:val="0"/>
        <w:autoSpaceDN w:val="0"/>
        <w:adjustRightInd w:val="0"/>
        <w:rPr>
          <w:sz w:val="24"/>
          <w:szCs w:val="24"/>
        </w:rPr>
      </w:pPr>
      <w:r>
        <w:rPr>
          <w:sz w:val="24"/>
          <w:szCs w:val="24"/>
        </w:rPr>
        <w:t>At P1011L8</w:t>
      </w:r>
    </w:p>
    <w:p w14:paraId="7C100001" w14:textId="77777777" w:rsidR="006478EE" w:rsidRDefault="006478EE" w:rsidP="006478EE">
      <w:pPr>
        <w:autoSpaceDE w:val="0"/>
        <w:autoSpaceDN w:val="0"/>
        <w:adjustRightInd w:val="0"/>
        <w:rPr>
          <w:sz w:val="24"/>
          <w:szCs w:val="24"/>
        </w:rPr>
      </w:pPr>
      <w:r>
        <w:rPr>
          <w:sz w:val="24"/>
          <w:szCs w:val="24"/>
        </w:rPr>
        <w:t xml:space="preserve">Change </w:t>
      </w:r>
    </w:p>
    <w:p w14:paraId="0CDD103E" w14:textId="77777777" w:rsidR="006478EE" w:rsidRDefault="006478EE" w:rsidP="006478EE">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nonmesh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(MDR2)</w:t>
      </w:r>
      <w:r>
        <w:rPr>
          <w:rFonts w:eastAsia="TimesNewRoman"/>
          <w:color w:val="000000"/>
          <w:sz w:val="24"/>
          <w:szCs w:val="24"/>
          <w:lang w:val="en-US" w:eastAsia="ja-JP"/>
        </w:rPr>
        <w:t>A 1 indicates that the switch occurs immediately before the next TBTT. A 0 indicates that the switch occurs at any time after the frame containing the element is transmitted.”</w:t>
      </w:r>
    </w:p>
    <w:p w14:paraId="17C4C0F7" w14:textId="77777777" w:rsidR="006478EE" w:rsidRDefault="006478EE" w:rsidP="006478EE">
      <w:pPr>
        <w:autoSpaceDE w:val="0"/>
        <w:autoSpaceDN w:val="0"/>
        <w:adjustRightInd w:val="0"/>
        <w:rPr>
          <w:sz w:val="24"/>
          <w:szCs w:val="24"/>
        </w:rPr>
      </w:pPr>
      <w:r>
        <w:rPr>
          <w:sz w:val="24"/>
          <w:szCs w:val="24"/>
        </w:rPr>
        <w:t>To</w:t>
      </w:r>
    </w:p>
    <w:p w14:paraId="722B7E2C" w14:textId="77777777" w:rsidR="006478EE" w:rsidRDefault="006478EE" w:rsidP="006478EE">
      <w:pPr>
        <w:autoSpaceDE w:val="0"/>
        <w:autoSpaceDN w:val="0"/>
        <w:adjustRightInd w:val="0"/>
        <w:rPr>
          <w:sz w:val="24"/>
          <w:szCs w:val="24"/>
        </w:rPr>
      </w:pPr>
      <w:r>
        <w:rPr>
          <w:sz w:val="24"/>
          <w:szCs w:val="24"/>
        </w:rPr>
        <w:t xml:space="preserve">"For nonmesh STAs, the Channel Switch Count field is set to the number of TBTTs until the STA sending the Channel Switch Announcement element switches to the new channel. (MDR2)A value of 1 indicates that the switch occurs </w:t>
      </w:r>
      <w:commentRangeStart w:id="3"/>
      <w:r>
        <w:rPr>
          <w:sz w:val="24"/>
          <w:szCs w:val="24"/>
        </w:rPr>
        <w:t xml:space="preserve">immediately before </w:t>
      </w:r>
      <w:commentRangeEnd w:id="3"/>
      <w:r>
        <w:rPr>
          <w:rStyle w:val="CommentReference"/>
        </w:rPr>
        <w:commentReference w:id="3"/>
      </w:r>
      <w:r>
        <w:rPr>
          <w:sz w:val="24"/>
          <w:szCs w:val="24"/>
        </w:rPr>
        <w:t xml:space="preserve">the next TBTT and a </w:t>
      </w:r>
      <w:commentRangeStart w:id="4"/>
      <w:r>
        <w:rPr>
          <w:sz w:val="24"/>
          <w:szCs w:val="24"/>
        </w:rPr>
        <w:t xml:space="preserve">value of 0 </w:t>
      </w:r>
      <w:commentRangeEnd w:id="4"/>
      <w:r>
        <w:rPr>
          <w:rStyle w:val="CommentReference"/>
        </w:rPr>
        <w:commentReference w:id="4"/>
      </w:r>
      <w:r>
        <w:rPr>
          <w:sz w:val="24"/>
          <w:szCs w:val="24"/>
        </w:rPr>
        <w:t>indicates that the switch occurs at any time after the frame containing the element is transmitted."</w:t>
      </w:r>
    </w:p>
    <w:p w14:paraId="762BB7B4" w14:textId="06335BA5" w:rsidR="006478EE" w:rsidRDefault="006478EE" w:rsidP="00873A2E">
      <w:pPr>
        <w:autoSpaceDE w:val="0"/>
        <w:autoSpaceDN w:val="0"/>
        <w:adjustRightInd w:val="0"/>
        <w:rPr>
          <w:sz w:val="24"/>
          <w:szCs w:val="18"/>
          <w:lang w:val="en-US" w:eastAsia="ja-JP" w:bidi="he-IL"/>
        </w:rPr>
      </w:pPr>
    </w:p>
    <w:p w14:paraId="71075711" w14:textId="77777777" w:rsidR="00E52206" w:rsidRDefault="00E52206" w:rsidP="00E52206">
      <w:pPr>
        <w:autoSpaceDE w:val="0"/>
        <w:autoSpaceDN w:val="0"/>
        <w:adjustRightInd w:val="0"/>
        <w:rPr>
          <w:sz w:val="24"/>
          <w:szCs w:val="24"/>
        </w:rPr>
      </w:pPr>
      <w:r w:rsidRPr="00E52206">
        <w:rPr>
          <w:sz w:val="24"/>
          <w:szCs w:val="24"/>
          <w:highlight w:val="cyan"/>
        </w:rPr>
        <w:t>From 802.11 Editorial Style Guide (11-09/1034):</w:t>
      </w:r>
    </w:p>
    <w:p w14:paraId="41A41279" w14:textId="77777777" w:rsidR="00E52206" w:rsidRDefault="00E52206" w:rsidP="00E52206">
      <w:pPr>
        <w:ind w:left="720"/>
      </w:pPr>
      <w:r>
        <w:t>The use of “value of &lt;field&gt; field” is deprecated.</w:t>
      </w:r>
      <w:r>
        <w:rPr>
          <w:rStyle w:val="FootnoteReference"/>
        </w:rPr>
        <w:footnoteReference w:id="1"/>
      </w:r>
    </w:p>
    <w:p w14:paraId="4E6589FE" w14:textId="77777777" w:rsidR="00E52206" w:rsidRDefault="00E52206" w:rsidP="00E52206">
      <w:pPr>
        <w:autoSpaceDE w:val="0"/>
        <w:autoSpaceDN w:val="0"/>
        <w:adjustRightInd w:val="0"/>
        <w:ind w:left="720"/>
        <w:rPr>
          <w:sz w:val="24"/>
          <w:szCs w:val="24"/>
        </w:rPr>
      </w:pPr>
    </w:p>
    <w:p w14:paraId="286BAD8A" w14:textId="77777777" w:rsidR="00E52206" w:rsidRDefault="00E52206" w:rsidP="00E52206">
      <w:pPr>
        <w:pStyle w:val="FootnoteText"/>
        <w:ind w:left="720"/>
      </w:pPr>
      <w:r>
        <w:rPr>
          <w:rStyle w:val="FootnoteReference"/>
          <w:rFonts w:eastAsiaTheme="minorEastAsia"/>
        </w:rPr>
        <w:footnoteRef/>
      </w:r>
      <w:r>
        <w:t xml:space="preserve"> Note 802.11-2016 1.4 states: ‘If &lt;x&gt; represents a scalar field, scalar subfield, scalar parameter or scalar MIB attribute:</w:t>
      </w:r>
    </w:p>
    <w:p w14:paraId="45ED5FEC" w14:textId="77777777" w:rsidR="00E52206" w:rsidRDefault="00E52206" w:rsidP="00E52206">
      <w:pPr>
        <w:pStyle w:val="FootnoteText"/>
        <w:ind w:left="720"/>
      </w:pPr>
      <w:r>
        <w:t>— if “&lt;x&gt; is” is used in a context that relates to the testing or setting the value of “&lt;x&gt;” this usage is to</w:t>
      </w:r>
    </w:p>
    <w:p w14:paraId="3E85C3F1" w14:textId="77777777" w:rsidR="00E52206" w:rsidRDefault="00E52206" w:rsidP="00E52206">
      <w:pPr>
        <w:pStyle w:val="FootnoteText"/>
        <w:ind w:left="720"/>
      </w:pPr>
      <w:r>
        <w:t>be interpreted as though written “the value of &lt;x&gt; is”</w:t>
      </w:r>
    </w:p>
    <w:p w14:paraId="2CBABAE9" w14:textId="77777777" w:rsidR="00E52206" w:rsidRDefault="00E52206" w:rsidP="00E52206">
      <w:pPr>
        <w:pStyle w:val="FootnoteText"/>
        <w:ind w:left="720"/>
      </w:pPr>
      <w:r w:rsidRPr="00E52206">
        <w:rPr>
          <w:highlight w:val="green"/>
        </w:rPr>
        <w:t>— “&lt;x&gt; indicate(s)” is to be interpreted as though written “the value of &lt;x&gt; indicate(s)”</w:t>
      </w:r>
    </w:p>
    <w:p w14:paraId="12A145A1" w14:textId="77777777" w:rsidR="00E52206" w:rsidRDefault="00E52206" w:rsidP="00E52206">
      <w:pPr>
        <w:pStyle w:val="FootnoteText"/>
        <w:ind w:left="720"/>
      </w:pPr>
      <w:r>
        <w:t>— “indicated by &lt;x&gt;” is to be interpreted as though written “indicated by the value of &lt;x&gt;”</w:t>
      </w:r>
    </w:p>
    <w:p w14:paraId="4FF8E1D1" w14:textId="77777777" w:rsidR="00E52206" w:rsidRDefault="00E52206" w:rsidP="00E52206">
      <w:pPr>
        <w:pStyle w:val="FootnoteText"/>
        <w:ind w:left="720"/>
      </w:pPr>
      <w:r>
        <w:t>— “&lt;x&gt; that indicate” isto be interpreted as though written “&lt;x&gt; whose value indicates” ’</w:t>
      </w:r>
    </w:p>
    <w:p w14:paraId="19FBEED6" w14:textId="7D447421" w:rsidR="00E52206" w:rsidRDefault="00E52206" w:rsidP="00E52206">
      <w:pPr>
        <w:autoSpaceDE w:val="0"/>
        <w:autoSpaceDN w:val="0"/>
        <w:adjustRightInd w:val="0"/>
        <w:rPr>
          <w:sz w:val="24"/>
          <w:szCs w:val="24"/>
        </w:rPr>
      </w:pPr>
    </w:p>
    <w:p w14:paraId="07B20C8A" w14:textId="5C05D980" w:rsidR="00E52206" w:rsidRPr="00E52206" w:rsidRDefault="007341E8" w:rsidP="00E52206">
      <w:pPr>
        <w:autoSpaceDE w:val="0"/>
        <w:autoSpaceDN w:val="0"/>
        <w:adjustRightInd w:val="0"/>
        <w:rPr>
          <w:sz w:val="24"/>
          <w:szCs w:val="18"/>
          <w:highlight w:val="cyan"/>
          <w:lang w:val="en-US" w:eastAsia="ja-JP" w:bidi="he-IL"/>
        </w:rPr>
      </w:pPr>
      <w:r>
        <w:rPr>
          <w:sz w:val="24"/>
          <w:szCs w:val="18"/>
          <w:highlight w:val="cyan"/>
          <w:lang w:val="en-US" w:eastAsia="ja-JP" w:bidi="he-IL"/>
        </w:rPr>
        <w:t>There was also d</w:t>
      </w:r>
      <w:r w:rsidR="00E52206" w:rsidRPr="00E52206">
        <w:rPr>
          <w:sz w:val="24"/>
          <w:szCs w:val="18"/>
          <w:highlight w:val="cyan"/>
          <w:lang w:val="en-US" w:eastAsia="ja-JP" w:bidi="he-IL"/>
        </w:rPr>
        <w:t>iscussion on changing “immediately before” vs “at”</w:t>
      </w:r>
    </w:p>
    <w:p w14:paraId="5497B97D" w14:textId="77777777" w:rsidR="00E52206" w:rsidRPr="00E52206" w:rsidRDefault="00E52206" w:rsidP="00E52206">
      <w:pPr>
        <w:autoSpaceDE w:val="0"/>
        <w:autoSpaceDN w:val="0"/>
        <w:adjustRightInd w:val="0"/>
        <w:rPr>
          <w:sz w:val="24"/>
          <w:szCs w:val="18"/>
          <w:highlight w:val="cyan"/>
          <w:lang w:val="en-US" w:eastAsia="ja-JP" w:bidi="he-IL"/>
        </w:rPr>
      </w:pPr>
      <w:r w:rsidRPr="00E52206">
        <w:rPr>
          <w:sz w:val="24"/>
          <w:szCs w:val="18"/>
          <w:highlight w:val="cyan"/>
          <w:lang w:val="en-US" w:eastAsia="ja-JP" w:bidi="he-IL"/>
        </w:rPr>
        <w:t>The argument of “at” the TBTT will start the change of channel, but you may have a race condition.</w:t>
      </w:r>
    </w:p>
    <w:p w14:paraId="5BB3C275" w14:textId="77777777" w:rsidR="00E52206" w:rsidRPr="00873A2E" w:rsidRDefault="00E52206" w:rsidP="00E52206">
      <w:pPr>
        <w:autoSpaceDE w:val="0"/>
        <w:autoSpaceDN w:val="0"/>
        <w:adjustRightInd w:val="0"/>
        <w:rPr>
          <w:sz w:val="24"/>
          <w:szCs w:val="18"/>
          <w:lang w:val="en-US" w:eastAsia="ja-JP" w:bidi="he-IL"/>
        </w:rPr>
      </w:pPr>
      <w:r w:rsidRPr="00E52206">
        <w:rPr>
          <w:sz w:val="24"/>
          <w:szCs w:val="18"/>
          <w:highlight w:val="cyan"/>
          <w:lang w:val="en-US" w:eastAsia="ja-JP" w:bidi="he-IL"/>
        </w:rPr>
        <w:t>The switch has to occur before the beacon is created.</w:t>
      </w:r>
    </w:p>
    <w:p w14:paraId="1A37D860" w14:textId="77777777" w:rsidR="00E52206" w:rsidRDefault="00E52206" w:rsidP="00E52206">
      <w:pPr>
        <w:autoSpaceDE w:val="0"/>
        <w:autoSpaceDN w:val="0"/>
        <w:adjustRightInd w:val="0"/>
        <w:rPr>
          <w:sz w:val="24"/>
          <w:szCs w:val="18"/>
          <w:lang w:val="en-US" w:eastAsia="ja-JP" w:bidi="he-IL"/>
        </w:rPr>
      </w:pPr>
    </w:p>
    <w:p w14:paraId="462800C3" w14:textId="6795C95F" w:rsidR="00E52206" w:rsidRDefault="007341E8" w:rsidP="00E52206">
      <w:pPr>
        <w:autoSpaceDE w:val="0"/>
        <w:autoSpaceDN w:val="0"/>
        <w:adjustRightInd w:val="0"/>
        <w:rPr>
          <w:sz w:val="24"/>
          <w:szCs w:val="24"/>
        </w:rPr>
      </w:pPr>
      <w:r>
        <w:rPr>
          <w:sz w:val="24"/>
          <w:szCs w:val="24"/>
        </w:rPr>
        <w:t>Suggest being clear that the change happens “at” the TBTT (and not before, which opens a small and unknown window when the AP is no longer on the old channel), and also clarifying that the Beacon is created assuming this new channel.</w:t>
      </w:r>
    </w:p>
    <w:p w14:paraId="7B4F881A" w14:textId="77777777" w:rsidR="006478EE" w:rsidRDefault="006478EE" w:rsidP="00873A2E">
      <w:pPr>
        <w:autoSpaceDE w:val="0"/>
        <w:autoSpaceDN w:val="0"/>
        <w:adjustRightInd w:val="0"/>
        <w:rPr>
          <w:sz w:val="24"/>
          <w:szCs w:val="18"/>
          <w:lang w:val="en-US" w:eastAsia="ja-JP" w:bidi="he-IL"/>
        </w:rPr>
      </w:pPr>
    </w:p>
    <w:p w14:paraId="31D3B66F" w14:textId="77777777" w:rsidR="00873A2E" w:rsidRDefault="00873A2E" w:rsidP="00873A2E">
      <w:pPr>
        <w:autoSpaceDE w:val="0"/>
        <w:autoSpaceDN w:val="0"/>
        <w:adjustRightInd w:val="0"/>
        <w:rPr>
          <w:sz w:val="24"/>
          <w:szCs w:val="18"/>
          <w:u w:val="single"/>
          <w:lang w:val="en-US" w:eastAsia="ja-JP" w:bidi="he-IL"/>
        </w:rPr>
      </w:pPr>
      <w:r w:rsidRPr="006F7072">
        <w:rPr>
          <w:sz w:val="24"/>
          <w:szCs w:val="18"/>
          <w:highlight w:val="yellow"/>
          <w:u w:val="single"/>
          <w:lang w:val="en-US" w:eastAsia="ja-JP" w:bidi="he-IL"/>
        </w:rPr>
        <w:t>Proposed Resolution:</w:t>
      </w:r>
    </w:p>
    <w:p w14:paraId="220A97B1" w14:textId="77777777" w:rsidR="00873A2E" w:rsidRDefault="00873A2E" w:rsidP="00873A2E">
      <w:pPr>
        <w:autoSpaceDE w:val="0"/>
        <w:autoSpaceDN w:val="0"/>
        <w:adjustRightInd w:val="0"/>
        <w:rPr>
          <w:sz w:val="24"/>
          <w:szCs w:val="18"/>
          <w:u w:val="single"/>
          <w:lang w:val="en-US" w:eastAsia="ja-JP" w:bidi="he-IL"/>
        </w:rPr>
      </w:pPr>
    </w:p>
    <w:p w14:paraId="6EF8DF15" w14:textId="77777777" w:rsidR="007341E8" w:rsidRDefault="00E52206" w:rsidP="00E52206">
      <w:pPr>
        <w:autoSpaceDE w:val="0"/>
        <w:autoSpaceDN w:val="0"/>
        <w:adjustRightInd w:val="0"/>
        <w:rPr>
          <w:sz w:val="24"/>
          <w:szCs w:val="24"/>
        </w:rPr>
      </w:pPr>
      <w:r>
        <w:rPr>
          <w:sz w:val="24"/>
          <w:szCs w:val="24"/>
        </w:rPr>
        <w:t>At P1011L8</w:t>
      </w:r>
    </w:p>
    <w:p w14:paraId="7E7C895B" w14:textId="614A0042" w:rsidR="00E52206" w:rsidRDefault="00E52206" w:rsidP="00E52206">
      <w:pPr>
        <w:autoSpaceDE w:val="0"/>
        <w:autoSpaceDN w:val="0"/>
        <w:adjustRightInd w:val="0"/>
        <w:rPr>
          <w:sz w:val="24"/>
          <w:szCs w:val="24"/>
        </w:rPr>
      </w:pPr>
      <w:r>
        <w:rPr>
          <w:sz w:val="24"/>
          <w:szCs w:val="24"/>
        </w:rPr>
        <w:t xml:space="preserve">Change </w:t>
      </w:r>
    </w:p>
    <w:p w14:paraId="0AAE57B5" w14:textId="77777777" w:rsidR="00E52206" w:rsidRDefault="00E52206" w:rsidP="00E52206">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nonmesh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(MDR2)</w:t>
      </w:r>
      <w:r>
        <w:rPr>
          <w:rFonts w:eastAsia="TimesNewRoman"/>
          <w:color w:val="000000"/>
          <w:sz w:val="24"/>
          <w:szCs w:val="24"/>
          <w:lang w:val="en-US" w:eastAsia="ja-JP"/>
        </w:rPr>
        <w:t>A 1 indicates that the switch occurs immediately before the next TBTT. A 0 indicates that the switch occurs at any time after the frame containing the element is transmitted.”</w:t>
      </w:r>
    </w:p>
    <w:p w14:paraId="5D6760BE" w14:textId="77777777" w:rsidR="00E52206" w:rsidRDefault="00E52206" w:rsidP="00E52206">
      <w:pPr>
        <w:autoSpaceDE w:val="0"/>
        <w:autoSpaceDN w:val="0"/>
        <w:adjustRightInd w:val="0"/>
        <w:rPr>
          <w:sz w:val="24"/>
          <w:szCs w:val="24"/>
        </w:rPr>
      </w:pPr>
      <w:r>
        <w:rPr>
          <w:sz w:val="24"/>
          <w:szCs w:val="24"/>
        </w:rPr>
        <w:t>To</w:t>
      </w:r>
    </w:p>
    <w:p w14:paraId="61F73662" w14:textId="0211260D" w:rsidR="00E52206" w:rsidRDefault="00E52206" w:rsidP="00E52206">
      <w:pPr>
        <w:autoSpaceDE w:val="0"/>
        <w:autoSpaceDN w:val="0"/>
        <w:adjustRightInd w:val="0"/>
        <w:rPr>
          <w:sz w:val="24"/>
          <w:szCs w:val="24"/>
        </w:rPr>
      </w:pPr>
      <w:r>
        <w:rPr>
          <w:sz w:val="24"/>
          <w:szCs w:val="24"/>
        </w:rPr>
        <w:t xml:space="preserve">"For nonmesh STAs, the Channel Switch Count field is set to the number of TBTTs until the STA sending the Channel Switch Announcement element switches to the new channel. (MDR2)1 indicates that the switch occurs </w:t>
      </w:r>
      <w:r w:rsidR="007341E8">
        <w:rPr>
          <w:sz w:val="24"/>
          <w:szCs w:val="24"/>
        </w:rPr>
        <w:t xml:space="preserve">at </w:t>
      </w:r>
      <w:r>
        <w:rPr>
          <w:sz w:val="24"/>
          <w:szCs w:val="24"/>
        </w:rPr>
        <w:t>the next TBTT</w:t>
      </w:r>
      <w:r w:rsidR="007341E8">
        <w:rPr>
          <w:sz w:val="24"/>
          <w:szCs w:val="24"/>
        </w:rPr>
        <w:t xml:space="preserve"> (the ensuing Beacon frame is created assuming the new </w:t>
      </w:r>
      <w:r w:rsidR="007341E8">
        <w:rPr>
          <w:sz w:val="24"/>
          <w:szCs w:val="24"/>
        </w:rPr>
        <w:lastRenderedPageBreak/>
        <w:t xml:space="preserve">channel), </w:t>
      </w:r>
      <w:r>
        <w:rPr>
          <w:sz w:val="24"/>
          <w:szCs w:val="24"/>
        </w:rPr>
        <w:t>and 0 indicates that the switch occurs at any time after the frame containing the element is transmitted."</w:t>
      </w:r>
    </w:p>
    <w:p w14:paraId="11E5492B" w14:textId="77777777" w:rsidR="00873A2E" w:rsidRDefault="00873A2E" w:rsidP="00873A2E">
      <w:pPr>
        <w:rPr>
          <w:bCs/>
          <w:szCs w:val="22"/>
        </w:rPr>
      </w:pPr>
    </w:p>
    <w:p w14:paraId="4820B53B" w14:textId="77777777" w:rsidR="001325F6" w:rsidRDefault="00873A2E" w:rsidP="00873A2E">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1325F6" w14:paraId="34A0A96B" w14:textId="77777777" w:rsidTr="00F474C1">
        <w:trPr>
          <w:trHeight w:val="524"/>
        </w:trPr>
        <w:tc>
          <w:tcPr>
            <w:tcW w:w="738" w:type="dxa"/>
            <w:tcBorders>
              <w:top w:val="single" w:sz="4" w:space="0" w:color="auto"/>
              <w:left w:val="single" w:sz="4" w:space="0" w:color="auto"/>
              <w:bottom w:val="single" w:sz="4" w:space="0" w:color="auto"/>
              <w:right w:val="single" w:sz="4" w:space="0" w:color="auto"/>
            </w:tcBorders>
            <w:hideMark/>
          </w:tcPr>
          <w:p w14:paraId="29D565B0" w14:textId="77777777" w:rsidR="001325F6" w:rsidRDefault="001325F6"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AAACED3" w14:textId="77777777" w:rsidR="001325F6" w:rsidRDefault="001325F6"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5CD7635" w14:textId="77777777" w:rsidR="001325F6" w:rsidRDefault="001325F6"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63C84FA" w14:textId="77777777" w:rsidR="001325F6" w:rsidRDefault="001325F6"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AC64DBA" w14:textId="77777777" w:rsidR="001325F6" w:rsidRDefault="001325F6"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1325F6" w:rsidRPr="00DE7477" w14:paraId="7655FDD4" w14:textId="77777777" w:rsidTr="00F474C1">
        <w:trPr>
          <w:trHeight w:val="765"/>
        </w:trPr>
        <w:tc>
          <w:tcPr>
            <w:tcW w:w="738" w:type="dxa"/>
          </w:tcPr>
          <w:p w14:paraId="31618BBD" w14:textId="77777777" w:rsidR="001325F6" w:rsidRDefault="001325F6" w:rsidP="00F474C1">
            <w:pPr>
              <w:jc w:val="right"/>
              <w:rPr>
                <w:rFonts w:ascii="Arial" w:eastAsia="Times New Roman" w:hAnsi="Arial" w:cs="Arial"/>
                <w:color w:val="000000"/>
                <w:sz w:val="20"/>
                <w:lang w:val="en-US"/>
              </w:rPr>
            </w:pPr>
            <w:r>
              <w:rPr>
                <w:rFonts w:ascii="Arial" w:eastAsia="Times New Roman" w:hAnsi="Arial" w:cs="Arial"/>
                <w:color w:val="000000"/>
                <w:sz w:val="20"/>
                <w:lang w:val="en-US"/>
              </w:rPr>
              <w:t>4462</w:t>
            </w:r>
          </w:p>
        </w:tc>
        <w:tc>
          <w:tcPr>
            <w:tcW w:w="990" w:type="dxa"/>
          </w:tcPr>
          <w:p w14:paraId="063A971F" w14:textId="77777777" w:rsidR="001325F6" w:rsidRDefault="001325F6" w:rsidP="00F474C1">
            <w:pPr>
              <w:jc w:val="right"/>
              <w:rPr>
                <w:rFonts w:ascii="Arial" w:eastAsia="Times New Roman" w:hAnsi="Arial" w:cs="Arial"/>
                <w:color w:val="000000"/>
                <w:sz w:val="20"/>
                <w:lang w:val="en-US"/>
              </w:rPr>
            </w:pPr>
          </w:p>
        </w:tc>
        <w:tc>
          <w:tcPr>
            <w:tcW w:w="1080" w:type="dxa"/>
          </w:tcPr>
          <w:p w14:paraId="10C4425A" w14:textId="77777777" w:rsidR="001325F6" w:rsidRDefault="001325F6" w:rsidP="00F474C1">
            <w:pPr>
              <w:rPr>
                <w:rFonts w:ascii="Arial" w:eastAsia="Times New Roman" w:hAnsi="Arial" w:cs="Arial"/>
                <w:color w:val="000000"/>
                <w:sz w:val="20"/>
                <w:lang w:val="en-US"/>
              </w:rPr>
            </w:pPr>
          </w:p>
        </w:tc>
        <w:tc>
          <w:tcPr>
            <w:tcW w:w="3600" w:type="dxa"/>
          </w:tcPr>
          <w:p w14:paraId="5432321D" w14:textId="77777777" w:rsidR="001325F6" w:rsidRPr="00AE7C3B" w:rsidRDefault="001325F6" w:rsidP="00F474C1">
            <w:pPr>
              <w:rPr>
                <w:rFonts w:ascii="Arial" w:eastAsia="Times New Roman" w:hAnsi="Arial" w:cs="Arial"/>
                <w:color w:val="000000"/>
                <w:sz w:val="20"/>
                <w:lang w:val="en-US"/>
              </w:rPr>
            </w:pPr>
            <w:r w:rsidRPr="008F5220">
              <w:rPr>
                <w:rFonts w:ascii="Arial" w:eastAsia="Times New Roman" w:hAnsi="Arial" w:cs="Arial"/>
                <w:color w:val="000000"/>
                <w:sz w:val="20"/>
                <w:lang w:val="en-US"/>
              </w:rPr>
              <w:t>"of all MSDUs and A-MSDUs buffered at the STA".  A STA does not buffer A-MSDUs.  The things it receives via MA-UNITDATA.request are MSDUs, and those are the things it buffers prior to transmission Change the cited text to "of all MSDUs buffered at the STA"</w:t>
            </w:r>
          </w:p>
        </w:tc>
        <w:tc>
          <w:tcPr>
            <w:tcW w:w="3600" w:type="dxa"/>
          </w:tcPr>
          <w:p w14:paraId="24B95DF3" w14:textId="77777777" w:rsidR="001325F6" w:rsidRPr="00AE7C3B" w:rsidRDefault="001325F6" w:rsidP="00F474C1">
            <w:pPr>
              <w:rPr>
                <w:rFonts w:ascii="Arial" w:eastAsia="Times New Roman" w:hAnsi="Arial" w:cs="Arial"/>
                <w:color w:val="000000"/>
                <w:sz w:val="20"/>
                <w:lang w:val="en-US"/>
              </w:rPr>
            </w:pPr>
            <w:r w:rsidRPr="008F5220">
              <w:rPr>
                <w:rFonts w:ascii="Arial" w:eastAsia="Times New Roman" w:hAnsi="Arial" w:cs="Arial"/>
                <w:color w:val="000000"/>
                <w:sz w:val="20"/>
                <w:lang w:val="en-US"/>
              </w:rPr>
              <w:t>Delete "or A-MSDUs" in 9.2.4.1.8 More Data subfield (4x), 9.2.4.5.6 Queue Size subfield, 9.2.4.5.8 AP PS Buffer State subfield</w:t>
            </w:r>
          </w:p>
        </w:tc>
      </w:tr>
    </w:tbl>
    <w:p w14:paraId="4EE72CD0" w14:textId="77777777" w:rsidR="001325F6" w:rsidRDefault="001325F6" w:rsidP="001325F6">
      <w:pPr>
        <w:rPr>
          <w:bCs/>
          <w:szCs w:val="22"/>
        </w:rPr>
      </w:pPr>
    </w:p>
    <w:p w14:paraId="15AEFFAE" w14:textId="77777777" w:rsidR="001325F6" w:rsidRDefault="001325F6" w:rsidP="001325F6">
      <w:pPr>
        <w:rPr>
          <w:bCs/>
          <w:szCs w:val="22"/>
        </w:rPr>
      </w:pPr>
      <w:r>
        <w:rPr>
          <w:bCs/>
          <w:szCs w:val="22"/>
          <w:u w:val="single"/>
        </w:rPr>
        <w:t>Discussion:</w:t>
      </w:r>
    </w:p>
    <w:p w14:paraId="75938110" w14:textId="28A38634" w:rsidR="001325F6" w:rsidRDefault="001325F6" w:rsidP="001325F6">
      <w:pPr>
        <w:rPr>
          <w:bCs/>
          <w:szCs w:val="22"/>
        </w:rPr>
      </w:pPr>
    </w:p>
    <w:p w14:paraId="24604FCF" w14:textId="0A7A6221" w:rsidR="001325F6" w:rsidRDefault="001325F6" w:rsidP="001325F6">
      <w:pPr>
        <w:rPr>
          <w:bCs/>
          <w:szCs w:val="22"/>
        </w:rPr>
      </w:pPr>
      <w:r>
        <w:rPr>
          <w:bCs/>
          <w:szCs w:val="22"/>
        </w:rPr>
        <w:t xml:space="preserve">Examining Figure 5-1 - </w:t>
      </w:r>
      <w:r w:rsidRPr="001325F6">
        <w:rPr>
          <w:bCs/>
          <w:szCs w:val="22"/>
        </w:rPr>
        <w:t>MAC data plane architecture(11ak)(#2273)</w:t>
      </w:r>
      <w:r>
        <w:rPr>
          <w:bCs/>
          <w:szCs w:val="22"/>
        </w:rPr>
        <w:t>, we see that A-MSDU aggregation occurs higher in stack, thus before transmit buffering for Power Save.</w:t>
      </w:r>
    </w:p>
    <w:p w14:paraId="14133653" w14:textId="4017D9AE" w:rsidR="001325F6" w:rsidRDefault="001325F6" w:rsidP="001325F6">
      <w:pPr>
        <w:rPr>
          <w:bCs/>
          <w:szCs w:val="22"/>
        </w:rPr>
      </w:pPr>
    </w:p>
    <w:p w14:paraId="6E06C5A5" w14:textId="40C3EF5B" w:rsidR="001325F6" w:rsidRDefault="001325F6" w:rsidP="001325F6">
      <w:pPr>
        <w:rPr>
          <w:bCs/>
          <w:szCs w:val="22"/>
        </w:rPr>
      </w:pPr>
      <w:r>
        <w:rPr>
          <w:bCs/>
          <w:szCs w:val="22"/>
        </w:rPr>
        <w:t xml:space="preserve">This is consistent with the </w:t>
      </w:r>
      <w:r w:rsidR="00AD4706">
        <w:rPr>
          <w:bCs/>
          <w:szCs w:val="22"/>
        </w:rPr>
        <w:t>definition of bufferable unit</w:t>
      </w:r>
      <w:r>
        <w:rPr>
          <w:bCs/>
          <w:szCs w:val="22"/>
        </w:rPr>
        <w:t>:</w:t>
      </w:r>
    </w:p>
    <w:p w14:paraId="1F6C3A9D" w14:textId="16116C5C" w:rsidR="001325F6" w:rsidRDefault="001325F6" w:rsidP="001325F6">
      <w:pPr>
        <w:rPr>
          <w:bCs/>
          <w:szCs w:val="22"/>
        </w:rPr>
      </w:pPr>
    </w:p>
    <w:p w14:paraId="3576B84D" w14:textId="68E36079" w:rsidR="001325F6" w:rsidRPr="00852E21" w:rsidRDefault="00AD4706" w:rsidP="001325F6">
      <w:pPr>
        <w:rPr>
          <w:bCs/>
          <w:noProof/>
          <w:szCs w:val="22"/>
          <w:bdr w:val="single" w:sz="8" w:space="0" w:color="auto" w:shadow="1"/>
        </w:rPr>
      </w:pPr>
      <w:r w:rsidRPr="00852E21">
        <w:rPr>
          <w:bCs/>
          <w:noProof/>
          <w:szCs w:val="22"/>
          <w:bdr w:val="single" w:sz="8" w:space="0" w:color="auto" w:shadow="1"/>
        </w:rPr>
        <w:drawing>
          <wp:inline distT="0" distB="0" distL="0" distR="0" wp14:anchorId="1DE0E95F" wp14:editId="1A311AF1">
            <wp:extent cx="6400800" cy="5759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575945"/>
                    </a:xfrm>
                    <a:prstGeom prst="rect">
                      <a:avLst/>
                    </a:prstGeom>
                    <a:noFill/>
                    <a:ln>
                      <a:noFill/>
                    </a:ln>
                  </pic:spPr>
                </pic:pic>
              </a:graphicData>
            </a:graphic>
          </wp:inline>
        </w:drawing>
      </w:r>
    </w:p>
    <w:p w14:paraId="64CE269D" w14:textId="34E6E631" w:rsidR="001325F6" w:rsidRDefault="001325F6" w:rsidP="001325F6">
      <w:pPr>
        <w:rPr>
          <w:bCs/>
          <w:szCs w:val="22"/>
        </w:rPr>
      </w:pPr>
    </w:p>
    <w:p w14:paraId="148B5FA1" w14:textId="1339626E" w:rsidR="001325F6" w:rsidRPr="00852E21" w:rsidRDefault="001325F6" w:rsidP="001325F6">
      <w:pPr>
        <w:rPr>
          <w:bCs/>
          <w:noProof/>
          <w:szCs w:val="22"/>
          <w:bdr w:val="single" w:sz="8" w:space="0" w:color="auto" w:shadow="1"/>
        </w:rPr>
      </w:pPr>
      <w:r w:rsidRPr="00852E21">
        <w:rPr>
          <w:bCs/>
          <w:noProof/>
          <w:szCs w:val="22"/>
          <w:bdr w:val="single" w:sz="8" w:space="0" w:color="auto" w:shadow="1"/>
        </w:rPr>
        <w:lastRenderedPageBreak/>
        <w:drawing>
          <wp:inline distT="0" distB="0" distL="0" distR="0" wp14:anchorId="5293CE58" wp14:editId="26407E48">
            <wp:extent cx="4724400" cy="8686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4400" cy="8686800"/>
                    </a:xfrm>
                    <a:prstGeom prst="rect">
                      <a:avLst/>
                    </a:prstGeom>
                    <a:noFill/>
                    <a:ln>
                      <a:noFill/>
                    </a:ln>
                  </pic:spPr>
                </pic:pic>
              </a:graphicData>
            </a:graphic>
          </wp:inline>
        </w:drawing>
      </w:r>
    </w:p>
    <w:p w14:paraId="60C4EC6B" w14:textId="75F8E263" w:rsidR="001325F6" w:rsidRDefault="001325F6" w:rsidP="001325F6">
      <w:pPr>
        <w:autoSpaceDE w:val="0"/>
        <w:autoSpaceDN w:val="0"/>
        <w:adjustRightInd w:val="0"/>
        <w:rPr>
          <w:sz w:val="24"/>
          <w:szCs w:val="18"/>
          <w:lang w:val="en-US" w:eastAsia="ja-JP" w:bidi="he-IL"/>
        </w:rPr>
      </w:pPr>
    </w:p>
    <w:p w14:paraId="6811E766" w14:textId="77777777" w:rsidR="00AD4706" w:rsidRDefault="00AD4706" w:rsidP="001325F6">
      <w:pPr>
        <w:autoSpaceDE w:val="0"/>
        <w:autoSpaceDN w:val="0"/>
        <w:adjustRightInd w:val="0"/>
        <w:rPr>
          <w:sz w:val="24"/>
          <w:szCs w:val="18"/>
          <w:lang w:val="en-US" w:eastAsia="ja-JP" w:bidi="he-IL"/>
        </w:rPr>
      </w:pPr>
    </w:p>
    <w:p w14:paraId="7DAEC18C" w14:textId="77777777" w:rsidR="001325F6" w:rsidRDefault="001325F6" w:rsidP="001325F6">
      <w:pPr>
        <w:autoSpaceDE w:val="0"/>
        <w:autoSpaceDN w:val="0"/>
        <w:adjustRightInd w:val="0"/>
        <w:rPr>
          <w:sz w:val="24"/>
          <w:szCs w:val="18"/>
          <w:u w:val="single"/>
          <w:lang w:val="en-US" w:eastAsia="ja-JP" w:bidi="he-IL"/>
        </w:rPr>
      </w:pPr>
      <w:r w:rsidRPr="006F7072">
        <w:rPr>
          <w:sz w:val="24"/>
          <w:szCs w:val="18"/>
          <w:highlight w:val="yellow"/>
          <w:u w:val="single"/>
          <w:lang w:val="en-US" w:eastAsia="ja-JP" w:bidi="he-IL"/>
        </w:rPr>
        <w:t>Proposed Resolution:</w:t>
      </w:r>
    </w:p>
    <w:p w14:paraId="344421A7" w14:textId="77777777" w:rsidR="001325F6" w:rsidRDefault="001325F6" w:rsidP="001325F6">
      <w:pPr>
        <w:autoSpaceDE w:val="0"/>
        <w:autoSpaceDN w:val="0"/>
        <w:adjustRightInd w:val="0"/>
        <w:rPr>
          <w:sz w:val="24"/>
          <w:szCs w:val="18"/>
          <w:u w:val="single"/>
          <w:lang w:val="en-US" w:eastAsia="ja-JP" w:bidi="he-IL"/>
        </w:rPr>
      </w:pPr>
    </w:p>
    <w:p w14:paraId="2D1CB87D" w14:textId="052D10E8" w:rsidR="001325F6" w:rsidRDefault="00AD4706" w:rsidP="001325F6">
      <w:pPr>
        <w:rPr>
          <w:bCs/>
          <w:szCs w:val="22"/>
        </w:rPr>
      </w:pPr>
      <w:r>
        <w:rPr>
          <w:bCs/>
          <w:szCs w:val="22"/>
        </w:rPr>
        <w:t>Rejected.  As described in the definition of bufferable unit (BU), and Figure 5-1’s flow of action for transmitted frames, aggregation into A-MSDUs occurs before the power buffering stage, and thus A-MSDUs are buffered.</w:t>
      </w:r>
    </w:p>
    <w:p w14:paraId="2CEE44FC" w14:textId="77777777" w:rsidR="00AD4706" w:rsidRDefault="00AD4706" w:rsidP="001325F6">
      <w:pPr>
        <w:rPr>
          <w:bCs/>
          <w:szCs w:val="22"/>
        </w:rPr>
      </w:pPr>
    </w:p>
    <w:p w14:paraId="6C0430C3" w14:textId="77777777" w:rsidR="00C34811" w:rsidRDefault="001325F6" w:rsidP="001325F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34811" w14:paraId="7741C381" w14:textId="77777777" w:rsidTr="00F474C1">
        <w:trPr>
          <w:trHeight w:val="524"/>
        </w:trPr>
        <w:tc>
          <w:tcPr>
            <w:tcW w:w="738" w:type="dxa"/>
            <w:tcBorders>
              <w:top w:val="single" w:sz="4" w:space="0" w:color="auto"/>
              <w:left w:val="single" w:sz="4" w:space="0" w:color="auto"/>
              <w:bottom w:val="single" w:sz="4" w:space="0" w:color="auto"/>
              <w:right w:val="single" w:sz="4" w:space="0" w:color="auto"/>
            </w:tcBorders>
            <w:hideMark/>
          </w:tcPr>
          <w:p w14:paraId="77CF891F" w14:textId="77777777" w:rsidR="00C34811" w:rsidRDefault="00C34811"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FCC53D5" w14:textId="77777777" w:rsidR="00C34811" w:rsidRDefault="00C34811"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CB9100A" w14:textId="77777777" w:rsidR="00C34811" w:rsidRDefault="00C34811"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2A8F446" w14:textId="77777777" w:rsidR="00C34811" w:rsidRDefault="00C34811"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6AFF474" w14:textId="77777777" w:rsidR="00C34811" w:rsidRDefault="00C34811"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C34811" w:rsidRPr="00DE7477" w14:paraId="262A7949" w14:textId="77777777" w:rsidTr="00F474C1">
        <w:trPr>
          <w:trHeight w:val="1530"/>
        </w:trPr>
        <w:tc>
          <w:tcPr>
            <w:tcW w:w="738" w:type="dxa"/>
            <w:hideMark/>
          </w:tcPr>
          <w:p w14:paraId="6D76210B" w14:textId="77777777" w:rsidR="00C34811" w:rsidRPr="00DE7477" w:rsidRDefault="00C34811" w:rsidP="00F474C1">
            <w:pPr>
              <w:jc w:val="right"/>
              <w:rPr>
                <w:rFonts w:ascii="Arial" w:eastAsia="Times New Roman" w:hAnsi="Arial" w:cs="Arial"/>
                <w:sz w:val="20"/>
                <w:lang w:val="en-US"/>
              </w:rPr>
            </w:pPr>
            <w:r w:rsidRPr="00DE7477">
              <w:rPr>
                <w:rFonts w:ascii="Arial" w:eastAsia="Times New Roman" w:hAnsi="Arial" w:cs="Arial"/>
                <w:sz w:val="20"/>
                <w:lang w:val="en-US"/>
              </w:rPr>
              <w:t>4806</w:t>
            </w:r>
          </w:p>
        </w:tc>
        <w:tc>
          <w:tcPr>
            <w:tcW w:w="990" w:type="dxa"/>
            <w:hideMark/>
          </w:tcPr>
          <w:p w14:paraId="67DE95C9" w14:textId="77777777" w:rsidR="00C34811" w:rsidRPr="00DE7477" w:rsidRDefault="00C34811" w:rsidP="00F474C1">
            <w:pPr>
              <w:jc w:val="right"/>
              <w:rPr>
                <w:rFonts w:ascii="Arial" w:eastAsia="Times New Roman" w:hAnsi="Arial" w:cs="Arial"/>
                <w:sz w:val="20"/>
                <w:lang w:val="en-US"/>
              </w:rPr>
            </w:pPr>
            <w:r w:rsidRPr="00DE7477">
              <w:rPr>
                <w:rFonts w:ascii="Arial" w:eastAsia="Times New Roman" w:hAnsi="Arial" w:cs="Arial"/>
                <w:sz w:val="20"/>
                <w:lang w:val="en-US"/>
              </w:rPr>
              <w:t>2235.37</w:t>
            </w:r>
          </w:p>
        </w:tc>
        <w:tc>
          <w:tcPr>
            <w:tcW w:w="1080" w:type="dxa"/>
            <w:hideMark/>
          </w:tcPr>
          <w:p w14:paraId="61252459" w14:textId="77777777" w:rsidR="00C34811" w:rsidRPr="00DE7477" w:rsidRDefault="00C34811" w:rsidP="00F474C1">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68F04C7C" w14:textId="77777777" w:rsidR="00C34811" w:rsidRPr="00DE7477" w:rsidRDefault="00C34811" w:rsidP="00F474C1">
            <w:pPr>
              <w:rPr>
                <w:rFonts w:ascii="Arial" w:eastAsia="Times New Roman" w:hAnsi="Arial" w:cs="Arial"/>
                <w:sz w:val="20"/>
                <w:lang w:val="en-US"/>
              </w:rPr>
            </w:pPr>
            <w:r w:rsidRPr="00DE7477">
              <w:rPr>
                <w:rFonts w:ascii="Arial" w:eastAsia="Times New Roman" w:hAnsi="Arial" w:cs="Arial"/>
                <w:sz w:val="20"/>
                <w:lang w:val="en-US"/>
              </w:rPr>
              <w:t>Sub-bullet (2) requires allocation of multiple, distinct AIDs for the STAs in the MMS element.  How is this allocation communicated back to those STAs?</w:t>
            </w:r>
          </w:p>
        </w:tc>
        <w:tc>
          <w:tcPr>
            <w:tcW w:w="3600" w:type="dxa"/>
            <w:hideMark/>
          </w:tcPr>
          <w:p w14:paraId="65B32F4D" w14:textId="77777777" w:rsidR="00C34811" w:rsidRPr="00DE7477" w:rsidRDefault="00C34811" w:rsidP="00F474C1">
            <w:pPr>
              <w:rPr>
                <w:rFonts w:ascii="Arial" w:eastAsia="Times New Roman" w:hAnsi="Arial" w:cs="Arial"/>
                <w:sz w:val="20"/>
                <w:lang w:val="en-US"/>
              </w:rPr>
            </w:pPr>
            <w:r w:rsidRPr="00DE7477">
              <w:rPr>
                <w:rFonts w:ascii="Arial" w:eastAsia="Times New Roman" w:hAnsi="Arial" w:cs="Arial"/>
                <w:sz w:val="20"/>
                <w:lang w:val="en-US"/>
              </w:rPr>
              <w:t>Add facility (Association Response frame contents, and MLME-ASSOCIATE.response parameter) to communicate these AIDs back to the peer.</w:t>
            </w:r>
          </w:p>
        </w:tc>
      </w:tr>
      <w:tr w:rsidR="00C34811" w:rsidRPr="00DE7477" w14:paraId="59605549" w14:textId="77777777" w:rsidTr="00C34811">
        <w:trPr>
          <w:trHeight w:val="4133"/>
        </w:trPr>
        <w:tc>
          <w:tcPr>
            <w:tcW w:w="738" w:type="dxa"/>
            <w:hideMark/>
          </w:tcPr>
          <w:p w14:paraId="1BB009E9" w14:textId="77777777" w:rsidR="00C34811" w:rsidRPr="00DE7477" w:rsidRDefault="00C34811" w:rsidP="00F474C1">
            <w:pPr>
              <w:jc w:val="right"/>
              <w:rPr>
                <w:rFonts w:ascii="Arial" w:eastAsia="Times New Roman" w:hAnsi="Arial" w:cs="Arial"/>
                <w:sz w:val="20"/>
                <w:lang w:val="en-US"/>
              </w:rPr>
            </w:pPr>
            <w:r w:rsidRPr="00DE7477">
              <w:rPr>
                <w:rFonts w:ascii="Arial" w:eastAsia="Times New Roman" w:hAnsi="Arial" w:cs="Arial"/>
                <w:sz w:val="20"/>
                <w:lang w:val="en-US"/>
              </w:rPr>
              <w:t>4805</w:t>
            </w:r>
          </w:p>
        </w:tc>
        <w:tc>
          <w:tcPr>
            <w:tcW w:w="990" w:type="dxa"/>
            <w:hideMark/>
          </w:tcPr>
          <w:p w14:paraId="4B78E1FF" w14:textId="77777777" w:rsidR="00C34811" w:rsidRPr="00DE7477" w:rsidRDefault="00C34811" w:rsidP="00F474C1">
            <w:pPr>
              <w:jc w:val="right"/>
              <w:rPr>
                <w:rFonts w:ascii="Arial" w:eastAsia="Times New Roman" w:hAnsi="Arial" w:cs="Arial"/>
                <w:sz w:val="20"/>
                <w:lang w:val="en-US"/>
              </w:rPr>
            </w:pPr>
            <w:r w:rsidRPr="00DE7477">
              <w:rPr>
                <w:rFonts w:ascii="Arial" w:eastAsia="Times New Roman" w:hAnsi="Arial" w:cs="Arial"/>
                <w:sz w:val="20"/>
                <w:lang w:val="en-US"/>
              </w:rPr>
              <w:t>2235.34</w:t>
            </w:r>
          </w:p>
        </w:tc>
        <w:tc>
          <w:tcPr>
            <w:tcW w:w="1080" w:type="dxa"/>
            <w:hideMark/>
          </w:tcPr>
          <w:p w14:paraId="7782CFDF" w14:textId="77777777" w:rsidR="00C34811" w:rsidRPr="00DE7477" w:rsidRDefault="00C34811" w:rsidP="00F474C1">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706D8EDA" w14:textId="77777777" w:rsidR="00C34811" w:rsidRPr="00DE7477" w:rsidRDefault="00C34811" w:rsidP="00F474C1">
            <w:pPr>
              <w:rPr>
                <w:rFonts w:ascii="Arial" w:eastAsia="Times New Roman" w:hAnsi="Arial" w:cs="Arial"/>
                <w:sz w:val="20"/>
                <w:lang w:val="en-US"/>
              </w:rPr>
            </w:pPr>
            <w:r w:rsidRPr="00DE7477">
              <w:rPr>
                <w:rFonts w:ascii="Arial" w:eastAsia="Times New Roman" w:hAnsi="Arial" w:cs="Arial"/>
                <w:sz w:val="20"/>
                <w:lang w:val="en-US"/>
              </w:rPr>
              <w:t>This text requires an MMS element be passed to the MLME-ASSOCIATION.response (sic), under some circumstances.  The MLME-ASSOCIATE.response primitive has no such parameter.  Add it.</w:t>
            </w:r>
          </w:p>
        </w:tc>
        <w:tc>
          <w:tcPr>
            <w:tcW w:w="3600" w:type="dxa"/>
            <w:hideMark/>
          </w:tcPr>
          <w:p w14:paraId="360E3051" w14:textId="77777777" w:rsidR="00C34811" w:rsidRPr="00DE7477" w:rsidRDefault="00C34811" w:rsidP="00F474C1">
            <w:pPr>
              <w:rPr>
                <w:rFonts w:ascii="Arial" w:eastAsia="Times New Roman" w:hAnsi="Arial" w:cs="Arial"/>
                <w:sz w:val="20"/>
                <w:lang w:val="en-US"/>
              </w:rPr>
            </w:pPr>
            <w:r w:rsidRPr="00DE7477">
              <w:rPr>
                <w:rFonts w:ascii="Arial" w:eastAsia="Times New Roman" w:hAnsi="Arial" w:cs="Arial"/>
                <w:sz w:val="20"/>
                <w:lang w:val="en-US"/>
              </w:rPr>
              <w:t>Insert a row for an MMS paramter in the parameters table for the MLME-ASSOCIATE.response.  Match the contents to the MMS row in the parameters Table in the MLME-ASSOCIATE.request, except change the Description to "Specifies the parameters within the Multiple MAC Sublayers element that are supported by the MAC entity, and were received from the MM-SME coordinated STA. The parameter is present if dot11MultipleMACActivated is</w:t>
            </w:r>
            <w:r w:rsidRPr="00DE7477">
              <w:rPr>
                <w:rFonts w:ascii="Arial" w:eastAsia="Times New Roman" w:hAnsi="Arial" w:cs="Arial"/>
                <w:sz w:val="20"/>
                <w:lang w:val="en-US"/>
              </w:rPr>
              <w:br/>
              <w:t>true and the corresponding MLME-ASSOCIATE.indication primitive included an MMS parameter, and is absent otherwise."</w:t>
            </w:r>
          </w:p>
        </w:tc>
      </w:tr>
    </w:tbl>
    <w:p w14:paraId="5316796F" w14:textId="77777777" w:rsidR="00C34811" w:rsidRDefault="00C34811" w:rsidP="00C34811">
      <w:pPr>
        <w:rPr>
          <w:bCs/>
          <w:szCs w:val="22"/>
        </w:rPr>
      </w:pPr>
    </w:p>
    <w:p w14:paraId="203D7D27" w14:textId="77777777" w:rsidR="00C34811" w:rsidRDefault="00C34811" w:rsidP="00C34811">
      <w:pPr>
        <w:rPr>
          <w:bCs/>
          <w:szCs w:val="22"/>
        </w:rPr>
      </w:pPr>
      <w:r>
        <w:rPr>
          <w:bCs/>
          <w:szCs w:val="22"/>
          <w:u w:val="single"/>
        </w:rPr>
        <w:t>Discussion:</w:t>
      </w:r>
    </w:p>
    <w:p w14:paraId="13270C95" w14:textId="5C1A645A" w:rsidR="00C34811" w:rsidRDefault="00C34811" w:rsidP="00C34811">
      <w:pPr>
        <w:rPr>
          <w:bCs/>
          <w:szCs w:val="22"/>
        </w:rPr>
      </w:pPr>
    </w:p>
    <w:p w14:paraId="1814CBD0" w14:textId="289A0E50" w:rsidR="00C34811" w:rsidRDefault="00C34811" w:rsidP="00C34811">
      <w:pPr>
        <w:rPr>
          <w:bCs/>
          <w:noProof/>
          <w:szCs w:val="22"/>
          <w:bdr w:val="single" w:sz="8" w:space="0" w:color="auto" w:shadow="1"/>
        </w:rPr>
      </w:pPr>
      <w:r w:rsidRPr="00C34811">
        <w:rPr>
          <w:bCs/>
          <w:noProof/>
          <w:szCs w:val="22"/>
          <w:bdr w:val="single" w:sz="8" w:space="0" w:color="auto" w:shadow="1"/>
        </w:rPr>
        <w:drawing>
          <wp:inline distT="0" distB="0" distL="0" distR="0" wp14:anchorId="3AA9F289" wp14:editId="512B26DB">
            <wp:extent cx="6400800" cy="1922145"/>
            <wp:effectExtent l="0" t="0" r="0" b="19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1922145"/>
                    </a:xfrm>
                    <a:prstGeom prst="rect">
                      <a:avLst/>
                    </a:prstGeom>
                    <a:noFill/>
                    <a:ln>
                      <a:noFill/>
                    </a:ln>
                  </pic:spPr>
                </pic:pic>
              </a:graphicData>
            </a:graphic>
          </wp:inline>
        </w:drawing>
      </w:r>
    </w:p>
    <w:p w14:paraId="3923DD8B" w14:textId="0CD276E0" w:rsidR="00F514DB" w:rsidRDefault="00F514DB" w:rsidP="00C34811">
      <w:pPr>
        <w:rPr>
          <w:bCs/>
          <w:noProof/>
          <w:szCs w:val="22"/>
          <w:bdr w:val="single" w:sz="8" w:space="0" w:color="auto" w:shadow="1"/>
        </w:rPr>
      </w:pPr>
    </w:p>
    <w:p w14:paraId="0127172B" w14:textId="402764DF" w:rsidR="00F514DB" w:rsidRPr="00F514DB" w:rsidRDefault="00F514DB" w:rsidP="00C34811">
      <w:pPr>
        <w:rPr>
          <w:bCs/>
          <w:szCs w:val="22"/>
        </w:rPr>
      </w:pPr>
      <w:r w:rsidRPr="00F514DB">
        <w:rPr>
          <w:bCs/>
          <w:szCs w:val="22"/>
        </w:rPr>
        <w:t>Similarly, for the MLME-REASSOCIATE:</w:t>
      </w:r>
    </w:p>
    <w:p w14:paraId="2DE64DA9" w14:textId="7EDA03D8" w:rsidR="00F514DB" w:rsidRPr="00C34811" w:rsidRDefault="00F514DB" w:rsidP="00C34811">
      <w:pPr>
        <w:rPr>
          <w:bCs/>
          <w:noProof/>
          <w:szCs w:val="22"/>
          <w:bdr w:val="single" w:sz="8" w:space="0" w:color="auto" w:shadow="1"/>
        </w:rPr>
      </w:pPr>
      <w:r>
        <w:rPr>
          <w:bCs/>
          <w:noProof/>
          <w:szCs w:val="22"/>
          <w:bdr w:val="single" w:sz="8" w:space="0" w:color="auto" w:shadow="1"/>
        </w:rPr>
        <w:drawing>
          <wp:inline distT="0" distB="0" distL="0" distR="0" wp14:anchorId="287B7C16" wp14:editId="5DD9929A">
            <wp:extent cx="6400800" cy="160845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1608455"/>
                    </a:xfrm>
                    <a:prstGeom prst="rect">
                      <a:avLst/>
                    </a:prstGeom>
                    <a:noFill/>
                    <a:ln>
                      <a:noFill/>
                    </a:ln>
                  </pic:spPr>
                </pic:pic>
              </a:graphicData>
            </a:graphic>
          </wp:inline>
        </w:drawing>
      </w:r>
    </w:p>
    <w:p w14:paraId="70DB9E56" w14:textId="7AA56757" w:rsidR="00C34811" w:rsidRPr="00852E21" w:rsidRDefault="00C34811" w:rsidP="00C34811">
      <w:pPr>
        <w:rPr>
          <w:bCs/>
          <w:noProof/>
          <w:szCs w:val="22"/>
          <w:bdr w:val="single" w:sz="8" w:space="0" w:color="auto" w:shadow="1"/>
        </w:rPr>
      </w:pPr>
    </w:p>
    <w:p w14:paraId="345636CA" w14:textId="6D63FE03" w:rsidR="00C34811" w:rsidRDefault="0054552B" w:rsidP="00C34811">
      <w:pPr>
        <w:rPr>
          <w:bCs/>
          <w:szCs w:val="22"/>
        </w:rPr>
      </w:pPr>
      <w:r>
        <w:rPr>
          <w:bCs/>
          <w:szCs w:val="22"/>
        </w:rPr>
        <w:lastRenderedPageBreak/>
        <w:t>A check of the (Re)Association Request and (Re)Association Response frames (subclause 9.3.3) shows that they carry a Multiple MAC Sublayers element.</w:t>
      </w:r>
      <w:r w:rsidR="00F514DB">
        <w:rPr>
          <w:bCs/>
          <w:szCs w:val="22"/>
        </w:rPr>
        <w:t xml:space="preserve">  However, the Multiple MAC Sublayers element does not carry AID(s) to be assigned to one or more requesting STA entities.</w:t>
      </w:r>
    </w:p>
    <w:p w14:paraId="3014B8B2" w14:textId="25FE4508" w:rsidR="00F514DB" w:rsidRDefault="00F514DB" w:rsidP="00C34811">
      <w:pPr>
        <w:rPr>
          <w:bCs/>
          <w:szCs w:val="22"/>
        </w:rPr>
      </w:pPr>
    </w:p>
    <w:p w14:paraId="26AAF882" w14:textId="5C57AAC2" w:rsidR="00F514DB" w:rsidRPr="00F514DB" w:rsidRDefault="00F514DB" w:rsidP="00C34811">
      <w:pPr>
        <w:rPr>
          <w:bCs/>
          <w:noProof/>
          <w:szCs w:val="22"/>
          <w:bdr w:val="single" w:sz="8" w:space="0" w:color="auto" w:shadow="1"/>
        </w:rPr>
      </w:pPr>
      <w:r w:rsidRPr="00F514DB">
        <w:rPr>
          <w:bCs/>
          <w:noProof/>
          <w:szCs w:val="22"/>
          <w:bdr w:val="single" w:sz="8" w:space="0" w:color="auto" w:shadow="1"/>
        </w:rPr>
        <w:drawing>
          <wp:inline distT="0" distB="0" distL="0" distR="0" wp14:anchorId="39FFE07E" wp14:editId="56ECFAA0">
            <wp:extent cx="6400800" cy="10922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092200"/>
                    </a:xfrm>
                    <a:prstGeom prst="rect">
                      <a:avLst/>
                    </a:prstGeom>
                    <a:noFill/>
                    <a:ln>
                      <a:noFill/>
                    </a:ln>
                  </pic:spPr>
                </pic:pic>
              </a:graphicData>
            </a:graphic>
          </wp:inline>
        </w:drawing>
      </w:r>
    </w:p>
    <w:p w14:paraId="425E567C" w14:textId="3828B7C0" w:rsidR="0054552B" w:rsidRDefault="0054552B" w:rsidP="00C34811">
      <w:pPr>
        <w:rPr>
          <w:bCs/>
          <w:szCs w:val="22"/>
        </w:rPr>
      </w:pPr>
    </w:p>
    <w:p w14:paraId="27DCCEA1" w14:textId="4F4E5429" w:rsidR="00FF701F" w:rsidRDefault="00FF701F" w:rsidP="00C34811">
      <w:pPr>
        <w:rPr>
          <w:bCs/>
          <w:szCs w:val="22"/>
        </w:rPr>
      </w:pPr>
      <w:r>
        <w:rPr>
          <w:bCs/>
          <w:szCs w:val="22"/>
        </w:rPr>
        <w:t>Table 9-94 says that the Multiple MAC Sublayers element is Extensible.  However, there appears to be no indication of the number of Inferface Address(es) included in the element (that is, the value of ‘n’).  However, the MMS element returned by the AP/PCP is the same one received from the request, in some scenarios, so in those cases the requesting MM-SME should know the value of “n”.  In other cases, it is not clear how, or if, the Interface Address(es) field is formatter, or if the requesting MM-SME can parse an extension to the element.</w:t>
      </w:r>
    </w:p>
    <w:p w14:paraId="0AFF8057" w14:textId="06EB3C1C" w:rsidR="00FF701F" w:rsidRDefault="00FF701F" w:rsidP="00C34811">
      <w:pPr>
        <w:rPr>
          <w:bCs/>
          <w:szCs w:val="22"/>
        </w:rPr>
      </w:pPr>
    </w:p>
    <w:p w14:paraId="096DC1FC" w14:textId="6BC32D27" w:rsidR="00FF701F" w:rsidRDefault="00FF701F" w:rsidP="00C34811">
      <w:pPr>
        <w:rPr>
          <w:bCs/>
          <w:szCs w:val="22"/>
        </w:rPr>
      </w:pPr>
      <w:r>
        <w:rPr>
          <w:bCs/>
          <w:szCs w:val="22"/>
        </w:rPr>
        <w:t xml:space="preserve">So, despite the element claiming it is extensible, this </w:t>
      </w:r>
      <w:r w:rsidR="000D2B26">
        <w:rPr>
          <w:bCs/>
          <w:szCs w:val="22"/>
        </w:rPr>
        <w:t>is not obviously correct.  It is probably safer to create a new element to carry the AID(s) in the response, rather than try to extend the MMS element.</w:t>
      </w:r>
    </w:p>
    <w:p w14:paraId="71EAD3CE" w14:textId="77777777" w:rsidR="00FF701F" w:rsidRDefault="00FF701F" w:rsidP="00C34811">
      <w:pPr>
        <w:rPr>
          <w:bCs/>
          <w:szCs w:val="22"/>
        </w:rPr>
      </w:pPr>
    </w:p>
    <w:p w14:paraId="0D1E1F63" w14:textId="41C6DBE9" w:rsidR="0054552B" w:rsidRDefault="000D2B26" w:rsidP="00C34811">
      <w:pPr>
        <w:rPr>
          <w:bCs/>
          <w:szCs w:val="22"/>
        </w:rPr>
      </w:pPr>
      <w:r>
        <w:rPr>
          <w:bCs/>
          <w:szCs w:val="22"/>
        </w:rPr>
        <w:t>Shifting consideration to the response primitives</w:t>
      </w:r>
      <w:r w:rsidR="0054552B">
        <w:rPr>
          <w:bCs/>
          <w:szCs w:val="22"/>
        </w:rPr>
        <w:t xml:space="preserve">, </w:t>
      </w:r>
      <w:r>
        <w:rPr>
          <w:bCs/>
          <w:szCs w:val="22"/>
        </w:rPr>
        <w:t xml:space="preserve">it can be seen that </w:t>
      </w:r>
      <w:r w:rsidR="0054552B">
        <w:rPr>
          <w:bCs/>
          <w:szCs w:val="22"/>
        </w:rPr>
        <w:t>the MLME-(RE)ASSOCIATE request, indication and confirm primitives have an MMS parameter.  However, the MLME-(RE)ASSOCIATE.response primitive does not have such a parameter.</w:t>
      </w:r>
      <w:r>
        <w:rPr>
          <w:bCs/>
          <w:szCs w:val="22"/>
        </w:rPr>
        <w:t xml:space="preserve">  This response primitive will need a parameter at least to pass the AID(s) (the new element mentioned above), but it </w:t>
      </w:r>
      <w:r w:rsidR="009D4BF6">
        <w:rPr>
          <w:bCs/>
          <w:szCs w:val="22"/>
        </w:rPr>
        <w:t>seems to</w:t>
      </w:r>
      <w:r>
        <w:rPr>
          <w:bCs/>
          <w:szCs w:val="22"/>
        </w:rPr>
        <w:t xml:space="preserve"> need the MMS element as well, to indicate whether the “Single AID” request was satisfied, or if the AP/PCP elected to allocate distinct AIDs for each STA in the request.</w:t>
      </w:r>
    </w:p>
    <w:p w14:paraId="04EF4B2C" w14:textId="6B237C12" w:rsidR="009D4BF6" w:rsidRDefault="009D4BF6" w:rsidP="00C34811">
      <w:pPr>
        <w:rPr>
          <w:bCs/>
          <w:szCs w:val="22"/>
        </w:rPr>
      </w:pPr>
    </w:p>
    <w:p w14:paraId="4B5BBB5F" w14:textId="78D3FDEC" w:rsidR="009D4BF6" w:rsidRDefault="009D4BF6" w:rsidP="00C34811">
      <w:pPr>
        <w:rPr>
          <w:bCs/>
          <w:szCs w:val="22"/>
        </w:rPr>
      </w:pPr>
      <w:r>
        <w:rPr>
          <w:bCs/>
          <w:szCs w:val="22"/>
        </w:rPr>
        <w:t>For purposes of carrying the AID assignments to the Interface Address(es), the AID Announcement element would appear to serve the purpose well:</w:t>
      </w:r>
    </w:p>
    <w:p w14:paraId="77C13B52" w14:textId="4B0DAAE8" w:rsidR="009D4BF6" w:rsidRDefault="009D4BF6" w:rsidP="00C34811">
      <w:pPr>
        <w:rPr>
          <w:bCs/>
          <w:szCs w:val="22"/>
        </w:rPr>
      </w:pPr>
    </w:p>
    <w:p w14:paraId="66625255" w14:textId="410D0D54" w:rsidR="009D4BF6" w:rsidRPr="009D4BF6" w:rsidRDefault="009D4BF6" w:rsidP="009D4BF6">
      <w:pPr>
        <w:keepNext/>
        <w:rPr>
          <w:bCs/>
          <w:noProof/>
          <w:szCs w:val="22"/>
          <w:bdr w:val="single" w:sz="8" w:space="0" w:color="auto" w:shadow="1"/>
        </w:rPr>
      </w:pPr>
      <w:r w:rsidRPr="009D4BF6">
        <w:rPr>
          <w:bCs/>
          <w:noProof/>
          <w:szCs w:val="22"/>
          <w:bdr w:val="single" w:sz="8" w:space="0" w:color="auto" w:shadow="1"/>
        </w:rPr>
        <w:lastRenderedPageBreak/>
        <w:drawing>
          <wp:inline distT="0" distB="0" distL="0" distR="0" wp14:anchorId="17297DC6" wp14:editId="07D98583">
            <wp:extent cx="6400800" cy="9398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939800"/>
                    </a:xfrm>
                    <a:prstGeom prst="rect">
                      <a:avLst/>
                    </a:prstGeom>
                    <a:noFill/>
                    <a:ln>
                      <a:noFill/>
                    </a:ln>
                  </pic:spPr>
                </pic:pic>
              </a:graphicData>
            </a:graphic>
          </wp:inline>
        </w:drawing>
      </w:r>
    </w:p>
    <w:p w14:paraId="2CC51B6B" w14:textId="1F862560" w:rsidR="009D4BF6" w:rsidRPr="009D4BF6" w:rsidRDefault="009D4BF6" w:rsidP="00C34811">
      <w:pPr>
        <w:rPr>
          <w:bCs/>
          <w:noProof/>
          <w:szCs w:val="22"/>
          <w:bdr w:val="single" w:sz="8" w:space="0" w:color="auto" w:shadow="1"/>
        </w:rPr>
      </w:pPr>
      <w:r w:rsidRPr="009D4BF6">
        <w:rPr>
          <w:bCs/>
          <w:noProof/>
          <w:szCs w:val="22"/>
          <w:bdr w:val="single" w:sz="8" w:space="0" w:color="auto" w:shadow="1"/>
        </w:rPr>
        <w:drawing>
          <wp:inline distT="0" distB="0" distL="0" distR="0" wp14:anchorId="14644A48" wp14:editId="477646C7">
            <wp:extent cx="6400800" cy="42164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4216400"/>
                    </a:xfrm>
                    <a:prstGeom prst="rect">
                      <a:avLst/>
                    </a:prstGeom>
                    <a:noFill/>
                    <a:ln>
                      <a:noFill/>
                    </a:ln>
                  </pic:spPr>
                </pic:pic>
              </a:graphicData>
            </a:graphic>
          </wp:inline>
        </w:drawing>
      </w:r>
    </w:p>
    <w:p w14:paraId="71E3E34E" w14:textId="4E94103C" w:rsidR="000D2B26" w:rsidRDefault="000D2B26" w:rsidP="00C34811">
      <w:pPr>
        <w:rPr>
          <w:bCs/>
          <w:szCs w:val="22"/>
        </w:rPr>
      </w:pPr>
    </w:p>
    <w:p w14:paraId="3DBA484B" w14:textId="72B8B597" w:rsidR="00C34811" w:rsidRDefault="00C34811" w:rsidP="00C34811">
      <w:pPr>
        <w:autoSpaceDE w:val="0"/>
        <w:autoSpaceDN w:val="0"/>
        <w:adjustRightInd w:val="0"/>
        <w:rPr>
          <w:sz w:val="24"/>
          <w:szCs w:val="18"/>
          <w:u w:val="single"/>
          <w:lang w:val="en-US" w:eastAsia="ja-JP" w:bidi="he-IL"/>
        </w:rPr>
      </w:pPr>
      <w:r w:rsidRPr="00614E9A">
        <w:rPr>
          <w:sz w:val="24"/>
          <w:szCs w:val="18"/>
          <w:highlight w:val="red"/>
          <w:u w:val="single"/>
          <w:lang w:val="en-US" w:eastAsia="ja-JP" w:bidi="he-IL"/>
        </w:rPr>
        <w:t>Proposed Resolution:</w:t>
      </w:r>
    </w:p>
    <w:p w14:paraId="2E744694" w14:textId="77777777" w:rsidR="00C34811" w:rsidRDefault="00C34811" w:rsidP="00C34811">
      <w:pPr>
        <w:autoSpaceDE w:val="0"/>
        <w:autoSpaceDN w:val="0"/>
        <w:adjustRightInd w:val="0"/>
        <w:rPr>
          <w:sz w:val="24"/>
          <w:szCs w:val="18"/>
          <w:u w:val="single"/>
          <w:lang w:val="en-US" w:eastAsia="ja-JP" w:bidi="he-IL"/>
        </w:rPr>
      </w:pPr>
    </w:p>
    <w:p w14:paraId="3DC473BB" w14:textId="54CC5E74" w:rsidR="00C34811" w:rsidRDefault="00D90F5A" w:rsidP="00C34811">
      <w:pPr>
        <w:rPr>
          <w:bCs/>
          <w:szCs w:val="22"/>
        </w:rPr>
      </w:pPr>
      <w:r>
        <w:rPr>
          <w:bCs/>
          <w:szCs w:val="22"/>
        </w:rPr>
        <w:t>Revised</w:t>
      </w:r>
      <w:r w:rsidR="00C34811">
        <w:rPr>
          <w:bCs/>
          <w:szCs w:val="22"/>
        </w:rPr>
        <w:t>.</w:t>
      </w:r>
    </w:p>
    <w:p w14:paraId="3498B037" w14:textId="19F6D97B" w:rsidR="00C34811" w:rsidRDefault="00C34811" w:rsidP="00C34811">
      <w:pPr>
        <w:rPr>
          <w:bCs/>
          <w:szCs w:val="22"/>
        </w:rPr>
      </w:pPr>
    </w:p>
    <w:p w14:paraId="2E02022D" w14:textId="5B940C45" w:rsidR="00271B55" w:rsidRDefault="00271B55" w:rsidP="00C34811">
      <w:pPr>
        <w:rPr>
          <w:bCs/>
          <w:szCs w:val="22"/>
        </w:rPr>
      </w:pPr>
      <w:r>
        <w:rPr>
          <w:bCs/>
          <w:szCs w:val="22"/>
        </w:rPr>
        <w:t>&lt;Word the following, formally&gt;</w:t>
      </w:r>
    </w:p>
    <w:p w14:paraId="6FDEAEFD" w14:textId="77777777" w:rsidR="00271B55" w:rsidRDefault="00271B55" w:rsidP="00C34811">
      <w:pPr>
        <w:rPr>
          <w:bCs/>
          <w:szCs w:val="22"/>
        </w:rPr>
      </w:pPr>
    </w:p>
    <w:p w14:paraId="6E891FBA" w14:textId="758EF55D" w:rsidR="00A5213B" w:rsidRDefault="009D4BF6" w:rsidP="00A5213B">
      <w:pPr>
        <w:autoSpaceDE w:val="0"/>
        <w:autoSpaceDN w:val="0"/>
        <w:adjustRightInd w:val="0"/>
        <w:rPr>
          <w:rFonts w:ascii="TimesNewRoman" w:hAnsi="TimesNewRoman" w:cs="TimesNewRoman"/>
          <w:sz w:val="20"/>
          <w:lang w:val="en-US" w:eastAsia="ja-JP"/>
        </w:rPr>
      </w:pPr>
      <w:r>
        <w:rPr>
          <w:rFonts w:ascii="TimesNewRoman" w:hAnsi="TimesNewRoman" w:cs="TimesNewRoman"/>
          <w:sz w:val="20"/>
          <w:lang w:val="en-US" w:eastAsia="ja-JP"/>
        </w:rPr>
        <w:t>Add AID Announcement element to (Re)Associate.response and .confirm</w:t>
      </w:r>
      <w:r w:rsidR="00271B55">
        <w:rPr>
          <w:rFonts w:ascii="TimesNewRoman" w:hAnsi="TimesNewRoman" w:cs="TimesNewRoman"/>
          <w:sz w:val="20"/>
          <w:lang w:val="en-US" w:eastAsia="ja-JP"/>
        </w:rPr>
        <w:t xml:space="preserve"> (clause 6)</w:t>
      </w:r>
      <w:r>
        <w:rPr>
          <w:rFonts w:ascii="TimesNewRoman" w:hAnsi="TimesNewRoman" w:cs="TimesNewRoman"/>
          <w:sz w:val="20"/>
          <w:lang w:val="en-US" w:eastAsia="ja-JP"/>
        </w:rPr>
        <w:t>, present if MMS is present, and Single AID operation is not negotiated.</w:t>
      </w:r>
    </w:p>
    <w:p w14:paraId="1C2ED2DC" w14:textId="4B5C0535" w:rsidR="009D4BF6" w:rsidRDefault="009D4BF6" w:rsidP="00A5213B">
      <w:pPr>
        <w:autoSpaceDE w:val="0"/>
        <w:autoSpaceDN w:val="0"/>
        <w:adjustRightInd w:val="0"/>
        <w:rPr>
          <w:rFonts w:ascii="TimesNewRoman" w:hAnsi="TimesNewRoman" w:cs="TimesNewRoman"/>
          <w:sz w:val="20"/>
          <w:lang w:val="en-US" w:eastAsia="ja-JP"/>
        </w:rPr>
      </w:pPr>
    </w:p>
    <w:p w14:paraId="2440A071" w14:textId="234BD7B5" w:rsidR="009D4BF6" w:rsidRDefault="009D4BF6" w:rsidP="00A5213B">
      <w:pPr>
        <w:autoSpaceDE w:val="0"/>
        <w:autoSpaceDN w:val="0"/>
        <w:adjustRightInd w:val="0"/>
        <w:rPr>
          <w:rFonts w:ascii="TimesNewRoman" w:hAnsi="TimesNewRoman" w:cs="TimesNewRoman"/>
          <w:sz w:val="20"/>
          <w:lang w:val="en-US" w:eastAsia="ja-JP"/>
        </w:rPr>
      </w:pPr>
      <w:r>
        <w:rPr>
          <w:rFonts w:ascii="TimesNewRoman" w:hAnsi="TimesNewRoman" w:cs="TimesNewRoman"/>
          <w:sz w:val="20"/>
          <w:lang w:val="en-US" w:eastAsia="ja-JP"/>
        </w:rPr>
        <w:t>Add AID Announcement element to (Re)Association frames</w:t>
      </w:r>
      <w:r w:rsidR="00271B55">
        <w:rPr>
          <w:rFonts w:ascii="TimesNewRoman" w:hAnsi="TimesNewRoman" w:cs="TimesNewRoman"/>
          <w:sz w:val="20"/>
          <w:lang w:val="en-US" w:eastAsia="ja-JP"/>
        </w:rPr>
        <w:t xml:space="preserve"> (clause 9)</w:t>
      </w:r>
      <w:r>
        <w:rPr>
          <w:rFonts w:ascii="TimesNewRoman" w:hAnsi="TimesNewRoman" w:cs="TimesNewRoman"/>
          <w:sz w:val="20"/>
          <w:lang w:val="en-US" w:eastAsia="ja-JP"/>
        </w:rPr>
        <w:t xml:space="preserve">, present if </w:t>
      </w:r>
      <w:r w:rsidR="00271B55">
        <w:rPr>
          <w:rFonts w:ascii="TimesNewRoman" w:hAnsi="TimesNewRoman" w:cs="TimesNewRoman"/>
          <w:sz w:val="20"/>
          <w:lang w:val="en-US" w:eastAsia="ja-JP"/>
        </w:rPr>
        <w:t>MMS is present, and Single AID operation is not negotiated.</w:t>
      </w:r>
    </w:p>
    <w:p w14:paraId="3803BBB7" w14:textId="77777777" w:rsidR="009D4BF6" w:rsidRDefault="009D4BF6" w:rsidP="00A5213B">
      <w:pPr>
        <w:autoSpaceDE w:val="0"/>
        <w:autoSpaceDN w:val="0"/>
        <w:adjustRightInd w:val="0"/>
        <w:rPr>
          <w:rFonts w:ascii="TimesNewRoman" w:hAnsi="TimesNewRoman" w:cs="TimesNewRoman"/>
          <w:sz w:val="20"/>
          <w:lang w:val="en-US" w:eastAsia="ja-JP"/>
        </w:rPr>
      </w:pPr>
    </w:p>
    <w:p w14:paraId="0C94C747" w14:textId="48BF78B0" w:rsidR="00D90F5A" w:rsidRDefault="00271B55" w:rsidP="00C34811">
      <w:pPr>
        <w:rPr>
          <w:bCs/>
          <w:szCs w:val="22"/>
        </w:rPr>
      </w:pPr>
      <w:r>
        <w:rPr>
          <w:bCs/>
          <w:szCs w:val="22"/>
        </w:rPr>
        <w:t>Add AID Announcement element presence to (re)association operation in 11.3.5.3 (m), and 11.3.5.5 (k)</w:t>
      </w:r>
      <w:r w:rsidR="00166DE9">
        <w:rPr>
          <w:bCs/>
          <w:szCs w:val="22"/>
        </w:rPr>
        <w:t>, when Single AID is not negotiated.</w:t>
      </w:r>
    </w:p>
    <w:p w14:paraId="778A0B30" w14:textId="05DC3B6F" w:rsidR="00271B55" w:rsidRDefault="00271B55" w:rsidP="00C34811">
      <w:pPr>
        <w:rPr>
          <w:bCs/>
          <w:szCs w:val="22"/>
        </w:rPr>
      </w:pPr>
    </w:p>
    <w:p w14:paraId="6CE0C2B3" w14:textId="66C58E4B" w:rsidR="00271B55" w:rsidRDefault="00271B55" w:rsidP="00C34811">
      <w:pPr>
        <w:rPr>
          <w:bCs/>
          <w:szCs w:val="22"/>
        </w:rPr>
      </w:pPr>
      <w:r>
        <w:rPr>
          <w:bCs/>
          <w:szCs w:val="22"/>
        </w:rPr>
        <w:t>Also add something to 11.3.5.2 and 11.3.5.4</w:t>
      </w:r>
      <w:r w:rsidR="00166DE9">
        <w:rPr>
          <w:bCs/>
          <w:szCs w:val="22"/>
        </w:rPr>
        <w:t>, also</w:t>
      </w:r>
      <w:r>
        <w:rPr>
          <w:bCs/>
          <w:szCs w:val="22"/>
        </w:rPr>
        <w:t>?</w:t>
      </w:r>
    </w:p>
    <w:p w14:paraId="4499215B" w14:textId="77777777" w:rsidR="00271B55" w:rsidRDefault="00271B55" w:rsidP="00C34811">
      <w:pPr>
        <w:rPr>
          <w:bCs/>
          <w:szCs w:val="22"/>
        </w:rPr>
      </w:pPr>
    </w:p>
    <w:p w14:paraId="60ACFB4E" w14:textId="77777777" w:rsidR="00C34811" w:rsidRDefault="00C34811" w:rsidP="00C34811">
      <w:pPr>
        <w:rPr>
          <w:bCs/>
          <w:szCs w:val="22"/>
        </w:rPr>
      </w:pPr>
      <w:r>
        <w:rPr>
          <w:bCs/>
          <w:szCs w:val="22"/>
        </w:rPr>
        <w:br w:type="page"/>
      </w:r>
    </w:p>
    <w:p w14:paraId="41DE4D08" w14:textId="351E71E5" w:rsidR="001325F6" w:rsidRDefault="001325F6" w:rsidP="001325F6">
      <w:pPr>
        <w:rPr>
          <w:bCs/>
          <w:szCs w:val="22"/>
        </w:rPr>
      </w:pPr>
    </w:p>
    <w:p w14:paraId="59394586" w14:textId="77777777" w:rsidR="00AD4706" w:rsidRDefault="00AD4706" w:rsidP="001325F6">
      <w:pPr>
        <w:rPr>
          <w:bCs/>
          <w:szCs w:val="22"/>
        </w:rPr>
      </w:pPr>
    </w:p>
    <w:p w14:paraId="2434C380" w14:textId="6C9FC3A0" w:rsidR="00873A2E" w:rsidRDefault="00873A2E" w:rsidP="00873A2E">
      <w:pPr>
        <w:rPr>
          <w:bCs/>
          <w:szCs w:val="22"/>
        </w:rPr>
      </w:pPr>
    </w:p>
    <w:p w14:paraId="178A2C8A" w14:textId="77777777" w:rsidR="00556719" w:rsidRPr="00556719" w:rsidRDefault="00556719" w:rsidP="00CD66FA">
      <w:pPr>
        <w:rPr>
          <w:bCs/>
          <w:szCs w:val="22"/>
        </w:rPr>
      </w:pPr>
    </w:p>
    <w:p w14:paraId="290EBE6A" w14:textId="79C9145B" w:rsidR="00F13906" w:rsidRPr="00F13906" w:rsidRDefault="00F13906" w:rsidP="00EF4D4B">
      <w:pPr>
        <w:rPr>
          <w:b/>
          <w:sz w:val="40"/>
        </w:rPr>
      </w:pPr>
      <w:r w:rsidRPr="00F13906">
        <w:rPr>
          <w:b/>
          <w:sz w:val="40"/>
        </w:rPr>
        <w:t>Marked as “Insufficient detail”, until/unless a submission is provided:</w:t>
      </w:r>
    </w:p>
    <w:p w14:paraId="321EE012" w14:textId="77777777" w:rsidR="00F13906" w:rsidRDefault="00F13906" w:rsidP="00EF4D4B"/>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13906" w:rsidRPr="007837C2" w14:paraId="323A41D7" w14:textId="77777777" w:rsidTr="000B2985">
        <w:trPr>
          <w:trHeight w:val="524"/>
        </w:trPr>
        <w:tc>
          <w:tcPr>
            <w:tcW w:w="738" w:type="dxa"/>
            <w:hideMark/>
          </w:tcPr>
          <w:p w14:paraId="4A02121C" w14:textId="77777777" w:rsidR="00F13906" w:rsidRPr="007837C2" w:rsidRDefault="00F13906" w:rsidP="000B2985">
            <w:pPr>
              <w:autoSpaceDE w:val="0"/>
              <w:autoSpaceDN w:val="0"/>
              <w:adjustRightInd w:val="0"/>
              <w:rPr>
                <w:rFonts w:ascii="Arial" w:hAnsi="Arial" w:cs="Arial"/>
                <w:b/>
                <w:bCs/>
                <w:sz w:val="20"/>
                <w:lang w:eastAsia="ja-JP" w:bidi="he-IL"/>
              </w:rPr>
            </w:pPr>
            <w:bookmarkStart w:id="5" w:name="_Hlk18602778"/>
            <w:r w:rsidRPr="007837C2">
              <w:rPr>
                <w:rFonts w:ascii="Arial" w:hAnsi="Arial" w:cs="Arial"/>
                <w:b/>
                <w:bCs/>
                <w:sz w:val="20"/>
                <w:lang w:eastAsia="ja-JP" w:bidi="he-IL"/>
              </w:rPr>
              <w:t>CID</w:t>
            </w:r>
          </w:p>
        </w:tc>
        <w:tc>
          <w:tcPr>
            <w:tcW w:w="990" w:type="dxa"/>
            <w:hideMark/>
          </w:tcPr>
          <w:p w14:paraId="4C7D9EDA"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A43F381"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BE15B53"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797996"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bookmarkEnd w:id="5"/>
    </w:tbl>
    <w:p w14:paraId="11C8BF44" w14:textId="2DA2991A" w:rsidR="00EF4D4B" w:rsidRDefault="00EF4D4B" w:rsidP="00EF4D4B"/>
    <w:p w14:paraId="17491260" w14:textId="77777777" w:rsidR="004D540D" w:rsidRDefault="004D540D" w:rsidP="00EF4D4B"/>
    <w:p w14:paraId="20B82079" w14:textId="77777777" w:rsidR="007F078C" w:rsidRDefault="004D540D" w:rsidP="004D540D">
      <w:pPr>
        <w:rPr>
          <w:b/>
          <w:sz w:val="20"/>
        </w:rPr>
      </w:pPr>
      <w:r>
        <w:rPr>
          <w:b/>
          <w:sz w:val="20"/>
        </w:rPr>
        <w:br w:type="page"/>
      </w:r>
    </w:p>
    <w:p w14:paraId="2C440011" w14:textId="77777777" w:rsidR="00C45154" w:rsidRDefault="00C45154" w:rsidP="00C45154">
      <w:pPr>
        <w:rPr>
          <w:b/>
          <w:sz w:val="40"/>
        </w:rPr>
      </w:pPr>
      <w:r>
        <w:rPr>
          <w:b/>
          <w:sz w:val="40"/>
        </w:rPr>
        <w:lastRenderedPageBreak/>
        <w:t>Not ready for review, yet:</w:t>
      </w:r>
    </w:p>
    <w:p w14:paraId="47C36856" w14:textId="77777777" w:rsidR="00C45154" w:rsidRDefault="00C45154" w:rsidP="00C4515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56719" w14:paraId="2EDA750D"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3681E8BD"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0CA6E95"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1010E63"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091D804"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618C214"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DE7477" w:rsidRPr="00DE7477" w14:paraId="44884A2A" w14:textId="77777777" w:rsidTr="00DE7477">
        <w:trPr>
          <w:trHeight w:val="1530"/>
        </w:trPr>
        <w:tc>
          <w:tcPr>
            <w:tcW w:w="738" w:type="dxa"/>
            <w:hideMark/>
          </w:tcPr>
          <w:p w14:paraId="035812CA"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4806</w:t>
            </w:r>
          </w:p>
        </w:tc>
        <w:tc>
          <w:tcPr>
            <w:tcW w:w="990" w:type="dxa"/>
            <w:hideMark/>
          </w:tcPr>
          <w:p w14:paraId="64D5746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2235.37</w:t>
            </w:r>
          </w:p>
        </w:tc>
        <w:tc>
          <w:tcPr>
            <w:tcW w:w="1080" w:type="dxa"/>
            <w:hideMark/>
          </w:tcPr>
          <w:p w14:paraId="6BDF3C8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6E22E2B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Sub-bullet (2) requires allocation of multiple, distinct AIDs for the STAs in the MMS element.  How is this allocation communicated back to those STAs?</w:t>
            </w:r>
          </w:p>
        </w:tc>
        <w:tc>
          <w:tcPr>
            <w:tcW w:w="3600" w:type="dxa"/>
            <w:hideMark/>
          </w:tcPr>
          <w:p w14:paraId="4B6032C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Add facility (Association Response frame contents, and MLME-ASSOCIATE.response parameter) to communicate these AIDs back to the peer.</w:t>
            </w:r>
          </w:p>
        </w:tc>
      </w:tr>
      <w:tr w:rsidR="00DE7477" w:rsidRPr="00DE7477" w14:paraId="476B710A" w14:textId="77777777" w:rsidTr="00DE7477">
        <w:trPr>
          <w:trHeight w:val="6375"/>
        </w:trPr>
        <w:tc>
          <w:tcPr>
            <w:tcW w:w="738" w:type="dxa"/>
            <w:hideMark/>
          </w:tcPr>
          <w:p w14:paraId="3B92199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4805</w:t>
            </w:r>
          </w:p>
        </w:tc>
        <w:tc>
          <w:tcPr>
            <w:tcW w:w="990" w:type="dxa"/>
            <w:hideMark/>
          </w:tcPr>
          <w:p w14:paraId="6EED1BCF"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2235.34</w:t>
            </w:r>
          </w:p>
        </w:tc>
        <w:tc>
          <w:tcPr>
            <w:tcW w:w="1080" w:type="dxa"/>
            <w:hideMark/>
          </w:tcPr>
          <w:p w14:paraId="1950BF8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49CF492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This text requires an MMS element be passed to the MLME-ASSOCIATION.response (sic), under some circumstances.  The MLME-ASSOCIATE.response primitive has no such parameter.  Add it.</w:t>
            </w:r>
          </w:p>
        </w:tc>
        <w:tc>
          <w:tcPr>
            <w:tcW w:w="3600" w:type="dxa"/>
            <w:hideMark/>
          </w:tcPr>
          <w:p w14:paraId="3036F54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Insert a row for an MMS paramter in the parameters table for the MLME-ASSOCIATE.response.  Match the contents to the MMS row in the parameters Table in the MLME-ASSOCIATE.request, except change the Description to "Specifies the parameters within the Multiple MAC Sublayers element that are supported by the MAC entity, and were received from the MM-SME coordinated STA. The parameter is present if dot11MultipleMACActivated is</w:t>
            </w:r>
            <w:r w:rsidRPr="00DE7477">
              <w:rPr>
                <w:rFonts w:ascii="Arial" w:eastAsia="Times New Roman" w:hAnsi="Arial" w:cs="Arial"/>
                <w:sz w:val="20"/>
                <w:lang w:val="en-US"/>
              </w:rPr>
              <w:br/>
              <w:t>true and the corresponding MLME-ASSOCIATE.indication primitive included an MMS parameter, and is absent otherwise."</w:t>
            </w:r>
          </w:p>
        </w:tc>
      </w:tr>
      <w:tr w:rsidR="00DE7477" w:rsidRPr="00DE7477" w14:paraId="5420AA88" w14:textId="77777777" w:rsidTr="00DE7477">
        <w:trPr>
          <w:trHeight w:val="3060"/>
        </w:trPr>
        <w:tc>
          <w:tcPr>
            <w:tcW w:w="738" w:type="dxa"/>
            <w:hideMark/>
          </w:tcPr>
          <w:p w14:paraId="7FDC6FD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4802</w:t>
            </w:r>
          </w:p>
        </w:tc>
        <w:tc>
          <w:tcPr>
            <w:tcW w:w="990" w:type="dxa"/>
            <w:hideMark/>
          </w:tcPr>
          <w:p w14:paraId="46BB517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1056.02</w:t>
            </w:r>
          </w:p>
        </w:tc>
        <w:tc>
          <w:tcPr>
            <w:tcW w:w="1080" w:type="dxa"/>
            <w:hideMark/>
          </w:tcPr>
          <w:p w14:paraId="1B310B4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9.4.2.21.7</w:t>
            </w:r>
          </w:p>
        </w:tc>
        <w:tc>
          <w:tcPr>
            <w:tcW w:w="3600" w:type="dxa"/>
            <w:hideMark/>
          </w:tcPr>
          <w:p w14:paraId="438ACD2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While considerably less likely, it is still possible for a beacon Measurement Report's Reported Frame Body to exceed the maximum element size, even for Reporting Detail type 1.  Recommend moving this text about truncating elements and/or using fragmentation (when supported) to apply in all cases.</w:t>
            </w:r>
          </w:p>
        </w:tc>
        <w:tc>
          <w:tcPr>
            <w:tcW w:w="3600" w:type="dxa"/>
            <w:hideMark/>
          </w:tcPr>
          <w:p w14:paraId="3EEE398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Break the paragraph into two, after the first sentence (at the full stop on line 2).  Start the new paragraph with, "Some elements in the Reported Frame Body subelement, or the Reported Frame Body subelement itself, might be large."</w:t>
            </w:r>
          </w:p>
        </w:tc>
      </w:tr>
      <w:tr w:rsidR="00DE7477" w:rsidRPr="00DE7477" w14:paraId="01B6CF0D" w14:textId="77777777" w:rsidTr="00DE7477">
        <w:trPr>
          <w:trHeight w:val="2040"/>
        </w:trPr>
        <w:tc>
          <w:tcPr>
            <w:tcW w:w="738" w:type="dxa"/>
            <w:hideMark/>
          </w:tcPr>
          <w:p w14:paraId="043B04B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4799</w:t>
            </w:r>
          </w:p>
        </w:tc>
        <w:tc>
          <w:tcPr>
            <w:tcW w:w="990" w:type="dxa"/>
            <w:hideMark/>
          </w:tcPr>
          <w:p w14:paraId="67319EA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2153.65</w:t>
            </w:r>
          </w:p>
        </w:tc>
        <w:tc>
          <w:tcPr>
            <w:tcW w:w="1080" w:type="dxa"/>
            <w:hideMark/>
          </w:tcPr>
          <w:p w14:paraId="759F436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79E9BA1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It's not clear what list of elements are implied by, "The AP or PCP may include all other elements in the nontransmitted BSSID profile."  This list should be restricted to those allowed per 9.4.2.45.</w:t>
            </w:r>
          </w:p>
        </w:tc>
        <w:tc>
          <w:tcPr>
            <w:tcW w:w="3600" w:type="dxa"/>
            <w:hideMark/>
          </w:tcPr>
          <w:p w14:paraId="1695890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Insert "allowed per 9.4.2.45" after "all other elements"</w:t>
            </w:r>
          </w:p>
        </w:tc>
      </w:tr>
      <w:tr w:rsidR="00DE7477" w:rsidRPr="00DE7477" w14:paraId="32ECDC96" w14:textId="77777777" w:rsidTr="00DE7477">
        <w:trPr>
          <w:trHeight w:val="2805"/>
        </w:trPr>
        <w:tc>
          <w:tcPr>
            <w:tcW w:w="738" w:type="dxa"/>
            <w:hideMark/>
          </w:tcPr>
          <w:p w14:paraId="5D31E2B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4797</w:t>
            </w:r>
          </w:p>
        </w:tc>
        <w:tc>
          <w:tcPr>
            <w:tcW w:w="990" w:type="dxa"/>
            <w:hideMark/>
          </w:tcPr>
          <w:p w14:paraId="5DD35AC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104E5C0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292D93A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Per the changes in 11-19/0551r17 (https://mentor.ieee.org/802.11/dcn/19/11-19-0551-17-000m-revmd-lb236-comments-assigned-to-hamilton.docx), as agreed on CID 2692 during working group ballot, bullet (e) is redundant, and should be deleted.</w:t>
            </w:r>
          </w:p>
        </w:tc>
        <w:tc>
          <w:tcPr>
            <w:tcW w:w="3600" w:type="dxa"/>
            <w:hideMark/>
          </w:tcPr>
          <w:p w14:paraId="5485FAA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bullet (e)</w:t>
            </w:r>
          </w:p>
        </w:tc>
      </w:tr>
      <w:tr w:rsidR="00DE7477" w:rsidRPr="00DE7477" w14:paraId="77321DF6" w14:textId="77777777" w:rsidTr="00DE7477">
        <w:trPr>
          <w:trHeight w:val="1785"/>
        </w:trPr>
        <w:tc>
          <w:tcPr>
            <w:tcW w:w="738" w:type="dxa"/>
            <w:hideMark/>
          </w:tcPr>
          <w:p w14:paraId="43D7482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4641</w:t>
            </w:r>
          </w:p>
        </w:tc>
        <w:tc>
          <w:tcPr>
            <w:tcW w:w="990" w:type="dxa"/>
            <w:hideMark/>
          </w:tcPr>
          <w:p w14:paraId="34F6C11A"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2061.33</w:t>
            </w:r>
          </w:p>
        </w:tc>
        <w:tc>
          <w:tcPr>
            <w:tcW w:w="1080" w:type="dxa"/>
            <w:hideMark/>
          </w:tcPr>
          <w:p w14:paraId="795AD53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2CB37A5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"If the initiator receives the expected feedback" should be "If the beam tracking initiator receives the expected feedback"; ditto in that sentence "responder" -&gt; "beam tracking responder"</w:t>
            </w:r>
          </w:p>
        </w:tc>
        <w:tc>
          <w:tcPr>
            <w:tcW w:w="3600" w:type="dxa"/>
            <w:hideMark/>
          </w:tcPr>
          <w:p w14:paraId="7C69857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r w:rsidR="00DE7477" w:rsidRPr="00DE7477" w14:paraId="3DE284D0" w14:textId="77777777" w:rsidTr="00DE7477">
        <w:trPr>
          <w:trHeight w:val="3570"/>
        </w:trPr>
        <w:tc>
          <w:tcPr>
            <w:tcW w:w="738" w:type="dxa"/>
            <w:hideMark/>
          </w:tcPr>
          <w:p w14:paraId="58B470C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4782</w:t>
            </w:r>
          </w:p>
        </w:tc>
        <w:tc>
          <w:tcPr>
            <w:tcW w:w="990" w:type="dxa"/>
            <w:hideMark/>
          </w:tcPr>
          <w:p w14:paraId="1D56AF3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2164.58</w:t>
            </w:r>
          </w:p>
        </w:tc>
        <w:tc>
          <w:tcPr>
            <w:tcW w:w="1080" w:type="dxa"/>
            <w:hideMark/>
          </w:tcPr>
          <w:p w14:paraId="218C008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11.1.4.3.4</w:t>
            </w:r>
          </w:p>
        </w:tc>
        <w:tc>
          <w:tcPr>
            <w:tcW w:w="3600" w:type="dxa"/>
            <w:hideMark/>
          </w:tcPr>
          <w:p w14:paraId="12FC51E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From the draft: "If a FILS STA receives one or more Probe Request frame(s), subject to the criteria above, and the STA has dot11FILSOmitReplicateProbeResponses equal to true, the responding STA shall select the response with the next Beacon frame or one or more Probe Response frames as a response to all Probe Request frames(11ai)."  Huh?</w:t>
            </w:r>
          </w:p>
        </w:tc>
        <w:tc>
          <w:tcPr>
            <w:tcW w:w="3600" w:type="dxa"/>
            <w:hideMark/>
          </w:tcPr>
          <w:p w14:paraId="74DF844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Replace the sentence with: "If a FILS STA receives one or more Probe Request frame(s) and the STA has dot11FILSOmitReplicateProbeResponses equal to true, then the responding STA shall respond, subject to the criteria above, by letting the response be the next Beacon frame, a broadcast Probe Response frame, or one or more directed Probe Response frames."</w:t>
            </w:r>
          </w:p>
        </w:tc>
      </w:tr>
      <w:tr w:rsidR="00DE7477" w:rsidRPr="00DE7477" w14:paraId="31942B84" w14:textId="77777777" w:rsidTr="00DE7477">
        <w:trPr>
          <w:trHeight w:val="765"/>
        </w:trPr>
        <w:tc>
          <w:tcPr>
            <w:tcW w:w="738" w:type="dxa"/>
            <w:hideMark/>
          </w:tcPr>
          <w:p w14:paraId="360E047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4488</w:t>
            </w:r>
          </w:p>
        </w:tc>
        <w:tc>
          <w:tcPr>
            <w:tcW w:w="990" w:type="dxa"/>
            <w:hideMark/>
          </w:tcPr>
          <w:p w14:paraId="52CF22F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6F7CA18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1B4EF0A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3E71DF6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each to "Remaining BIs field"</w:t>
            </w:r>
          </w:p>
        </w:tc>
      </w:tr>
      <w:tr w:rsidR="00DE7477" w:rsidRPr="00DE7477" w14:paraId="1D27D6F0" w14:textId="77777777" w:rsidTr="00DE7477">
        <w:trPr>
          <w:trHeight w:val="1020"/>
        </w:trPr>
        <w:tc>
          <w:tcPr>
            <w:tcW w:w="738" w:type="dxa"/>
            <w:hideMark/>
          </w:tcPr>
          <w:p w14:paraId="1C562A2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4723</w:t>
            </w:r>
          </w:p>
        </w:tc>
        <w:tc>
          <w:tcPr>
            <w:tcW w:w="990" w:type="dxa"/>
            <w:hideMark/>
          </w:tcPr>
          <w:p w14:paraId="309C647A"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1165.59</w:t>
            </w:r>
          </w:p>
        </w:tc>
        <w:tc>
          <w:tcPr>
            <w:tcW w:w="1080" w:type="dxa"/>
            <w:hideMark/>
          </w:tcPr>
          <w:p w14:paraId="7AC7604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4DC57A5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Wrapped Key field contains the encrypted GTK" is confusing -- is it wrapped or encrypted?</w:t>
            </w:r>
          </w:p>
        </w:tc>
        <w:tc>
          <w:tcPr>
            <w:tcW w:w="3600" w:type="dxa"/>
            <w:hideMark/>
          </w:tcPr>
          <w:p w14:paraId="2BF2D02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"The Wrapped Key field contains the wrapped GTK"</w:t>
            </w:r>
          </w:p>
        </w:tc>
      </w:tr>
      <w:tr w:rsidR="00DE7477" w:rsidRPr="00DE7477" w14:paraId="129E3D77" w14:textId="77777777" w:rsidTr="00DE7477">
        <w:trPr>
          <w:trHeight w:val="3060"/>
        </w:trPr>
        <w:tc>
          <w:tcPr>
            <w:tcW w:w="738" w:type="dxa"/>
            <w:hideMark/>
          </w:tcPr>
          <w:p w14:paraId="1C6D713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4722</w:t>
            </w:r>
          </w:p>
        </w:tc>
        <w:tc>
          <w:tcPr>
            <w:tcW w:w="990" w:type="dxa"/>
            <w:hideMark/>
          </w:tcPr>
          <w:p w14:paraId="2D9CC4B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1166.25</w:t>
            </w:r>
          </w:p>
        </w:tc>
        <w:tc>
          <w:tcPr>
            <w:tcW w:w="1080" w:type="dxa"/>
            <w:hideMark/>
          </w:tcPr>
          <w:p w14:paraId="723263E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122ECE0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length of the resulting AES-Key-</w:t>
            </w:r>
            <w:r w:rsidRPr="00DE7477">
              <w:rPr>
                <w:rFonts w:ascii="Arial" w:eastAsia="Times New Roman" w:hAnsi="Arial" w:cs="Arial"/>
                <w:sz w:val="20"/>
                <w:lang w:val="en-US"/>
              </w:rPr>
              <w:br/>
              <w:t>wrapped IGTK in the Wrapped Key field is Key Length + 8 octets." -- this is true for the NIST key wrap algorithm (CID 2510 resolution) but might not be of other key wrap algorithms in the future, so risk of spec rot.  Also, "AES-Key-wrapped" is not defined</w:t>
            </w:r>
          </w:p>
        </w:tc>
        <w:tc>
          <w:tcPr>
            <w:tcW w:w="3600" w:type="dxa"/>
            <w:hideMark/>
          </w:tcPr>
          <w:p w14:paraId="28A30FB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sentence, and last sentence of referenced subclause (on BIGTK)</w:t>
            </w:r>
          </w:p>
        </w:tc>
      </w:tr>
      <w:tr w:rsidR="00DE7477" w:rsidRPr="00DE7477" w14:paraId="44CC4BB2" w14:textId="77777777" w:rsidTr="00DE7477">
        <w:trPr>
          <w:trHeight w:val="1530"/>
        </w:trPr>
        <w:tc>
          <w:tcPr>
            <w:tcW w:w="738" w:type="dxa"/>
            <w:hideMark/>
          </w:tcPr>
          <w:p w14:paraId="5BA8C63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4709</w:t>
            </w:r>
          </w:p>
        </w:tc>
        <w:tc>
          <w:tcPr>
            <w:tcW w:w="990" w:type="dxa"/>
            <w:hideMark/>
          </w:tcPr>
          <w:p w14:paraId="74C9DAF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EE30B0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672AF3C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75D6998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10.6.7 and 10.6.8</w:t>
            </w:r>
          </w:p>
        </w:tc>
      </w:tr>
      <w:tr w:rsidR="00DE7477" w:rsidRPr="00DE7477" w14:paraId="46C2E375" w14:textId="77777777" w:rsidTr="00DE7477">
        <w:trPr>
          <w:trHeight w:val="1530"/>
        </w:trPr>
        <w:tc>
          <w:tcPr>
            <w:tcW w:w="738" w:type="dxa"/>
            <w:hideMark/>
          </w:tcPr>
          <w:p w14:paraId="6C80D77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4708</w:t>
            </w:r>
          </w:p>
        </w:tc>
        <w:tc>
          <w:tcPr>
            <w:tcW w:w="990" w:type="dxa"/>
            <w:hideMark/>
          </w:tcPr>
          <w:p w14:paraId="25D7988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5B02221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7BE1CF8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20E3305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Merge 10.6.7 and 10.6.8 into 10.6.5.  I think perhaps the other Mark has some ideas about this</w:t>
            </w:r>
          </w:p>
        </w:tc>
      </w:tr>
      <w:tr w:rsidR="00DE7477" w:rsidRPr="00DE7477" w14:paraId="3CA1571E" w14:textId="77777777" w:rsidTr="00DE7477">
        <w:trPr>
          <w:trHeight w:val="1530"/>
        </w:trPr>
        <w:tc>
          <w:tcPr>
            <w:tcW w:w="738" w:type="dxa"/>
            <w:hideMark/>
          </w:tcPr>
          <w:p w14:paraId="3D9CD58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4700</w:t>
            </w:r>
          </w:p>
        </w:tc>
        <w:tc>
          <w:tcPr>
            <w:tcW w:w="990" w:type="dxa"/>
            <w:hideMark/>
          </w:tcPr>
          <w:p w14:paraId="44B83D3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6B12128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9.4.5</w:t>
            </w:r>
          </w:p>
        </w:tc>
        <w:tc>
          <w:tcPr>
            <w:tcW w:w="3600" w:type="dxa"/>
            <w:hideMark/>
          </w:tcPr>
          <w:p w14:paraId="2F5E3FF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Instead of ISO 14962 just refer to ASCII</w:t>
            </w:r>
          </w:p>
        </w:tc>
        <w:tc>
          <w:tcPr>
            <w:tcW w:w="3600" w:type="dxa"/>
            <w:hideMark/>
          </w:tcPr>
          <w:p w14:paraId="4DC93FC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 9.4.5.4 and 9.4.5.21 change " is a 3-octet ISO 14962:1997 encoded string" to " is an ASCII string" and "ISO 14962:1997)" to "ASCII)"</w:t>
            </w:r>
          </w:p>
        </w:tc>
      </w:tr>
      <w:tr w:rsidR="00DE7477" w:rsidRPr="00DE7477" w14:paraId="37CDFEE3" w14:textId="77777777" w:rsidTr="00DE7477">
        <w:trPr>
          <w:trHeight w:val="1275"/>
        </w:trPr>
        <w:tc>
          <w:tcPr>
            <w:tcW w:w="738" w:type="dxa"/>
            <w:hideMark/>
          </w:tcPr>
          <w:p w14:paraId="1497E3D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4658</w:t>
            </w:r>
          </w:p>
        </w:tc>
        <w:tc>
          <w:tcPr>
            <w:tcW w:w="990" w:type="dxa"/>
            <w:hideMark/>
          </w:tcPr>
          <w:p w14:paraId="220D06C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1464.28</w:t>
            </w:r>
          </w:p>
        </w:tc>
        <w:tc>
          <w:tcPr>
            <w:tcW w:w="1080" w:type="dxa"/>
            <w:hideMark/>
          </w:tcPr>
          <w:p w14:paraId="68C8C47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9.4.2.246</w:t>
            </w:r>
          </w:p>
        </w:tc>
        <w:tc>
          <w:tcPr>
            <w:tcW w:w="3600" w:type="dxa"/>
            <w:hideMark/>
          </w:tcPr>
          <w:p w14:paraId="79253B4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"concatenated list of " -- it can hardly be anything else.  For other lists we don't explcitly say it's a concatenation</w:t>
            </w:r>
          </w:p>
        </w:tc>
        <w:tc>
          <w:tcPr>
            <w:tcW w:w="3600" w:type="dxa"/>
            <w:hideMark/>
          </w:tcPr>
          <w:p w14:paraId="2460FCC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"concatenated"</w:t>
            </w:r>
          </w:p>
        </w:tc>
      </w:tr>
      <w:tr w:rsidR="00DE7477" w:rsidRPr="00DE7477" w14:paraId="06B18224" w14:textId="77777777" w:rsidTr="00DE7477">
        <w:trPr>
          <w:trHeight w:val="510"/>
        </w:trPr>
        <w:tc>
          <w:tcPr>
            <w:tcW w:w="738" w:type="dxa"/>
            <w:hideMark/>
          </w:tcPr>
          <w:p w14:paraId="18060C51"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4795</w:t>
            </w:r>
          </w:p>
        </w:tc>
        <w:tc>
          <w:tcPr>
            <w:tcW w:w="990" w:type="dxa"/>
            <w:hideMark/>
          </w:tcPr>
          <w:p w14:paraId="3B13372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2060.28</w:t>
            </w:r>
          </w:p>
        </w:tc>
        <w:tc>
          <w:tcPr>
            <w:tcW w:w="1080" w:type="dxa"/>
            <w:hideMark/>
          </w:tcPr>
          <w:p w14:paraId="6B38723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6F82A30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No such thing as  "TRN-R-PACKET" type.</w:t>
            </w:r>
          </w:p>
        </w:tc>
        <w:tc>
          <w:tcPr>
            <w:tcW w:w="3600" w:type="dxa"/>
            <w:hideMark/>
          </w:tcPr>
          <w:p w14:paraId="01B48DD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"TRN-R-PACKET" to "TRN-R" throughout.</w:t>
            </w:r>
          </w:p>
        </w:tc>
      </w:tr>
      <w:tr w:rsidR="00DE7477" w:rsidRPr="00DE7477" w14:paraId="05B7531D" w14:textId="77777777" w:rsidTr="00DE7477">
        <w:trPr>
          <w:trHeight w:val="4335"/>
        </w:trPr>
        <w:tc>
          <w:tcPr>
            <w:tcW w:w="738" w:type="dxa"/>
            <w:hideMark/>
          </w:tcPr>
          <w:p w14:paraId="62DA522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4234</w:t>
            </w:r>
          </w:p>
        </w:tc>
        <w:tc>
          <w:tcPr>
            <w:tcW w:w="990" w:type="dxa"/>
            <w:hideMark/>
          </w:tcPr>
          <w:p w14:paraId="6C8F9AE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793.14</w:t>
            </w:r>
          </w:p>
        </w:tc>
        <w:tc>
          <w:tcPr>
            <w:tcW w:w="1080" w:type="dxa"/>
            <w:hideMark/>
          </w:tcPr>
          <w:p w14:paraId="5C363F3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9.2.4.2</w:t>
            </w:r>
          </w:p>
        </w:tc>
        <w:tc>
          <w:tcPr>
            <w:tcW w:w="3600" w:type="dxa"/>
            <w:hideMark/>
          </w:tcPr>
          <w:p w14:paraId="282352A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Duration/ID field sent by (QoS) STAs in Extension frames is not specified</w:t>
            </w:r>
          </w:p>
        </w:tc>
        <w:tc>
          <w:tcPr>
            <w:tcW w:w="3600" w:type="dxa"/>
            <w:hideMark/>
          </w:tcPr>
          <w:p w14:paraId="6E27BE2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"In Data and Management frames sent by QoS STAs, the Duration/ID field contains a duration value</w:t>
            </w:r>
            <w:r w:rsidRPr="00DE7477">
              <w:rPr>
                <w:rFonts w:ascii="Arial" w:eastAsia="Times New Roman" w:hAnsi="Arial" w:cs="Arial"/>
                <w:sz w:val="20"/>
                <w:lang w:val="en-US"/>
              </w:rPr>
              <w:br/>
              <w:t>as defined for each frame type in 9.2.5 (Duration/ID field (QoS STA))." to "In Data, Management and Extension frames sent by QoS STAs, the Duration/ID field contains a duration value</w:t>
            </w:r>
            <w:r w:rsidRPr="00DE7477">
              <w:rPr>
                <w:rFonts w:ascii="Arial" w:eastAsia="Times New Roman" w:hAnsi="Arial" w:cs="Arial"/>
                <w:sz w:val="20"/>
                <w:lang w:val="en-US"/>
              </w:rPr>
              <w:br/>
              <w:t>as defined for each frame type in 9.2.5 (Duration/ID field (QoS STA)) and 9.3.4.3."</w:t>
            </w:r>
          </w:p>
        </w:tc>
      </w:tr>
      <w:tr w:rsidR="00DE7477" w:rsidRPr="00DE7477" w14:paraId="6366A312" w14:textId="77777777" w:rsidTr="00DE7477">
        <w:trPr>
          <w:trHeight w:val="2295"/>
        </w:trPr>
        <w:tc>
          <w:tcPr>
            <w:tcW w:w="738" w:type="dxa"/>
            <w:hideMark/>
          </w:tcPr>
          <w:p w14:paraId="64FC2AC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4318</w:t>
            </w:r>
          </w:p>
        </w:tc>
        <w:tc>
          <w:tcPr>
            <w:tcW w:w="990" w:type="dxa"/>
            <w:hideMark/>
          </w:tcPr>
          <w:p w14:paraId="390199F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0D7D514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1BA31C5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5B839E8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"An STA shall not transmit in a VHT PPDU an MPDU that exceeds the maximum MPDU length capability indicated in the VHT Capabilities element received from the recipient STA"; also for S1G instead of VHT in 10.12.5</w:t>
            </w:r>
          </w:p>
        </w:tc>
      </w:tr>
      <w:tr w:rsidR="00DE7477" w:rsidRPr="00DE7477" w14:paraId="56016B5D" w14:textId="77777777" w:rsidTr="00DE7477">
        <w:trPr>
          <w:trHeight w:val="2295"/>
        </w:trPr>
        <w:tc>
          <w:tcPr>
            <w:tcW w:w="738" w:type="dxa"/>
            <w:hideMark/>
          </w:tcPr>
          <w:p w14:paraId="738AE28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4317</w:t>
            </w:r>
          </w:p>
        </w:tc>
        <w:tc>
          <w:tcPr>
            <w:tcW w:w="990" w:type="dxa"/>
            <w:hideMark/>
          </w:tcPr>
          <w:p w14:paraId="3221FC1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5CD1A3B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7181E89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1FC4A52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"to a STA " in the cited text; also in 10.12.5</w:t>
            </w:r>
          </w:p>
        </w:tc>
      </w:tr>
      <w:tr w:rsidR="00DE7477" w:rsidRPr="00DE7477" w14:paraId="7D1DB075" w14:textId="77777777" w:rsidTr="00DE7477">
        <w:trPr>
          <w:trHeight w:val="1020"/>
        </w:trPr>
        <w:tc>
          <w:tcPr>
            <w:tcW w:w="738" w:type="dxa"/>
            <w:hideMark/>
          </w:tcPr>
          <w:p w14:paraId="0F80BB9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4309</w:t>
            </w:r>
          </w:p>
        </w:tc>
        <w:tc>
          <w:tcPr>
            <w:tcW w:w="990" w:type="dxa"/>
            <w:hideMark/>
          </w:tcPr>
          <w:p w14:paraId="58A9131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844.18</w:t>
            </w:r>
          </w:p>
        </w:tc>
        <w:tc>
          <w:tcPr>
            <w:tcW w:w="1080" w:type="dxa"/>
            <w:hideMark/>
          </w:tcPr>
          <w:p w14:paraId="694DB8D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9.3.1.19</w:t>
            </w:r>
          </w:p>
        </w:tc>
        <w:tc>
          <w:tcPr>
            <w:tcW w:w="3600" w:type="dxa"/>
            <w:hideMark/>
          </w:tcPr>
          <w:p w14:paraId="65B8CA0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 the Compressed Beamforming Feedback Matrix</w:t>
            </w:r>
            <w:r w:rsidRPr="00DE7477">
              <w:rPr>
                <w:rFonts w:ascii="Arial" w:eastAsia="Times New Roman" w:hAnsi="Arial" w:cs="Arial"/>
                <w:sz w:val="20"/>
                <w:lang w:val="en-US"/>
              </w:rPr>
              <w:br/>
              <w:t>subfield" -- no such subfield</w:t>
            </w:r>
          </w:p>
        </w:tc>
        <w:tc>
          <w:tcPr>
            <w:tcW w:w="3600" w:type="dxa"/>
            <w:hideMark/>
          </w:tcPr>
          <w:p w14:paraId="7D2B31A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"in the compressed beamforming feedback matrix"</w:t>
            </w:r>
          </w:p>
        </w:tc>
      </w:tr>
      <w:tr w:rsidR="00DE7477" w:rsidRPr="00DE7477" w14:paraId="45DF841D" w14:textId="77777777" w:rsidTr="00DE7477">
        <w:trPr>
          <w:trHeight w:val="1275"/>
        </w:trPr>
        <w:tc>
          <w:tcPr>
            <w:tcW w:w="738" w:type="dxa"/>
            <w:hideMark/>
          </w:tcPr>
          <w:p w14:paraId="7707670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4295</w:t>
            </w:r>
          </w:p>
        </w:tc>
        <w:tc>
          <w:tcPr>
            <w:tcW w:w="990" w:type="dxa"/>
            <w:hideMark/>
          </w:tcPr>
          <w:p w14:paraId="7208280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797.37</w:t>
            </w:r>
          </w:p>
        </w:tc>
        <w:tc>
          <w:tcPr>
            <w:tcW w:w="1080" w:type="dxa"/>
            <w:hideMark/>
          </w:tcPr>
          <w:p w14:paraId="3DF435B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9.2.4.5.1</w:t>
            </w:r>
          </w:p>
        </w:tc>
        <w:tc>
          <w:tcPr>
            <w:tcW w:w="3600" w:type="dxa"/>
            <w:hideMark/>
          </w:tcPr>
          <w:p w14:paraId="5CBE591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 TPU STA is by definition not in a mesh BSS</w:t>
            </w:r>
          </w:p>
        </w:tc>
        <w:tc>
          <w:tcPr>
            <w:tcW w:w="3600" w:type="dxa"/>
            <w:hideMark/>
          </w:tcPr>
          <w:p w14:paraId="0D6DBC5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"in a</w:t>
            </w:r>
            <w:r w:rsidRPr="00DE7477">
              <w:rPr>
                <w:rFonts w:ascii="Arial" w:eastAsia="Times New Roman" w:hAnsi="Arial" w:cs="Arial"/>
                <w:sz w:val="20"/>
                <w:lang w:val="en-US"/>
              </w:rPr>
              <w:br/>
              <w:t>nonmesh BSS" in the fifth from last to penultimate row of Table 9-10--QoS Control field</w:t>
            </w:r>
          </w:p>
        </w:tc>
      </w:tr>
      <w:tr w:rsidR="00DE7477" w:rsidRPr="00DE7477" w14:paraId="1CFD78EB" w14:textId="77777777" w:rsidTr="00DE7477">
        <w:trPr>
          <w:trHeight w:val="2295"/>
        </w:trPr>
        <w:tc>
          <w:tcPr>
            <w:tcW w:w="738" w:type="dxa"/>
            <w:hideMark/>
          </w:tcPr>
          <w:p w14:paraId="2ADC27F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4285</w:t>
            </w:r>
          </w:p>
        </w:tc>
        <w:tc>
          <w:tcPr>
            <w:tcW w:w="990" w:type="dxa"/>
            <w:hideMark/>
          </w:tcPr>
          <w:p w14:paraId="5AF55FD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1045.28</w:t>
            </w:r>
          </w:p>
        </w:tc>
        <w:tc>
          <w:tcPr>
            <w:tcW w:w="1080" w:type="dxa"/>
            <w:hideMark/>
          </w:tcPr>
          <w:p w14:paraId="126A3DF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9.4.2.20.19</w:t>
            </w:r>
          </w:p>
        </w:tc>
        <w:tc>
          <w:tcPr>
            <w:tcW w:w="3600" w:type="dxa"/>
            <w:hideMark/>
          </w:tcPr>
          <w:p w14:paraId="10D78FB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(#151)Neighbor  Report  subelements  specify  a  superset  of  nearby  APs  with  which  the</w:t>
            </w:r>
            <w:r w:rsidRPr="00DE7477">
              <w:rPr>
                <w:rFonts w:ascii="Arial" w:eastAsia="Times New Roman" w:hAnsi="Arial" w:cs="Arial"/>
                <w:sz w:val="20"/>
                <w:lang w:val="en-US"/>
              </w:rPr>
              <w:br/>
              <w:t>requested  STA  is  requested  to  perform  the  FTM  procedure" -- you can't do FTM with more than the nearby APs</w:t>
            </w:r>
          </w:p>
        </w:tc>
        <w:tc>
          <w:tcPr>
            <w:tcW w:w="3600" w:type="dxa"/>
            <w:hideMark/>
          </w:tcPr>
          <w:p w14:paraId="38B1EDD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"superset" to "subset" in the cited text</w:t>
            </w:r>
          </w:p>
        </w:tc>
      </w:tr>
      <w:tr w:rsidR="00DE7477" w:rsidRPr="00DE7477" w14:paraId="52AC6AE3" w14:textId="77777777" w:rsidTr="00DE7477">
        <w:trPr>
          <w:trHeight w:val="1785"/>
        </w:trPr>
        <w:tc>
          <w:tcPr>
            <w:tcW w:w="738" w:type="dxa"/>
            <w:hideMark/>
          </w:tcPr>
          <w:p w14:paraId="43148AD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4253</w:t>
            </w:r>
          </w:p>
        </w:tc>
        <w:tc>
          <w:tcPr>
            <w:tcW w:w="990" w:type="dxa"/>
            <w:hideMark/>
          </w:tcPr>
          <w:p w14:paraId="062022A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1117.10</w:t>
            </w:r>
          </w:p>
        </w:tc>
        <w:tc>
          <w:tcPr>
            <w:tcW w:w="1080" w:type="dxa"/>
            <w:hideMark/>
          </w:tcPr>
          <w:p w14:paraId="19DEC08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9.4.2.27</w:t>
            </w:r>
          </w:p>
        </w:tc>
        <w:tc>
          <w:tcPr>
            <w:tcW w:w="3600" w:type="dxa"/>
            <w:hideMark/>
          </w:tcPr>
          <w:p w14:paraId="118DD78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default value of dot11ChannelUtilizationBea-</w:t>
            </w:r>
            <w:r w:rsidRPr="00DE7477">
              <w:rPr>
                <w:rFonts w:ascii="Arial" w:eastAsia="Times New Roman" w:hAnsi="Arial" w:cs="Arial"/>
                <w:sz w:val="20"/>
                <w:lang w:val="en-US"/>
              </w:rPr>
              <w:br/>
              <w:t>conIntervals is defined in Annex C." -- so is the default of many other MIB attributes, but we don't say so for any other ones</w:t>
            </w:r>
          </w:p>
        </w:tc>
        <w:tc>
          <w:tcPr>
            <w:tcW w:w="3600" w:type="dxa"/>
            <w:hideMark/>
          </w:tcPr>
          <w:p w14:paraId="0992755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sentence</w:t>
            </w:r>
          </w:p>
        </w:tc>
      </w:tr>
      <w:tr w:rsidR="00DE7477" w:rsidRPr="00DE7477" w14:paraId="307804AA" w14:textId="77777777" w:rsidTr="00DE7477">
        <w:trPr>
          <w:trHeight w:val="2550"/>
        </w:trPr>
        <w:tc>
          <w:tcPr>
            <w:tcW w:w="738" w:type="dxa"/>
            <w:hideMark/>
          </w:tcPr>
          <w:p w14:paraId="3B8D6FF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4490</w:t>
            </w:r>
          </w:p>
        </w:tc>
        <w:tc>
          <w:tcPr>
            <w:tcW w:w="990" w:type="dxa"/>
            <w:hideMark/>
          </w:tcPr>
          <w:p w14:paraId="3C0D26F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994.47</w:t>
            </w:r>
          </w:p>
        </w:tc>
        <w:tc>
          <w:tcPr>
            <w:tcW w:w="1080" w:type="dxa"/>
            <w:hideMark/>
          </w:tcPr>
          <w:p w14:paraId="5F9D334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2CC4878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TIM element contains four fields: DTIM Count, DTIM Period, Bitmap Control, and Partial Virtual</w:t>
            </w:r>
            <w:r w:rsidRPr="00DE7477">
              <w:rPr>
                <w:rFonts w:ascii="Arial" w:eastAsia="Times New Roman" w:hAnsi="Arial" w:cs="Arial"/>
                <w:sz w:val="20"/>
                <w:lang w:val="en-US"/>
              </w:rPr>
              <w:br/>
              <w:t>Bitmap. See Figure 9-149 (TIM element format)." -- as the figure shows, it contains 6 fields, including Element ID and Length.  Duplication considered harmful!</w:t>
            </w:r>
          </w:p>
        </w:tc>
        <w:tc>
          <w:tcPr>
            <w:tcW w:w="3600" w:type="dxa"/>
            <w:hideMark/>
          </w:tcPr>
          <w:p w14:paraId="0A8F248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"The TIM element is used to signal the timing and availability of data for associated STAs.  The format of</w:t>
            </w:r>
            <w:r w:rsidRPr="00DE7477">
              <w:rPr>
                <w:rFonts w:ascii="Arial" w:eastAsia="Times New Roman" w:hAnsi="Arial" w:cs="Arial"/>
                <w:sz w:val="20"/>
                <w:lang w:val="en-US"/>
              </w:rPr>
              <w:br/>
              <w:t>this element is shown in Figure 9-149."</w:t>
            </w:r>
          </w:p>
        </w:tc>
      </w:tr>
      <w:tr w:rsidR="00DE7477" w:rsidRPr="00DE7477" w14:paraId="1E2D2BCE" w14:textId="77777777" w:rsidTr="00DE7477">
        <w:trPr>
          <w:trHeight w:val="1530"/>
        </w:trPr>
        <w:tc>
          <w:tcPr>
            <w:tcW w:w="738" w:type="dxa"/>
            <w:hideMark/>
          </w:tcPr>
          <w:p w14:paraId="0757B02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4240</w:t>
            </w:r>
          </w:p>
        </w:tc>
        <w:tc>
          <w:tcPr>
            <w:tcW w:w="990" w:type="dxa"/>
            <w:hideMark/>
          </w:tcPr>
          <w:p w14:paraId="4A0D52B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855.52</w:t>
            </w:r>
          </w:p>
        </w:tc>
        <w:tc>
          <w:tcPr>
            <w:tcW w:w="1080" w:type="dxa"/>
            <w:hideMark/>
          </w:tcPr>
          <w:p w14:paraId="7C2BC13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9.3.3.1</w:t>
            </w:r>
          </w:p>
        </w:tc>
        <w:tc>
          <w:tcPr>
            <w:tcW w:w="3600" w:type="dxa"/>
            <w:hideMark/>
          </w:tcPr>
          <w:p w14:paraId="35A09A2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"Unused element ID codes are reserved." is unclear (how "unused"?) and unnecessary (T9-94 already lists all possible EIDs and EEIDs).  Delete</w:t>
            </w:r>
          </w:p>
        </w:tc>
        <w:tc>
          <w:tcPr>
            <w:tcW w:w="3600" w:type="dxa"/>
            <w:hideMark/>
          </w:tcPr>
          <w:p w14:paraId="6D457F2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text at the referenced location and in 9.8.5.1</w:t>
            </w:r>
          </w:p>
        </w:tc>
      </w:tr>
      <w:tr w:rsidR="00DE7477" w:rsidRPr="00DE7477" w14:paraId="25D8FDE6" w14:textId="77777777" w:rsidTr="00DE7477">
        <w:trPr>
          <w:trHeight w:val="1020"/>
        </w:trPr>
        <w:tc>
          <w:tcPr>
            <w:tcW w:w="738" w:type="dxa"/>
            <w:hideMark/>
          </w:tcPr>
          <w:p w14:paraId="45F64FE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4347</w:t>
            </w:r>
          </w:p>
        </w:tc>
        <w:tc>
          <w:tcPr>
            <w:tcW w:w="990" w:type="dxa"/>
            <w:hideMark/>
          </w:tcPr>
          <w:p w14:paraId="156366F9"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2172181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311284E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e) needs to be conditional on dot11SSIDListActivated is true, like d)</w:t>
            </w:r>
          </w:p>
        </w:tc>
        <w:tc>
          <w:tcPr>
            <w:tcW w:w="3600" w:type="dxa"/>
            <w:hideMark/>
          </w:tcPr>
          <w:p w14:paraId="2E80FF9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e) to start "When dot11SSIDListActivated is true and the SSID List parameter is present"</w:t>
            </w:r>
          </w:p>
        </w:tc>
      </w:tr>
      <w:tr w:rsidR="00DE7477" w:rsidRPr="00DE7477" w14:paraId="29637D5C" w14:textId="77777777" w:rsidTr="00DE7477">
        <w:trPr>
          <w:trHeight w:val="765"/>
        </w:trPr>
        <w:tc>
          <w:tcPr>
            <w:tcW w:w="738" w:type="dxa"/>
            <w:hideMark/>
          </w:tcPr>
          <w:p w14:paraId="1091181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4221</w:t>
            </w:r>
          </w:p>
        </w:tc>
        <w:tc>
          <w:tcPr>
            <w:tcW w:w="990" w:type="dxa"/>
            <w:hideMark/>
          </w:tcPr>
          <w:p w14:paraId="29558199"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1618.40</w:t>
            </w:r>
          </w:p>
        </w:tc>
        <w:tc>
          <w:tcPr>
            <w:tcW w:w="1080" w:type="dxa"/>
            <w:hideMark/>
          </w:tcPr>
          <w:p w14:paraId="5059854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559CAB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There is no such thing as a "valid TSF" as opposed to an invalid one</w:t>
            </w:r>
          </w:p>
        </w:tc>
        <w:tc>
          <w:tcPr>
            <w:tcW w:w="3600" w:type="dxa"/>
            <w:hideMark/>
          </w:tcPr>
          <w:p w14:paraId="30C24F2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"valid " in the cited text</w:t>
            </w:r>
          </w:p>
        </w:tc>
      </w:tr>
      <w:tr w:rsidR="00DE7477" w:rsidRPr="00DE7477" w14:paraId="4BFB77A4" w14:textId="77777777" w:rsidTr="00DE7477">
        <w:trPr>
          <w:trHeight w:val="510"/>
        </w:trPr>
        <w:tc>
          <w:tcPr>
            <w:tcW w:w="738" w:type="dxa"/>
            <w:hideMark/>
          </w:tcPr>
          <w:p w14:paraId="68CD055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4216</w:t>
            </w:r>
          </w:p>
        </w:tc>
        <w:tc>
          <w:tcPr>
            <w:tcW w:w="990" w:type="dxa"/>
            <w:hideMark/>
          </w:tcPr>
          <w:p w14:paraId="1C53C3EA"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2059.39</w:t>
            </w:r>
          </w:p>
        </w:tc>
        <w:tc>
          <w:tcPr>
            <w:tcW w:w="1080" w:type="dxa"/>
            <w:hideMark/>
          </w:tcPr>
          <w:p w14:paraId="548F968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10.42.6.4.4</w:t>
            </w:r>
          </w:p>
        </w:tc>
        <w:tc>
          <w:tcPr>
            <w:tcW w:w="3600" w:type="dxa"/>
            <w:hideMark/>
          </w:tcPr>
          <w:p w14:paraId="238EFE4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"DMG  Antenna  Pattern  Reciprocity" -- no such field</w:t>
            </w:r>
          </w:p>
        </w:tc>
        <w:tc>
          <w:tcPr>
            <w:tcW w:w="3600" w:type="dxa"/>
            <w:hideMark/>
          </w:tcPr>
          <w:p w14:paraId="3FBCE07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"DMG " (2x in the para)</w:t>
            </w:r>
          </w:p>
        </w:tc>
      </w:tr>
      <w:tr w:rsidR="00DE7477" w:rsidRPr="00DE7477" w14:paraId="653DE896" w14:textId="77777777" w:rsidTr="00DE7477">
        <w:trPr>
          <w:trHeight w:val="3060"/>
        </w:trPr>
        <w:tc>
          <w:tcPr>
            <w:tcW w:w="738" w:type="dxa"/>
            <w:hideMark/>
          </w:tcPr>
          <w:p w14:paraId="09299C9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4201</w:t>
            </w:r>
          </w:p>
        </w:tc>
        <w:tc>
          <w:tcPr>
            <w:tcW w:w="990" w:type="dxa"/>
            <w:hideMark/>
          </w:tcPr>
          <w:p w14:paraId="1C68B6F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1442.22</w:t>
            </w:r>
          </w:p>
        </w:tc>
        <w:tc>
          <w:tcPr>
            <w:tcW w:w="1080" w:type="dxa"/>
            <w:hideMark/>
          </w:tcPr>
          <w:p w14:paraId="78406D2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9.4.2.229.2</w:t>
            </w:r>
          </w:p>
        </w:tc>
        <w:tc>
          <w:tcPr>
            <w:tcW w:w="3600" w:type="dxa"/>
            <w:hideMark/>
          </w:tcPr>
          <w:p w14:paraId="5AA89DA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 CMMG STA is not a DMG STA</w:t>
            </w:r>
          </w:p>
        </w:tc>
        <w:tc>
          <w:tcPr>
            <w:tcW w:w="3600" w:type="dxa"/>
            <w:hideMark/>
          </w:tcPr>
          <w:p w14:paraId="11B4EEE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 DMG" in "Figure 9-754--CMMG Capabilities Info field format".  In Table 9-313--Subfields of the CMMG Capabilities Info field format change "Number of RX</w:t>
            </w:r>
            <w:r w:rsidRPr="00DE7477">
              <w:rPr>
                <w:rFonts w:ascii="Arial" w:eastAsia="Times New Roman" w:hAnsi="Arial" w:cs="Arial"/>
                <w:sz w:val="20"/>
                <w:lang w:val="en-US"/>
              </w:rPr>
              <w:br/>
              <w:t>DMG Antennas" to "Number of Rx Antennas" (note Rx not RX) and change "DMG Antenna Reciprocity" to "Antenna Reciprocity" (as in the figure)</w:t>
            </w:r>
          </w:p>
        </w:tc>
      </w:tr>
      <w:tr w:rsidR="00DE7477" w:rsidRPr="00DE7477" w14:paraId="52F6E1BF" w14:textId="77777777" w:rsidTr="00DE7477">
        <w:trPr>
          <w:trHeight w:val="1020"/>
        </w:trPr>
        <w:tc>
          <w:tcPr>
            <w:tcW w:w="738" w:type="dxa"/>
            <w:hideMark/>
          </w:tcPr>
          <w:p w14:paraId="1310A61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4193</w:t>
            </w:r>
          </w:p>
        </w:tc>
        <w:tc>
          <w:tcPr>
            <w:tcW w:w="990" w:type="dxa"/>
            <w:hideMark/>
          </w:tcPr>
          <w:p w14:paraId="00BFE9B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1852.54</w:t>
            </w:r>
          </w:p>
        </w:tc>
        <w:tc>
          <w:tcPr>
            <w:tcW w:w="1080" w:type="dxa"/>
            <w:hideMark/>
          </w:tcPr>
          <w:p w14:paraId="5D76D26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10.23.4.2.3</w:t>
            </w:r>
          </w:p>
        </w:tc>
        <w:tc>
          <w:tcPr>
            <w:tcW w:w="3600" w:type="dxa"/>
            <w:hideMark/>
          </w:tcPr>
          <w:p w14:paraId="32726B9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"To describe the behavior at the STA, two MAC variables are defined. " duplicates the first para of the subclause</w:t>
            </w:r>
          </w:p>
        </w:tc>
        <w:tc>
          <w:tcPr>
            <w:tcW w:w="3600" w:type="dxa"/>
            <w:hideMark/>
          </w:tcPr>
          <w:p w14:paraId="6A978C8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text</w:t>
            </w:r>
          </w:p>
        </w:tc>
      </w:tr>
      <w:tr w:rsidR="00DE7477" w:rsidRPr="00DE7477" w14:paraId="08B28F1F" w14:textId="77777777" w:rsidTr="00DE7477">
        <w:trPr>
          <w:trHeight w:val="2295"/>
        </w:trPr>
        <w:tc>
          <w:tcPr>
            <w:tcW w:w="738" w:type="dxa"/>
            <w:hideMark/>
          </w:tcPr>
          <w:p w14:paraId="643F39E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4154</w:t>
            </w:r>
          </w:p>
        </w:tc>
        <w:tc>
          <w:tcPr>
            <w:tcW w:w="990" w:type="dxa"/>
            <w:hideMark/>
          </w:tcPr>
          <w:p w14:paraId="689CFA6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1827.61</w:t>
            </w:r>
          </w:p>
        </w:tc>
        <w:tc>
          <w:tcPr>
            <w:tcW w:w="1080" w:type="dxa"/>
            <w:hideMark/>
          </w:tcPr>
          <w:p w14:paraId="693F370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10.23.2.2</w:t>
            </w:r>
          </w:p>
        </w:tc>
        <w:tc>
          <w:tcPr>
            <w:tcW w:w="3600" w:type="dxa"/>
            <w:hideMark/>
          </w:tcPr>
          <w:p w14:paraId="392FF4A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subbullets all refer to "that AC" but there is no reference for "that"</w:t>
            </w:r>
          </w:p>
        </w:tc>
        <w:tc>
          <w:tcPr>
            <w:tcW w:w="3600" w:type="dxa"/>
            <w:hideMark/>
          </w:tcPr>
          <w:p w14:paraId="7FCA232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Add the words "corresponding to an AC" in the introductory phrase which immediately precedes item a), so that it reads, "The backoff procedure shall be invoked by an EDCAF corresopnding to an AC when"</w:t>
            </w:r>
          </w:p>
        </w:tc>
      </w:tr>
      <w:tr w:rsidR="00DE7477" w:rsidRPr="00DE7477" w14:paraId="19636B44" w14:textId="77777777" w:rsidTr="00DE7477">
        <w:trPr>
          <w:trHeight w:val="1275"/>
        </w:trPr>
        <w:tc>
          <w:tcPr>
            <w:tcW w:w="738" w:type="dxa"/>
            <w:hideMark/>
          </w:tcPr>
          <w:p w14:paraId="45293B8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4068</w:t>
            </w:r>
          </w:p>
        </w:tc>
        <w:tc>
          <w:tcPr>
            <w:tcW w:w="990" w:type="dxa"/>
            <w:hideMark/>
          </w:tcPr>
          <w:p w14:paraId="59DE7F4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1503.49</w:t>
            </w:r>
          </w:p>
        </w:tc>
        <w:tc>
          <w:tcPr>
            <w:tcW w:w="1080" w:type="dxa"/>
            <w:hideMark/>
          </w:tcPr>
          <w:p w14:paraId="47C534E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738AB27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"STA needs transmit training".  This is a protocol for interoperability, so I think it is better to say "STA requests transmit training".</w:t>
            </w:r>
          </w:p>
        </w:tc>
        <w:tc>
          <w:tcPr>
            <w:tcW w:w="3600" w:type="dxa"/>
            <w:hideMark/>
          </w:tcPr>
          <w:p w14:paraId="2AEE774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"needs" to "requests".</w:t>
            </w:r>
          </w:p>
        </w:tc>
      </w:tr>
      <w:tr w:rsidR="00DE7477" w:rsidRPr="00DE7477" w14:paraId="139FAC40" w14:textId="77777777" w:rsidTr="00DE7477">
        <w:trPr>
          <w:trHeight w:val="2040"/>
        </w:trPr>
        <w:tc>
          <w:tcPr>
            <w:tcW w:w="738" w:type="dxa"/>
            <w:hideMark/>
          </w:tcPr>
          <w:p w14:paraId="1616BC3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4067</w:t>
            </w:r>
          </w:p>
        </w:tc>
        <w:tc>
          <w:tcPr>
            <w:tcW w:w="990" w:type="dxa"/>
            <w:hideMark/>
          </w:tcPr>
          <w:p w14:paraId="013F396A"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1503.42</w:t>
            </w:r>
          </w:p>
        </w:tc>
        <w:tc>
          <w:tcPr>
            <w:tcW w:w="1080" w:type="dxa"/>
            <w:hideMark/>
          </w:tcPr>
          <w:p w14:paraId="718A4A2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614BD8A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ordering of these sentences is confusing to read: "To obtain the number of TRN-R subfields, the value of the L-RX subfield is multiplied by 4. Possible values range from 0 to 16."</w:t>
            </w:r>
          </w:p>
        </w:tc>
        <w:tc>
          <w:tcPr>
            <w:tcW w:w="3600" w:type="dxa"/>
            <w:hideMark/>
          </w:tcPr>
          <w:p w14:paraId="35C2F78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Reword to "The L-RX field is an unsigned integer with range 0 to 16. Values outside this range are reserved. The number of requested TRN-R subfields is equal to the value of the L-RX subfield multiplied by 4."</w:t>
            </w:r>
          </w:p>
        </w:tc>
      </w:tr>
      <w:tr w:rsidR="00DE7477" w:rsidRPr="00DE7477" w14:paraId="3BA31BFB" w14:textId="77777777" w:rsidTr="00DE7477">
        <w:trPr>
          <w:trHeight w:val="1275"/>
        </w:trPr>
        <w:tc>
          <w:tcPr>
            <w:tcW w:w="738" w:type="dxa"/>
            <w:hideMark/>
          </w:tcPr>
          <w:p w14:paraId="6F9FC66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4243</w:t>
            </w:r>
          </w:p>
        </w:tc>
        <w:tc>
          <w:tcPr>
            <w:tcW w:w="990" w:type="dxa"/>
            <w:hideMark/>
          </w:tcPr>
          <w:p w14:paraId="5F8C1FC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2467.63</w:t>
            </w:r>
          </w:p>
        </w:tc>
        <w:tc>
          <w:tcPr>
            <w:tcW w:w="1080" w:type="dxa"/>
            <w:hideMark/>
          </w:tcPr>
          <w:p w14:paraId="1DAB3F8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11.29.2</w:t>
            </w:r>
          </w:p>
        </w:tc>
        <w:tc>
          <w:tcPr>
            <w:tcW w:w="3600" w:type="dxa"/>
            <w:hideMark/>
          </w:tcPr>
          <w:p w14:paraId="4DAFEC2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Information Response frame may include vendor-specific elements. " -- true of all Action frames unless explicitly disallowed</w:t>
            </w:r>
          </w:p>
        </w:tc>
        <w:tc>
          <w:tcPr>
            <w:tcW w:w="3600" w:type="dxa"/>
            <w:hideMark/>
          </w:tcPr>
          <w:p w14:paraId="7103D8D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text</w:t>
            </w:r>
          </w:p>
        </w:tc>
      </w:tr>
      <w:tr w:rsidR="00DE7477" w:rsidRPr="00DE7477" w14:paraId="2514AE53" w14:textId="77777777" w:rsidTr="00DE7477">
        <w:trPr>
          <w:trHeight w:val="5100"/>
        </w:trPr>
        <w:tc>
          <w:tcPr>
            <w:tcW w:w="738" w:type="dxa"/>
            <w:hideMark/>
          </w:tcPr>
          <w:p w14:paraId="7B753E8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4377</w:t>
            </w:r>
          </w:p>
        </w:tc>
        <w:tc>
          <w:tcPr>
            <w:tcW w:w="990" w:type="dxa"/>
            <w:hideMark/>
          </w:tcPr>
          <w:p w14:paraId="5BECB2C8"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805.22</w:t>
            </w:r>
          </w:p>
        </w:tc>
        <w:tc>
          <w:tcPr>
            <w:tcW w:w="1080" w:type="dxa"/>
            <w:hideMark/>
          </w:tcPr>
          <w:p w14:paraId="229398A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9.2.4.6.2</w:t>
            </w:r>
          </w:p>
        </w:tc>
        <w:tc>
          <w:tcPr>
            <w:tcW w:w="3600" w:type="dxa"/>
            <w:hideMark/>
          </w:tcPr>
          <w:p w14:paraId="1354B52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Figure 9-13--Link Adaptation Control subfield format should number the bits from 0, not from 1.  Ditto Figure 9-12--HT Control Middle subfield of the HT variant HT Control field format, Figure 9-16--HT Control Middle subfield of the VHT variant HT Control field format, Figure 9-21--MFB subfield in the CMMG variant HT Control field format, Figure 9-687--Control field format, Figure 9-114--First example of Compressed Beamforming Report field encoding, Figure 9-115--Second example of Compressed Beamforming Report field encoding</w:t>
            </w:r>
          </w:p>
        </w:tc>
        <w:tc>
          <w:tcPr>
            <w:tcW w:w="3600" w:type="dxa"/>
            <w:hideMark/>
          </w:tcPr>
          <w:p w14:paraId="33B7967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Subtract 1 from each of the bit positions in the figure</w:t>
            </w:r>
          </w:p>
        </w:tc>
      </w:tr>
      <w:tr w:rsidR="00DE7477" w:rsidRPr="00DE7477" w14:paraId="4C96D971" w14:textId="77777777" w:rsidTr="00DE7477">
        <w:trPr>
          <w:trHeight w:val="1020"/>
        </w:trPr>
        <w:tc>
          <w:tcPr>
            <w:tcW w:w="738" w:type="dxa"/>
            <w:hideMark/>
          </w:tcPr>
          <w:p w14:paraId="25705E2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4056</w:t>
            </w:r>
          </w:p>
        </w:tc>
        <w:tc>
          <w:tcPr>
            <w:tcW w:w="990" w:type="dxa"/>
            <w:hideMark/>
          </w:tcPr>
          <w:p w14:paraId="62D7BF6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1121.31</w:t>
            </w:r>
          </w:p>
        </w:tc>
        <w:tc>
          <w:tcPr>
            <w:tcW w:w="1080" w:type="dxa"/>
            <w:hideMark/>
          </w:tcPr>
          <w:p w14:paraId="09D69AB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9.4.2.29</w:t>
            </w:r>
          </w:p>
        </w:tc>
        <w:tc>
          <w:tcPr>
            <w:tcW w:w="3600" w:type="dxa"/>
            <w:hideMark/>
          </w:tcPr>
          <w:p w14:paraId="08FA8FE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"Length (55)". The Length is 55 or 57. Also, there is no need to include "55" in the figure.</w:t>
            </w:r>
          </w:p>
        </w:tc>
        <w:tc>
          <w:tcPr>
            <w:tcW w:w="3600" w:type="dxa"/>
            <w:hideMark/>
          </w:tcPr>
          <w:p w14:paraId="0F6FBC4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"(55)" at 1121.31</w:t>
            </w:r>
          </w:p>
        </w:tc>
      </w:tr>
      <w:tr w:rsidR="00DE7477" w:rsidRPr="00DE7477" w14:paraId="75A4B9BA" w14:textId="77777777" w:rsidTr="00DE7477">
        <w:trPr>
          <w:trHeight w:val="3060"/>
        </w:trPr>
        <w:tc>
          <w:tcPr>
            <w:tcW w:w="738" w:type="dxa"/>
            <w:hideMark/>
          </w:tcPr>
          <w:p w14:paraId="5220A23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4485</w:t>
            </w:r>
          </w:p>
        </w:tc>
        <w:tc>
          <w:tcPr>
            <w:tcW w:w="990" w:type="dxa"/>
            <w:hideMark/>
          </w:tcPr>
          <w:p w14:paraId="48FCBE0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1242.42</w:t>
            </w:r>
          </w:p>
        </w:tc>
        <w:tc>
          <w:tcPr>
            <w:tcW w:w="1080" w:type="dxa"/>
            <w:hideMark/>
          </w:tcPr>
          <w:p w14:paraId="2311D68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9.4.2.83</w:t>
            </w:r>
          </w:p>
        </w:tc>
        <w:tc>
          <w:tcPr>
            <w:tcW w:w="3600" w:type="dxa"/>
            <w:hideMark/>
          </w:tcPr>
          <w:p w14:paraId="7E609CC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Low Rate TIM Rate field provides an indication of the rate that is used to transmit the low data rate TIM frame, in units of 0.5 Mb/s. A value of 0 indicates that the low rate TIM frame is not transmitted." -- 11.2.3.15 TIM Broadcast does not allow the low rate TIM frame not to be txed; only the high rate one is optional to transmit</w:t>
            </w:r>
          </w:p>
        </w:tc>
        <w:tc>
          <w:tcPr>
            <w:tcW w:w="3600" w:type="dxa"/>
            <w:hideMark/>
          </w:tcPr>
          <w:p w14:paraId="5B6CBD3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"A value of 0 indicates that the low rate TIM frame is not transmitted."</w:t>
            </w:r>
          </w:p>
        </w:tc>
      </w:tr>
      <w:tr w:rsidR="00DE7477" w:rsidRPr="00DE7477" w14:paraId="65DAFDDC" w14:textId="77777777" w:rsidTr="00DE7477">
        <w:trPr>
          <w:trHeight w:val="3570"/>
        </w:trPr>
        <w:tc>
          <w:tcPr>
            <w:tcW w:w="738" w:type="dxa"/>
            <w:hideMark/>
          </w:tcPr>
          <w:p w14:paraId="4B761C5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4454</w:t>
            </w:r>
          </w:p>
        </w:tc>
        <w:tc>
          <w:tcPr>
            <w:tcW w:w="990" w:type="dxa"/>
            <w:hideMark/>
          </w:tcPr>
          <w:p w14:paraId="0D2A148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1518.53</w:t>
            </w:r>
          </w:p>
        </w:tc>
        <w:tc>
          <w:tcPr>
            <w:tcW w:w="1080" w:type="dxa"/>
            <w:hideMark/>
          </w:tcPr>
          <w:p w14:paraId="2262D14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9.6.3.8</w:t>
            </w:r>
          </w:p>
        </w:tc>
        <w:tc>
          <w:tcPr>
            <w:tcW w:w="3600" w:type="dxa"/>
            <w:hideMark/>
          </w:tcPr>
          <w:p w14:paraId="4403F7F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QoS Action field is defined in 9.6.3.1 (General). representing ADDTS Reserve Response.</w:t>
            </w:r>
            <w:r w:rsidRPr="00DE7477">
              <w:rPr>
                <w:rFonts w:ascii="Arial" w:eastAsia="Times New Roman" w:hAnsi="Arial" w:cs="Arial"/>
                <w:sz w:val="20"/>
                <w:lang w:val="en-US"/>
              </w:rPr>
              <w:br/>
              <w:t>The (#2110)Higher Layer Stream ID element is defined in 9.4.2.124 (Higher Layer Stream ID element).</w:t>
            </w:r>
            <w:r w:rsidRPr="00DE7477">
              <w:rPr>
                <w:rFonts w:ascii="Arial" w:eastAsia="Times New Roman" w:hAnsi="Arial" w:cs="Arial"/>
                <w:sz w:val="20"/>
                <w:lang w:val="en-US"/>
              </w:rPr>
              <w:br/>
              <w:t>The Status Code field is defined in 9.4.1.9 (Status Code field)." is too vague.  Needs to refer to specific contents.  Similarly in other locations in 9.6.3</w:t>
            </w:r>
          </w:p>
        </w:tc>
        <w:tc>
          <w:tcPr>
            <w:tcW w:w="3600" w:type="dxa"/>
            <w:hideMark/>
          </w:tcPr>
          <w:p w14:paraId="674BE69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At 1518.53, change to "The QoS Action field is defined in 9.6.3.1." and "The Higher Layer Stream ID field contains a Higher Layer Stream ID element (see 9.4.2.124)."</w:t>
            </w:r>
          </w:p>
        </w:tc>
      </w:tr>
      <w:tr w:rsidR="00DE7477" w:rsidRPr="00DE7477" w14:paraId="42E07B03" w14:textId="77777777" w:rsidTr="00DE7477">
        <w:trPr>
          <w:trHeight w:val="1020"/>
        </w:trPr>
        <w:tc>
          <w:tcPr>
            <w:tcW w:w="738" w:type="dxa"/>
            <w:hideMark/>
          </w:tcPr>
          <w:p w14:paraId="1D49BF2F"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4447</w:t>
            </w:r>
          </w:p>
        </w:tc>
        <w:tc>
          <w:tcPr>
            <w:tcW w:w="990" w:type="dxa"/>
            <w:hideMark/>
          </w:tcPr>
          <w:p w14:paraId="313834E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1718.01</w:t>
            </w:r>
          </w:p>
        </w:tc>
        <w:tc>
          <w:tcPr>
            <w:tcW w:w="1080" w:type="dxa"/>
            <w:hideMark/>
          </w:tcPr>
          <w:p w14:paraId="54518E8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10.1</w:t>
            </w:r>
          </w:p>
        </w:tc>
        <w:tc>
          <w:tcPr>
            <w:tcW w:w="3600" w:type="dxa"/>
            <w:hideMark/>
          </w:tcPr>
          <w:p w14:paraId="57D5B55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"Designation</w:t>
            </w:r>
            <w:r w:rsidRPr="00DE7477">
              <w:rPr>
                <w:rFonts w:ascii="Arial" w:eastAsia="Times New Roman" w:hAnsi="Arial" w:cs="Arial"/>
                <w:sz w:val="20"/>
                <w:lang w:val="en-US"/>
              </w:rPr>
              <w:br/>
              <w:t>(informative)" in Table 10-1 is not used anywhere, so just delete the column</w:t>
            </w:r>
          </w:p>
        </w:tc>
        <w:tc>
          <w:tcPr>
            <w:tcW w:w="3600" w:type="dxa"/>
            <w:hideMark/>
          </w:tcPr>
          <w:p w14:paraId="3C9BDFA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r w:rsidR="00DE7477" w:rsidRPr="00DE7477" w14:paraId="0CF99842" w14:textId="77777777" w:rsidTr="00DE7477">
        <w:trPr>
          <w:trHeight w:val="2295"/>
        </w:trPr>
        <w:tc>
          <w:tcPr>
            <w:tcW w:w="738" w:type="dxa"/>
            <w:hideMark/>
          </w:tcPr>
          <w:p w14:paraId="38DBFE6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4442</w:t>
            </w:r>
          </w:p>
        </w:tc>
        <w:tc>
          <w:tcPr>
            <w:tcW w:w="990" w:type="dxa"/>
            <w:hideMark/>
          </w:tcPr>
          <w:p w14:paraId="6ABB86D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2272.13</w:t>
            </w:r>
          </w:p>
        </w:tc>
        <w:tc>
          <w:tcPr>
            <w:tcW w:w="1080" w:type="dxa"/>
            <w:hideMark/>
          </w:tcPr>
          <w:p w14:paraId="3731B72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11.6.2</w:t>
            </w:r>
          </w:p>
        </w:tc>
        <w:tc>
          <w:tcPr>
            <w:tcW w:w="3600" w:type="dxa"/>
            <w:hideMark/>
          </w:tcPr>
          <w:p w14:paraId="094B6DF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If</w:t>
            </w:r>
            <w:r w:rsidRPr="00DE7477">
              <w:rPr>
                <w:rFonts w:ascii="Arial" w:eastAsia="Times New Roman" w:hAnsi="Arial" w:cs="Arial"/>
                <w:sz w:val="20"/>
                <w:lang w:val="en-US"/>
              </w:rPr>
              <w:br/>
              <w:t>the  MAC  and  the  transmitter  of  the  (#1072)(#2409)sync  packet  are  collocated  within  the  same  STA" -- huh?  How can a MAC and a transmitter be distinct things that are collocated within a STA?</w:t>
            </w:r>
          </w:p>
        </w:tc>
        <w:tc>
          <w:tcPr>
            <w:tcW w:w="3600" w:type="dxa"/>
            <w:hideMark/>
          </w:tcPr>
          <w:p w14:paraId="2DC5812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the cited text to "If the STA is the transmitter of the sync packet"</w:t>
            </w:r>
          </w:p>
        </w:tc>
      </w:tr>
      <w:tr w:rsidR="00DE7477" w:rsidRPr="00DE7477" w14:paraId="4345C25E" w14:textId="77777777" w:rsidTr="00DE7477">
        <w:trPr>
          <w:trHeight w:val="2040"/>
        </w:trPr>
        <w:tc>
          <w:tcPr>
            <w:tcW w:w="738" w:type="dxa"/>
            <w:hideMark/>
          </w:tcPr>
          <w:p w14:paraId="5E52C79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4422</w:t>
            </w:r>
          </w:p>
        </w:tc>
        <w:tc>
          <w:tcPr>
            <w:tcW w:w="990" w:type="dxa"/>
            <w:hideMark/>
          </w:tcPr>
          <w:p w14:paraId="28BF946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1834.17</w:t>
            </w:r>
          </w:p>
        </w:tc>
        <w:tc>
          <w:tcPr>
            <w:tcW w:w="1080" w:type="dxa"/>
            <w:hideMark/>
          </w:tcPr>
          <w:p w14:paraId="58ACA46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10.23.2.7</w:t>
            </w:r>
          </w:p>
        </w:tc>
        <w:tc>
          <w:tcPr>
            <w:tcW w:w="3600" w:type="dxa"/>
            <w:hideMark/>
          </w:tcPr>
          <w:p w14:paraId="722D039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"Frames from the primary AC shall be transmitted first." is not clear: does it mean at least one (or two?) shall be transmitted, or does it mean all available shall be transmitted (cf.previous bullet)</w:t>
            </w:r>
          </w:p>
        </w:tc>
        <w:tc>
          <w:tcPr>
            <w:tcW w:w="3600" w:type="dxa"/>
            <w:hideMark/>
          </w:tcPr>
          <w:p w14:paraId="43EF02A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"All frames  from  the  primary  AC  shall  be</w:t>
            </w:r>
            <w:r w:rsidRPr="00DE7477">
              <w:rPr>
                <w:rFonts w:ascii="Arial" w:eastAsia="Times New Roman" w:hAnsi="Arial" w:cs="Arial"/>
                <w:sz w:val="20"/>
                <w:lang w:val="en-US"/>
              </w:rPr>
              <w:br/>
              <w:t>transmitted first"</w:t>
            </w:r>
          </w:p>
        </w:tc>
      </w:tr>
      <w:tr w:rsidR="00DE7477" w:rsidRPr="00DE7477" w14:paraId="6FD2111C" w14:textId="77777777" w:rsidTr="00DE7477">
        <w:trPr>
          <w:trHeight w:val="8190"/>
        </w:trPr>
        <w:tc>
          <w:tcPr>
            <w:tcW w:w="738" w:type="dxa"/>
            <w:hideMark/>
          </w:tcPr>
          <w:p w14:paraId="663E7A18"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4418</w:t>
            </w:r>
          </w:p>
        </w:tc>
        <w:tc>
          <w:tcPr>
            <w:tcW w:w="990" w:type="dxa"/>
            <w:hideMark/>
          </w:tcPr>
          <w:p w14:paraId="05DEE4C8"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1113.25</w:t>
            </w:r>
          </w:p>
        </w:tc>
        <w:tc>
          <w:tcPr>
            <w:tcW w:w="1080" w:type="dxa"/>
            <w:hideMark/>
          </w:tcPr>
          <w:p w14:paraId="52FB7C0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9.4.2.26</w:t>
            </w:r>
          </w:p>
        </w:tc>
        <w:tc>
          <w:tcPr>
            <w:tcW w:w="3600" w:type="dxa"/>
            <w:hideMark/>
          </w:tcPr>
          <w:p w14:paraId="14D1512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"Reject Unadmitted Frame" extended capability is weird: "When dot11RejectUnadmittedTraffic is true, the Reject Unadmitted Frame bit is</w:t>
            </w:r>
            <w:r w:rsidRPr="00DE7477">
              <w:rPr>
                <w:rFonts w:ascii="Arial" w:eastAsia="Times New Roman" w:hAnsi="Arial" w:cs="Arial"/>
                <w:sz w:val="20"/>
                <w:lang w:val="en-US"/>
              </w:rPr>
              <w:br/>
              <w:t>set to 1 to indicate that the STA rejects MA-UNITDATA.request primitives for</w:t>
            </w:r>
            <w:r w:rsidRPr="00DE7477">
              <w:rPr>
                <w:rFonts w:ascii="Arial" w:eastAsia="Times New Roman" w:hAnsi="Arial" w:cs="Arial"/>
                <w:sz w:val="20"/>
                <w:lang w:val="en-US"/>
              </w:rPr>
              <w:br/>
              <w:t>frames belonging to an unadmitted TS.</w:t>
            </w:r>
            <w:r w:rsidRPr="00DE7477">
              <w:rPr>
                <w:rFonts w:ascii="Arial" w:eastAsia="Times New Roman" w:hAnsi="Arial" w:cs="Arial"/>
                <w:sz w:val="20"/>
                <w:lang w:val="en-US"/>
              </w:rPr>
              <w:br/>
              <w:t>When dot11RejectUnadmittedTraffic is false, the Reject Unadmitted Frame bit is</w:t>
            </w:r>
            <w:r w:rsidRPr="00DE7477">
              <w:rPr>
                <w:rFonts w:ascii="Arial" w:eastAsia="Times New Roman" w:hAnsi="Arial" w:cs="Arial"/>
                <w:sz w:val="20"/>
                <w:lang w:val="en-US"/>
              </w:rPr>
              <w:br/>
              <w:t>set to 0 to indicate that the STA is not required to reject MA-UNITDATA.request</w:t>
            </w:r>
            <w:r w:rsidRPr="00DE7477">
              <w:rPr>
                <w:rFonts w:ascii="Arial" w:eastAsia="Times New Roman" w:hAnsi="Arial" w:cs="Arial"/>
                <w:sz w:val="20"/>
                <w:lang w:val="en-US"/>
              </w:rPr>
              <w:br/>
              <w:t>primitives for frames belonging to an unadmitted TS.".  Why does the peer need to know the local policy on rejecting unadmitted traffic?  Why does the peer not need to know for sure whether the peer will reject unadmitted traffic ("is not required to reject" ... but might).  Also "the STA's MA-UNITDATA primitive rejects</w:t>
            </w:r>
            <w:r w:rsidRPr="00DE7477">
              <w:rPr>
                <w:rFonts w:ascii="Arial" w:eastAsia="Times New Roman" w:hAnsi="Arial" w:cs="Arial"/>
                <w:sz w:val="20"/>
                <w:lang w:val="en-US"/>
              </w:rPr>
              <w:br/>
              <w:t>frames" is weird -- it's not the primitive that rejects, it's the STA, and there is no MA-UNITDATA primitive, there are only MA-UNITDATA.something primitives</w:t>
            </w:r>
          </w:p>
        </w:tc>
        <w:tc>
          <w:tcPr>
            <w:tcW w:w="3600" w:type="dxa"/>
            <w:hideMark/>
          </w:tcPr>
          <w:p w14:paraId="3D22819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 Table 9-153--Extended Capabilities field change "the STA rejects MA-UNITDATA.request primitives for</w:t>
            </w:r>
            <w:r w:rsidRPr="00DE7477">
              <w:rPr>
                <w:rFonts w:ascii="Arial" w:eastAsia="Times New Roman" w:hAnsi="Arial" w:cs="Arial"/>
                <w:sz w:val="20"/>
                <w:lang w:val="en-US"/>
              </w:rPr>
              <w:br/>
              <w:t>frames belonging to an unadmitted TS" to "the STA does not transmit frames belonging to an unadmitted TS" and "the STA is not required to reject MA-UNITDATA.request</w:t>
            </w:r>
            <w:r w:rsidRPr="00DE7477">
              <w:rPr>
                <w:rFonts w:ascii="Arial" w:eastAsia="Times New Roman" w:hAnsi="Arial" w:cs="Arial"/>
                <w:sz w:val="20"/>
                <w:lang w:val="en-US"/>
              </w:rPr>
              <w:br/>
              <w:t>primitives for frames belonging to an unadmitted TS" to "the STA might transmit frames belonging to an unadmitted TS".  In C.3 change "This attribute when true indicates the STA's MA-UNITDATA primitive rejects</w:t>
            </w:r>
            <w:r w:rsidRPr="00DE7477">
              <w:rPr>
                <w:rFonts w:ascii="Arial" w:eastAsia="Times New Roman" w:hAnsi="Arial" w:cs="Arial"/>
                <w:sz w:val="20"/>
                <w:lang w:val="en-US"/>
              </w:rPr>
              <w:br/>
              <w:t>frames" to "This attribute when true indicates the STA rejects MA-UNITDATA.requests"</w:t>
            </w:r>
          </w:p>
        </w:tc>
      </w:tr>
      <w:tr w:rsidR="00DE7477" w:rsidRPr="00DE7477" w14:paraId="7FBD2720" w14:textId="77777777" w:rsidTr="00DE7477">
        <w:trPr>
          <w:trHeight w:val="1530"/>
        </w:trPr>
        <w:tc>
          <w:tcPr>
            <w:tcW w:w="738" w:type="dxa"/>
            <w:hideMark/>
          </w:tcPr>
          <w:p w14:paraId="68E75329"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4323</w:t>
            </w:r>
          </w:p>
        </w:tc>
        <w:tc>
          <w:tcPr>
            <w:tcW w:w="990" w:type="dxa"/>
            <w:hideMark/>
          </w:tcPr>
          <w:p w14:paraId="0D6E2CA1"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2154.47</w:t>
            </w:r>
          </w:p>
        </w:tc>
        <w:tc>
          <w:tcPr>
            <w:tcW w:w="1080" w:type="dxa"/>
            <w:hideMark/>
          </w:tcPr>
          <w:p w14:paraId="56B2E31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27BE076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decimal value of the 11 LSBs of the AID assigned to an S1G STA shall be" -- the value is the value; the encoding/representation is irrelevant</w:t>
            </w:r>
          </w:p>
        </w:tc>
        <w:tc>
          <w:tcPr>
            <w:tcW w:w="3600" w:type="dxa"/>
            <w:hideMark/>
          </w:tcPr>
          <w:p w14:paraId="402FAAE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"decimal " in the cited text</w:t>
            </w:r>
          </w:p>
        </w:tc>
      </w:tr>
      <w:tr w:rsidR="00DE7477" w:rsidRPr="00DE7477" w14:paraId="18F3F57E" w14:textId="77777777" w:rsidTr="00DE7477">
        <w:trPr>
          <w:trHeight w:val="2040"/>
        </w:trPr>
        <w:tc>
          <w:tcPr>
            <w:tcW w:w="738" w:type="dxa"/>
            <w:hideMark/>
          </w:tcPr>
          <w:p w14:paraId="4FFC3A8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4342</w:t>
            </w:r>
          </w:p>
        </w:tc>
        <w:tc>
          <w:tcPr>
            <w:tcW w:w="990" w:type="dxa"/>
            <w:hideMark/>
          </w:tcPr>
          <w:p w14:paraId="1A5E074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1563.10</w:t>
            </w:r>
          </w:p>
        </w:tc>
        <w:tc>
          <w:tcPr>
            <w:tcW w:w="1080" w:type="dxa"/>
            <w:hideMark/>
          </w:tcPr>
          <w:p w14:paraId="2449745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9.6.7.36</w:t>
            </w:r>
          </w:p>
        </w:tc>
        <w:tc>
          <w:tcPr>
            <w:tcW w:w="3600" w:type="dxa"/>
            <w:hideMark/>
          </w:tcPr>
          <w:p w14:paraId="3101607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Should qualify the MCS in Table 9-386--FILS Minimum Rate</w:t>
            </w:r>
          </w:p>
        </w:tc>
        <w:tc>
          <w:tcPr>
            <w:tcW w:w="3600" w:type="dxa"/>
            <w:hideMark/>
          </w:tcPr>
          <w:p w14:paraId="1CDE587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 Table 9-386--FILS Minimum Rate add "HT-" before "MCS" in the penultimate column, and "VHT-" before "MCS" in the last column (note this covers TVHT via the hand-wavy substitution rules elsewhere)</w:t>
            </w:r>
          </w:p>
        </w:tc>
      </w:tr>
      <w:tr w:rsidR="00DE7477" w:rsidRPr="00DE7477" w14:paraId="11B7EAD0" w14:textId="77777777" w:rsidTr="00DE7477">
        <w:trPr>
          <w:trHeight w:val="1275"/>
        </w:trPr>
        <w:tc>
          <w:tcPr>
            <w:tcW w:w="738" w:type="dxa"/>
            <w:hideMark/>
          </w:tcPr>
          <w:p w14:paraId="621DA1B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4376</w:t>
            </w:r>
          </w:p>
        </w:tc>
        <w:tc>
          <w:tcPr>
            <w:tcW w:w="990" w:type="dxa"/>
            <w:hideMark/>
          </w:tcPr>
          <w:p w14:paraId="25D1B32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8D20E6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w:t>
            </w:r>
          </w:p>
        </w:tc>
        <w:tc>
          <w:tcPr>
            <w:tcW w:w="3600" w:type="dxa"/>
            <w:hideMark/>
          </w:tcPr>
          <w:p w14:paraId="2D7F19E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Some of the Frame Control field figures have the wrong bit numbering: the PV should be "B0 B1" not "B1 B2".  Fix in Figure 9-5, 9-6</w:t>
            </w:r>
          </w:p>
        </w:tc>
        <w:tc>
          <w:tcPr>
            <w:tcW w:w="3600" w:type="dxa"/>
            <w:hideMark/>
          </w:tcPr>
          <w:p w14:paraId="0010707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r w:rsidR="00DE7477" w:rsidRPr="00DE7477" w14:paraId="21AE1004" w14:textId="77777777" w:rsidTr="00DE7477">
        <w:trPr>
          <w:trHeight w:val="2040"/>
        </w:trPr>
        <w:tc>
          <w:tcPr>
            <w:tcW w:w="738" w:type="dxa"/>
            <w:hideMark/>
          </w:tcPr>
          <w:p w14:paraId="57B7F60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4373</w:t>
            </w:r>
          </w:p>
        </w:tc>
        <w:tc>
          <w:tcPr>
            <w:tcW w:w="990" w:type="dxa"/>
            <w:hideMark/>
          </w:tcPr>
          <w:p w14:paraId="4765F7C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1609.54</w:t>
            </w:r>
          </w:p>
        </w:tc>
        <w:tc>
          <w:tcPr>
            <w:tcW w:w="1080" w:type="dxa"/>
            <w:hideMark/>
          </w:tcPr>
          <w:p w14:paraId="2DDE518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9.6.13.20</w:t>
            </w:r>
          </w:p>
        </w:tc>
        <w:tc>
          <w:tcPr>
            <w:tcW w:w="3600" w:type="dxa"/>
            <w:hideMark/>
          </w:tcPr>
          <w:p w14:paraId="44EA542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"Each subelement starts with the ID and</w:t>
            </w:r>
            <w:r w:rsidRPr="00DE7477">
              <w:rPr>
                <w:rFonts w:ascii="Arial" w:eastAsia="Times New Roman" w:hAnsi="Arial" w:cs="Arial"/>
                <w:sz w:val="20"/>
                <w:lang w:val="en-US"/>
              </w:rPr>
              <w:br/>
              <w:t>Length fields. The Length field in the subelement is the length of the contents of the subelement." is duplication of the general rules for subelements</w:t>
            </w:r>
          </w:p>
        </w:tc>
        <w:tc>
          <w:tcPr>
            <w:tcW w:w="3600" w:type="dxa"/>
            <w:hideMark/>
          </w:tcPr>
          <w:p w14:paraId="6CAC1BA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text</w:t>
            </w:r>
          </w:p>
        </w:tc>
      </w:tr>
      <w:tr w:rsidR="00DE7477" w:rsidRPr="00DE7477" w14:paraId="63B9D5C9" w14:textId="77777777" w:rsidTr="00DE7477">
        <w:trPr>
          <w:trHeight w:val="765"/>
        </w:trPr>
        <w:tc>
          <w:tcPr>
            <w:tcW w:w="738" w:type="dxa"/>
            <w:hideMark/>
          </w:tcPr>
          <w:p w14:paraId="2DA9396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4371</w:t>
            </w:r>
          </w:p>
        </w:tc>
        <w:tc>
          <w:tcPr>
            <w:tcW w:w="990" w:type="dxa"/>
            <w:hideMark/>
          </w:tcPr>
          <w:p w14:paraId="500BF6F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2376.17</w:t>
            </w:r>
          </w:p>
        </w:tc>
        <w:tc>
          <w:tcPr>
            <w:tcW w:w="1080" w:type="dxa"/>
            <w:hideMark/>
          </w:tcPr>
          <w:p w14:paraId="760F283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11.22.6.4</w:t>
            </w:r>
          </w:p>
        </w:tc>
        <w:tc>
          <w:tcPr>
            <w:tcW w:w="3600" w:type="dxa"/>
            <w:hideMark/>
          </w:tcPr>
          <w:p w14:paraId="3E85C94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"initial Fine Timing Request frame" -- no such frame</w:t>
            </w:r>
          </w:p>
        </w:tc>
        <w:tc>
          <w:tcPr>
            <w:tcW w:w="3600" w:type="dxa"/>
            <w:hideMark/>
          </w:tcPr>
          <w:p w14:paraId="2D885F3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r w:rsidR="00DE7477" w:rsidRPr="00DE7477" w14:paraId="5EA2804F" w14:textId="77777777" w:rsidTr="00DE7477">
        <w:trPr>
          <w:trHeight w:val="765"/>
        </w:trPr>
        <w:tc>
          <w:tcPr>
            <w:tcW w:w="738" w:type="dxa"/>
            <w:hideMark/>
          </w:tcPr>
          <w:p w14:paraId="6B4B762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4370</w:t>
            </w:r>
          </w:p>
        </w:tc>
        <w:tc>
          <w:tcPr>
            <w:tcW w:w="990" w:type="dxa"/>
            <w:hideMark/>
          </w:tcPr>
          <w:p w14:paraId="4901ADB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1353.29</w:t>
            </w:r>
          </w:p>
        </w:tc>
        <w:tc>
          <w:tcPr>
            <w:tcW w:w="1080" w:type="dxa"/>
            <w:hideMark/>
          </w:tcPr>
          <w:p w14:paraId="6071E14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0BDC498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"Fine Timing Request" -- no such frame</w:t>
            </w:r>
          </w:p>
        </w:tc>
        <w:tc>
          <w:tcPr>
            <w:tcW w:w="3600" w:type="dxa"/>
            <w:hideMark/>
          </w:tcPr>
          <w:p w14:paraId="1CFE30C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r w:rsidR="00DE7477" w:rsidRPr="00DE7477" w14:paraId="258CF627" w14:textId="77777777" w:rsidTr="00DE7477">
        <w:trPr>
          <w:trHeight w:val="1275"/>
        </w:trPr>
        <w:tc>
          <w:tcPr>
            <w:tcW w:w="738" w:type="dxa"/>
            <w:hideMark/>
          </w:tcPr>
          <w:p w14:paraId="1B21491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4351</w:t>
            </w:r>
          </w:p>
        </w:tc>
        <w:tc>
          <w:tcPr>
            <w:tcW w:w="990" w:type="dxa"/>
            <w:hideMark/>
          </w:tcPr>
          <w:p w14:paraId="66FEC56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56E7375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7F43C0C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e) appears to duplicate d), though d) does not give the destination address</w:t>
            </w:r>
          </w:p>
        </w:tc>
        <w:tc>
          <w:tcPr>
            <w:tcW w:w="3600" w:type="dxa"/>
            <w:hideMark/>
          </w:tcPr>
          <w:p w14:paraId="6548666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e) and in d) after "send zero or more probe requests" add " to the broadcast destination address"</w:t>
            </w:r>
          </w:p>
        </w:tc>
      </w:tr>
      <w:tr w:rsidR="00DE7477" w:rsidRPr="00DE7477" w14:paraId="01C36585" w14:textId="77777777" w:rsidTr="00DE7477">
        <w:trPr>
          <w:trHeight w:val="2295"/>
        </w:trPr>
        <w:tc>
          <w:tcPr>
            <w:tcW w:w="738" w:type="dxa"/>
            <w:hideMark/>
          </w:tcPr>
          <w:p w14:paraId="2BCBF84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4349</w:t>
            </w:r>
          </w:p>
        </w:tc>
        <w:tc>
          <w:tcPr>
            <w:tcW w:w="990" w:type="dxa"/>
            <w:hideMark/>
          </w:tcPr>
          <w:p w14:paraId="4AFFB76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2159.29</w:t>
            </w:r>
          </w:p>
        </w:tc>
        <w:tc>
          <w:tcPr>
            <w:tcW w:w="1080" w:type="dxa"/>
            <w:hideMark/>
          </w:tcPr>
          <w:p w14:paraId="4F2B791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51D1CB5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 says "These additional probe</w:t>
            </w:r>
            <w:r w:rsidRPr="00DE7477">
              <w:rPr>
                <w:rFonts w:ascii="Arial" w:eastAsia="Times New Roman" w:hAnsi="Arial" w:cs="Arial"/>
                <w:sz w:val="20"/>
                <w:lang w:val="en-US"/>
              </w:rPr>
              <w:br/>
              <w:t>requests (following step c)) should only carry SSIDs not indicated in the step c) probe request.".  Why is this a should?  There's no point sending probes for stuff that has already been probed</w:t>
            </w:r>
          </w:p>
        </w:tc>
        <w:tc>
          <w:tcPr>
            <w:tcW w:w="3600" w:type="dxa"/>
            <w:hideMark/>
          </w:tcPr>
          <w:p w14:paraId="78737E5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"should" in the cited text</w:t>
            </w:r>
          </w:p>
        </w:tc>
      </w:tr>
      <w:tr w:rsidR="00DE7477" w:rsidRPr="00DE7477" w14:paraId="641AA938" w14:textId="77777777" w:rsidTr="00DE7477">
        <w:trPr>
          <w:trHeight w:val="765"/>
        </w:trPr>
        <w:tc>
          <w:tcPr>
            <w:tcW w:w="738" w:type="dxa"/>
            <w:hideMark/>
          </w:tcPr>
          <w:p w14:paraId="401A478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4489</w:t>
            </w:r>
          </w:p>
        </w:tc>
        <w:tc>
          <w:tcPr>
            <w:tcW w:w="990" w:type="dxa"/>
            <w:hideMark/>
          </w:tcPr>
          <w:p w14:paraId="4B37DAD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38D278A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7D6BEB7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30345E8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each to "Handover Remaining BI field"</w:t>
            </w:r>
          </w:p>
        </w:tc>
      </w:tr>
      <w:tr w:rsidR="00DE7477" w:rsidRPr="00DE7477" w14:paraId="0DBCF626" w14:textId="77777777" w:rsidTr="00DE7477">
        <w:trPr>
          <w:trHeight w:val="765"/>
        </w:trPr>
        <w:tc>
          <w:tcPr>
            <w:tcW w:w="738" w:type="dxa"/>
            <w:hideMark/>
          </w:tcPr>
          <w:p w14:paraId="6DDABD2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4410</w:t>
            </w:r>
          </w:p>
        </w:tc>
        <w:tc>
          <w:tcPr>
            <w:tcW w:w="990" w:type="dxa"/>
            <w:hideMark/>
          </w:tcPr>
          <w:p w14:paraId="7B9886D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2375.25</w:t>
            </w:r>
          </w:p>
        </w:tc>
        <w:tc>
          <w:tcPr>
            <w:tcW w:w="1080" w:type="dxa"/>
            <w:hideMark/>
          </w:tcPr>
          <w:p w14:paraId="257AE7E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11.22.6.3</w:t>
            </w:r>
          </w:p>
        </w:tc>
        <w:tc>
          <w:tcPr>
            <w:tcW w:w="3600" w:type="dxa"/>
            <w:hideMark/>
          </w:tcPr>
          <w:p w14:paraId="771FB9D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the Fine Timing Parameters field" -- no such field</w:t>
            </w:r>
          </w:p>
        </w:tc>
        <w:tc>
          <w:tcPr>
            <w:tcW w:w="3600" w:type="dxa"/>
            <w:hideMark/>
          </w:tcPr>
          <w:p w14:paraId="1728A7E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the Fine Timing Measurement Parameters field"</w:t>
            </w:r>
          </w:p>
        </w:tc>
      </w:tr>
      <w:tr w:rsidR="00873D4A" w:rsidRPr="00DE7477" w14:paraId="2CE3E9CA" w14:textId="77777777" w:rsidTr="00DE7477">
        <w:trPr>
          <w:trHeight w:val="765"/>
        </w:trPr>
        <w:tc>
          <w:tcPr>
            <w:tcW w:w="738" w:type="dxa"/>
          </w:tcPr>
          <w:p w14:paraId="5BD46E25" w14:textId="671F13FC" w:rsidR="00873D4A" w:rsidRPr="00DE7477" w:rsidRDefault="00873D4A" w:rsidP="00873D4A">
            <w:pPr>
              <w:jc w:val="right"/>
              <w:rPr>
                <w:rFonts w:ascii="Arial" w:eastAsia="Times New Roman" w:hAnsi="Arial" w:cs="Arial"/>
                <w:sz w:val="20"/>
                <w:lang w:val="en-US"/>
              </w:rPr>
            </w:pPr>
            <w:r w:rsidRPr="00233EF1">
              <w:rPr>
                <w:rFonts w:ascii="Arial" w:eastAsia="Times New Roman" w:hAnsi="Arial" w:cs="Arial"/>
                <w:color w:val="000000"/>
                <w:sz w:val="20"/>
                <w:lang w:val="en-US"/>
              </w:rPr>
              <w:t>4814</w:t>
            </w:r>
          </w:p>
        </w:tc>
        <w:tc>
          <w:tcPr>
            <w:tcW w:w="990" w:type="dxa"/>
          </w:tcPr>
          <w:p w14:paraId="7F9268EA" w14:textId="2E4E9373" w:rsidR="00873D4A" w:rsidRPr="00DE7477" w:rsidRDefault="00873D4A" w:rsidP="00873D4A">
            <w:pPr>
              <w:jc w:val="right"/>
              <w:rPr>
                <w:rFonts w:ascii="Arial" w:eastAsia="Times New Roman" w:hAnsi="Arial" w:cs="Arial"/>
                <w:sz w:val="20"/>
                <w:lang w:val="en-US"/>
              </w:rPr>
            </w:pPr>
            <w:r w:rsidRPr="00233EF1">
              <w:rPr>
                <w:rFonts w:ascii="Arial" w:eastAsia="Times New Roman" w:hAnsi="Arial" w:cs="Arial"/>
                <w:color w:val="000000"/>
                <w:sz w:val="20"/>
                <w:lang w:val="en-US"/>
              </w:rPr>
              <w:t>287.</w:t>
            </w:r>
            <w:r>
              <w:rPr>
                <w:rFonts w:ascii="Arial" w:eastAsia="Times New Roman" w:hAnsi="Arial" w:cs="Arial"/>
                <w:color w:val="000000"/>
                <w:sz w:val="20"/>
                <w:lang w:val="en-US"/>
              </w:rPr>
              <w:t>48</w:t>
            </w:r>
          </w:p>
        </w:tc>
        <w:tc>
          <w:tcPr>
            <w:tcW w:w="1080" w:type="dxa"/>
          </w:tcPr>
          <w:p w14:paraId="2ECFD34B" w14:textId="177B61A5" w:rsidR="00873D4A" w:rsidRPr="00DE7477" w:rsidRDefault="00873D4A" w:rsidP="00873D4A">
            <w:pPr>
              <w:rPr>
                <w:rFonts w:ascii="Arial" w:eastAsia="Times New Roman" w:hAnsi="Arial" w:cs="Arial"/>
                <w:sz w:val="20"/>
                <w:lang w:val="en-US"/>
              </w:rPr>
            </w:pPr>
            <w:r w:rsidRPr="00233EF1">
              <w:rPr>
                <w:rFonts w:ascii="Arial" w:eastAsia="Times New Roman" w:hAnsi="Arial" w:cs="Arial"/>
                <w:color w:val="000000"/>
                <w:sz w:val="20"/>
                <w:lang w:val="en-US"/>
              </w:rPr>
              <w:t>4.1</w:t>
            </w:r>
          </w:p>
        </w:tc>
        <w:tc>
          <w:tcPr>
            <w:tcW w:w="3600" w:type="dxa"/>
          </w:tcPr>
          <w:p w14:paraId="75E9A881" w14:textId="735DB9A0" w:rsidR="00873D4A" w:rsidRPr="00DE7477" w:rsidRDefault="00873D4A" w:rsidP="00873D4A">
            <w:pPr>
              <w:rPr>
                <w:rFonts w:ascii="Arial" w:eastAsia="Times New Roman" w:hAnsi="Arial" w:cs="Arial"/>
                <w:sz w:val="20"/>
                <w:lang w:val="en-US"/>
              </w:rPr>
            </w:pPr>
            <w:r w:rsidRPr="00233EF1">
              <w:rPr>
                <w:rFonts w:ascii="Arial" w:eastAsia="Times New Roman" w:hAnsi="Arial" w:cs="Arial"/>
                <w:color w:val="000000"/>
                <w:sz w:val="20"/>
                <w:lang w:val="en-US"/>
              </w:rPr>
              <w:t>The 802.11 Style Guide says clause 4 should be written in delcarative,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tcPr>
          <w:p w14:paraId="1FF248EA" w14:textId="6DA7224A" w:rsidR="00873D4A" w:rsidRPr="00DE7477" w:rsidRDefault="00873D4A" w:rsidP="00873D4A">
            <w:pPr>
              <w:rPr>
                <w:rFonts w:ascii="Arial" w:eastAsia="Times New Roman" w:hAnsi="Arial" w:cs="Arial"/>
                <w:sz w:val="20"/>
                <w:lang w:val="en-US"/>
              </w:rPr>
            </w:pPr>
            <w:r w:rsidRPr="00233EF1">
              <w:rPr>
                <w:rFonts w:ascii="Arial" w:eastAsia="Times New Roman" w:hAnsi="Arial" w:cs="Arial"/>
                <w:color w:val="000000"/>
                <w:sz w:val="20"/>
                <w:lang w:val="en-US"/>
              </w:rPr>
              <w:t>At least 4.10, and potentially all of clause 4, needs to be scrubbed for details that are beyond "general description" and/or are the best/only normative specification in the Standard of any behaviors, and move such text to a later clause.</w:t>
            </w:r>
          </w:p>
        </w:tc>
      </w:tr>
      <w:tr w:rsidR="00873D4A" w:rsidRPr="00DE7477" w14:paraId="61B1DE23" w14:textId="77777777" w:rsidTr="00DE7477">
        <w:trPr>
          <w:trHeight w:val="765"/>
        </w:trPr>
        <w:tc>
          <w:tcPr>
            <w:tcW w:w="738" w:type="dxa"/>
          </w:tcPr>
          <w:p w14:paraId="652B66D9" w14:textId="7FA3C2D2"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4813</w:t>
            </w:r>
          </w:p>
        </w:tc>
        <w:tc>
          <w:tcPr>
            <w:tcW w:w="990" w:type="dxa"/>
          </w:tcPr>
          <w:p w14:paraId="4D1575D0" w14:textId="4875F7E3"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769.</w:t>
            </w:r>
            <w:r>
              <w:rPr>
                <w:rFonts w:ascii="Arial" w:eastAsia="Times New Roman" w:hAnsi="Arial" w:cs="Arial"/>
                <w:color w:val="000000"/>
                <w:sz w:val="20"/>
                <w:lang w:val="en-US"/>
              </w:rPr>
              <w:t>44</w:t>
            </w:r>
          </w:p>
        </w:tc>
        <w:tc>
          <w:tcPr>
            <w:tcW w:w="1080" w:type="dxa"/>
          </w:tcPr>
          <w:p w14:paraId="4B558461" w14:textId="70B39435"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8.3.5.6.2</w:t>
            </w:r>
          </w:p>
        </w:tc>
        <w:tc>
          <w:tcPr>
            <w:tcW w:w="3600" w:type="dxa"/>
          </w:tcPr>
          <w:p w14:paraId="2AC45295" w14:textId="34499FCE"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8.3.5.6.2 says "The required PHY parameters are listed in 8.3.4.3 (PHY SAP service primitives parameters)." But, 8.3.4.3 just says "A set of parameters" for PHY-TXSTART.confirm (and .request).</w:t>
            </w:r>
          </w:p>
        </w:tc>
        <w:tc>
          <w:tcPr>
            <w:tcW w:w="3600" w:type="dxa"/>
          </w:tcPr>
          <w:p w14:paraId="48A0F3B2" w14:textId="078460B4"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102645F0" w14:textId="77777777" w:rsidTr="00DE7477">
        <w:trPr>
          <w:trHeight w:val="765"/>
        </w:trPr>
        <w:tc>
          <w:tcPr>
            <w:tcW w:w="738" w:type="dxa"/>
          </w:tcPr>
          <w:p w14:paraId="173EC4BE" w14:textId="2755D165"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4812</w:t>
            </w:r>
          </w:p>
        </w:tc>
        <w:tc>
          <w:tcPr>
            <w:tcW w:w="990" w:type="dxa"/>
          </w:tcPr>
          <w:p w14:paraId="5E0E60A6" w14:textId="224ED4ED"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308.0</w:t>
            </w:r>
            <w:r>
              <w:rPr>
                <w:rFonts w:ascii="Arial" w:eastAsia="Times New Roman" w:hAnsi="Arial" w:cs="Arial"/>
                <w:color w:val="000000"/>
                <w:sz w:val="20"/>
                <w:lang w:val="en-US"/>
              </w:rPr>
              <w:t>1</w:t>
            </w:r>
          </w:p>
        </w:tc>
        <w:tc>
          <w:tcPr>
            <w:tcW w:w="1080" w:type="dxa"/>
          </w:tcPr>
          <w:p w14:paraId="689E9FE9" w14:textId="454B5BA5"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5.1.5.7</w:t>
            </w:r>
          </w:p>
        </w:tc>
        <w:tc>
          <w:tcPr>
            <w:tcW w:w="3600" w:type="dxa"/>
          </w:tcPr>
          <w:p w14:paraId="2869A528" w14:textId="770790B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There's no figure in clause 5 (like Figure 5-7) for a DMG Relay.</w:t>
            </w:r>
          </w:p>
        </w:tc>
        <w:tc>
          <w:tcPr>
            <w:tcW w:w="3600" w:type="dxa"/>
          </w:tcPr>
          <w:p w14:paraId="77F1BE81" w14:textId="7847E37E"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707D3B44" w14:textId="77777777" w:rsidTr="00DE7477">
        <w:trPr>
          <w:trHeight w:val="765"/>
        </w:trPr>
        <w:tc>
          <w:tcPr>
            <w:tcW w:w="738" w:type="dxa"/>
          </w:tcPr>
          <w:p w14:paraId="0D5DDFD3" w14:textId="0F57914C"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4784</w:t>
            </w:r>
          </w:p>
        </w:tc>
        <w:tc>
          <w:tcPr>
            <w:tcW w:w="990" w:type="dxa"/>
          </w:tcPr>
          <w:p w14:paraId="6560695B" w14:textId="2D6DD22C"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3857.0</w:t>
            </w:r>
            <w:r>
              <w:rPr>
                <w:rFonts w:ascii="Arial" w:eastAsia="Times New Roman" w:hAnsi="Arial" w:cs="Arial"/>
                <w:color w:val="000000"/>
                <w:sz w:val="20"/>
                <w:lang w:val="en-US"/>
              </w:rPr>
              <w:t>8</w:t>
            </w:r>
          </w:p>
        </w:tc>
        <w:tc>
          <w:tcPr>
            <w:tcW w:w="1080" w:type="dxa"/>
          </w:tcPr>
          <w:p w14:paraId="3EB6C1BE" w14:textId="6924B959"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C.3</w:t>
            </w:r>
          </w:p>
        </w:tc>
        <w:tc>
          <w:tcPr>
            <w:tcW w:w="3600" w:type="dxa"/>
          </w:tcPr>
          <w:p w14:paraId="04336F44" w14:textId="40E7839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Put the DESCRIPTION for 11ak MIB attributes in the standard layout.</w:t>
            </w:r>
          </w:p>
        </w:tc>
        <w:tc>
          <w:tcPr>
            <w:tcW w:w="3600" w:type="dxa"/>
          </w:tcPr>
          <w:p w14:paraId="444043FE" w14:textId="0CB02627"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272E6FB1" w14:textId="77777777" w:rsidTr="00DE7477">
        <w:trPr>
          <w:trHeight w:val="765"/>
        </w:trPr>
        <w:tc>
          <w:tcPr>
            <w:tcW w:w="738" w:type="dxa"/>
          </w:tcPr>
          <w:p w14:paraId="42004CCC" w14:textId="3B7FB41D"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4768</w:t>
            </w:r>
          </w:p>
        </w:tc>
        <w:tc>
          <w:tcPr>
            <w:tcW w:w="990" w:type="dxa"/>
          </w:tcPr>
          <w:p w14:paraId="208EF704" w14:textId="2D2D9C12"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680.</w:t>
            </w:r>
            <w:r>
              <w:rPr>
                <w:rFonts w:ascii="Arial" w:eastAsia="Times New Roman" w:hAnsi="Arial" w:cs="Arial"/>
                <w:color w:val="000000"/>
                <w:sz w:val="20"/>
                <w:lang w:val="en-US"/>
              </w:rPr>
              <w:t>44</w:t>
            </w:r>
          </w:p>
        </w:tc>
        <w:tc>
          <w:tcPr>
            <w:tcW w:w="1080" w:type="dxa"/>
          </w:tcPr>
          <w:p w14:paraId="27A7242E" w14:textId="49C928B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6.3.97.2.2</w:t>
            </w:r>
          </w:p>
        </w:tc>
        <w:tc>
          <w:tcPr>
            <w:tcW w:w="3600" w:type="dxa"/>
          </w:tcPr>
          <w:p w14:paraId="5223B660" w14:textId="452BEDF0"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The ContactVerificationSignal parameter appears to be an entire CVS frame (as defined in 9.6.7.27), when the only information actually conveyed is the Map ID. The rest of the frame format is (should be) known only to the MAC, and not the user of the MLME SAP.</w:t>
            </w:r>
          </w:p>
        </w:tc>
        <w:tc>
          <w:tcPr>
            <w:tcW w:w="3600" w:type="dxa"/>
          </w:tcPr>
          <w:p w14:paraId="3F186D85" w14:textId="4153FAE3"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Change "ContactVerificationSignal" to "Map ID" in the parameter list and parameter table. In the parameter table's Description column, replace the text with, "The Map ID field is set to a number that is equal to the Map ID of the recently received WSM, which is being verified."This pattern of passing a frame, instead of information content, is found elsewhere, such as other primitives for the CVS/GDD function (including GDD Enablement Response), and the FT ("REMOTE-REQUEST"), Mesh peering management, Channel Availability Query, and Network Channel Control functions. A contribution will be provided for proposed changes to address these.</w:t>
            </w:r>
          </w:p>
        </w:tc>
      </w:tr>
      <w:tr w:rsidR="00AE7C3B" w:rsidRPr="00DE7477" w14:paraId="0B11D232" w14:textId="77777777" w:rsidTr="00DE7477">
        <w:trPr>
          <w:trHeight w:val="765"/>
        </w:trPr>
        <w:tc>
          <w:tcPr>
            <w:tcW w:w="738" w:type="dxa"/>
          </w:tcPr>
          <w:p w14:paraId="206CF5AB" w14:textId="5B9987A1" w:rsidR="00AE7C3B" w:rsidRPr="00233EF1"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4820</w:t>
            </w:r>
          </w:p>
        </w:tc>
        <w:tc>
          <w:tcPr>
            <w:tcW w:w="990" w:type="dxa"/>
          </w:tcPr>
          <w:p w14:paraId="0F195520" w14:textId="77777777" w:rsidR="00AE7C3B" w:rsidRPr="00233EF1" w:rsidRDefault="00AE7C3B" w:rsidP="00873D4A">
            <w:pPr>
              <w:jc w:val="right"/>
              <w:rPr>
                <w:rFonts w:ascii="Arial" w:eastAsia="Times New Roman" w:hAnsi="Arial" w:cs="Arial"/>
                <w:color w:val="000000"/>
                <w:sz w:val="20"/>
                <w:lang w:val="en-US"/>
              </w:rPr>
            </w:pPr>
          </w:p>
        </w:tc>
        <w:tc>
          <w:tcPr>
            <w:tcW w:w="1080" w:type="dxa"/>
          </w:tcPr>
          <w:p w14:paraId="59E36259" w14:textId="77777777" w:rsidR="00AE7C3B" w:rsidRPr="00233EF1" w:rsidRDefault="00AE7C3B" w:rsidP="00873D4A">
            <w:pPr>
              <w:rPr>
                <w:rFonts w:ascii="Arial" w:eastAsia="Times New Roman" w:hAnsi="Arial" w:cs="Arial"/>
                <w:color w:val="000000"/>
                <w:sz w:val="20"/>
                <w:lang w:val="en-US"/>
              </w:rPr>
            </w:pPr>
          </w:p>
        </w:tc>
        <w:tc>
          <w:tcPr>
            <w:tcW w:w="3600" w:type="dxa"/>
          </w:tcPr>
          <w:p w14:paraId="27EDC7B2"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Text is inconsistent in treating elements at the end of a frame as a field:</w:t>
            </w:r>
          </w:p>
          <w:p w14:paraId="6812B87A" w14:textId="77777777" w:rsidR="00AE7C3B" w:rsidRPr="00AE7C3B" w:rsidRDefault="00AE7C3B" w:rsidP="00AE7C3B">
            <w:pPr>
              <w:rPr>
                <w:rFonts w:ascii="Arial" w:eastAsia="Times New Roman" w:hAnsi="Arial" w:cs="Arial"/>
                <w:color w:val="000000"/>
                <w:sz w:val="20"/>
                <w:lang w:val="en-US"/>
              </w:rPr>
            </w:pPr>
          </w:p>
          <w:p w14:paraId="313BFEBB"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(1) Some frame definitions indicate if a "field" X is present it contains "element" Y (e.g., see the "DMG Link Margin" field in 9.6.6.5 Link Measurement Report frame format)</w:t>
            </w:r>
          </w:p>
          <w:p w14:paraId="65A820AD"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(2) Classic frames (e.g., beacon, probe, association...) just list the frame body, often in a table format, and list the elements after fields, which is also consistent with the sentence at P847L24.</w:t>
            </w:r>
          </w:p>
          <w:p w14:paraId="7DFA7764"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(3) Some other frams (e.g., 9.6.7.7 Extended Channel Switch Announcement frame format) list the elements directly in a figure representing teh frame, without a table, which is also consistent with (2)</w:t>
            </w:r>
          </w:p>
          <w:p w14:paraId="0CC342C6" w14:textId="77777777" w:rsidR="00AE7C3B" w:rsidRPr="00AE7C3B" w:rsidRDefault="00AE7C3B" w:rsidP="00AE7C3B">
            <w:pPr>
              <w:rPr>
                <w:rFonts w:ascii="Arial" w:eastAsia="Times New Roman" w:hAnsi="Arial" w:cs="Arial"/>
                <w:color w:val="000000"/>
                <w:sz w:val="20"/>
                <w:lang w:val="en-US"/>
              </w:rPr>
            </w:pPr>
          </w:p>
          <w:p w14:paraId="0340D33E" w14:textId="39E55AC1" w:rsidR="00AE7C3B" w:rsidRPr="00233EF1"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I think (1) is the anomaly, and propose not to represent any IE appended to a frame as a field in that frame. This will simplify the text too, as there is no field to define (see example in proposed change).</w:t>
            </w:r>
          </w:p>
        </w:tc>
        <w:tc>
          <w:tcPr>
            <w:tcW w:w="3600" w:type="dxa"/>
          </w:tcPr>
          <w:p w14:paraId="0732C308"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Comment is general;  by way of example, and using Link Measurement Report frame, either</w:t>
            </w:r>
          </w:p>
          <w:p w14:paraId="4170C925" w14:textId="77777777" w:rsidR="00AE7C3B" w:rsidRPr="00AE7C3B" w:rsidRDefault="00AE7C3B" w:rsidP="00AE7C3B">
            <w:pPr>
              <w:rPr>
                <w:rFonts w:ascii="Arial" w:eastAsia="Times New Roman" w:hAnsi="Arial" w:cs="Arial"/>
                <w:color w:val="000000"/>
                <w:sz w:val="20"/>
                <w:lang w:val="en-US"/>
              </w:rPr>
            </w:pPr>
          </w:p>
          <w:p w14:paraId="1EE175F9"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Establish somewhere (e.g., P847L24) that everything is a field, and some fields include an element, (not in favor), or</w:t>
            </w:r>
          </w:p>
          <w:p w14:paraId="4A7789A7" w14:textId="77777777" w:rsidR="00AE7C3B" w:rsidRPr="00AE7C3B" w:rsidRDefault="00AE7C3B" w:rsidP="00AE7C3B">
            <w:pPr>
              <w:rPr>
                <w:rFonts w:ascii="Arial" w:eastAsia="Times New Roman" w:hAnsi="Arial" w:cs="Arial"/>
                <w:color w:val="000000"/>
                <w:sz w:val="20"/>
                <w:lang w:val="en-US"/>
              </w:rPr>
            </w:pPr>
          </w:p>
          <w:p w14:paraId="66E8AE59"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Preferably, indicate elements as just "elements" in all frame definitions, including those that are defined through a table (beacon, probe, association .., and they happen to follow this convention), and those without a table, e.g., Link Measurement Report.</w:t>
            </w:r>
          </w:p>
          <w:p w14:paraId="07756EA4" w14:textId="77777777" w:rsidR="00AE7C3B" w:rsidRPr="00AE7C3B" w:rsidRDefault="00AE7C3B" w:rsidP="00AE7C3B">
            <w:pPr>
              <w:rPr>
                <w:rFonts w:ascii="Arial" w:eastAsia="Times New Roman" w:hAnsi="Arial" w:cs="Arial"/>
                <w:color w:val="000000"/>
                <w:sz w:val="20"/>
                <w:lang w:val="en-US"/>
              </w:rPr>
            </w:pPr>
          </w:p>
          <w:p w14:paraId="68F49C01" w14:textId="3F22490B" w:rsidR="00AE7C3B" w:rsidRPr="00233EF1"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The second path generally simplifies the text; in the Link Measurement Report frame example, if adopting the second (and preferred) path, the last two boxes in Figure 9-844 would be named as "DMG Link Margin element (optional)" and "DMG Link Adaptation Acknowledgement element (optional)", and the last two paragraphs in section 9.6.6.5 will greatly simplify (if not go away).</w:t>
            </w:r>
          </w:p>
        </w:tc>
      </w:tr>
      <w:tr w:rsidR="00AE7C3B" w:rsidRPr="00DE7477" w14:paraId="185BA324" w14:textId="77777777" w:rsidTr="00DE7477">
        <w:trPr>
          <w:trHeight w:val="765"/>
        </w:trPr>
        <w:tc>
          <w:tcPr>
            <w:tcW w:w="738" w:type="dxa"/>
          </w:tcPr>
          <w:p w14:paraId="75047753" w14:textId="1843824C" w:rsidR="00AE7C3B"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4780</w:t>
            </w:r>
          </w:p>
        </w:tc>
        <w:tc>
          <w:tcPr>
            <w:tcW w:w="990" w:type="dxa"/>
          </w:tcPr>
          <w:p w14:paraId="47629540" w14:textId="0F8FCF7D" w:rsidR="00AE7C3B" w:rsidRPr="00233EF1"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288.1</w:t>
            </w:r>
          </w:p>
        </w:tc>
        <w:tc>
          <w:tcPr>
            <w:tcW w:w="1080" w:type="dxa"/>
          </w:tcPr>
          <w:p w14:paraId="2C0499E2" w14:textId="6DD00322" w:rsidR="00AE7C3B" w:rsidRPr="00233EF1" w:rsidRDefault="00AE7C3B" w:rsidP="00873D4A">
            <w:pPr>
              <w:rPr>
                <w:rFonts w:ascii="Arial" w:eastAsia="Times New Roman" w:hAnsi="Arial" w:cs="Arial"/>
                <w:color w:val="000000"/>
                <w:sz w:val="20"/>
                <w:lang w:val="en-US"/>
              </w:rPr>
            </w:pPr>
            <w:r>
              <w:rPr>
                <w:rFonts w:ascii="Arial" w:eastAsia="Times New Roman" w:hAnsi="Arial" w:cs="Arial"/>
                <w:color w:val="000000"/>
                <w:sz w:val="20"/>
                <w:lang w:val="en-US"/>
              </w:rPr>
              <w:t>4.10.2</w:t>
            </w:r>
          </w:p>
        </w:tc>
        <w:tc>
          <w:tcPr>
            <w:tcW w:w="3600" w:type="dxa"/>
          </w:tcPr>
          <w:p w14:paraId="47904094" w14:textId="17E43F32"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Most of the subclauses of 4.10 are way too detailed for clause 4.</w:t>
            </w:r>
          </w:p>
        </w:tc>
        <w:tc>
          <w:tcPr>
            <w:tcW w:w="3600" w:type="dxa"/>
          </w:tcPr>
          <w:p w14:paraId="073541C0" w14:textId="77777777" w:rsid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Move 4.10.2 through 4.10.8, to appear after 12.2.5 and before 12.2.6.</w:t>
            </w:r>
          </w:p>
          <w:p w14:paraId="193FE860" w14:textId="77777777" w:rsidR="00AE7C3B" w:rsidRDefault="00AE7C3B" w:rsidP="00AE7C3B">
            <w:pPr>
              <w:rPr>
                <w:rFonts w:ascii="Arial" w:eastAsia="Times New Roman" w:hAnsi="Arial" w:cs="Arial"/>
                <w:color w:val="000000"/>
                <w:sz w:val="20"/>
                <w:lang w:val="en-US"/>
              </w:rPr>
            </w:pPr>
          </w:p>
          <w:p w14:paraId="3DC2B8D4"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Submission Required</w:t>
            </w:r>
          </w:p>
          <w:p w14:paraId="72397EF2"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Leave 4.10.2, 4.10.6, 4.10.7, 4.10.8, and reduce the content in the others (by moving to clause 12).</w:t>
            </w:r>
          </w:p>
          <w:p w14:paraId="040A4091" w14:textId="22C7F344"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Otherwise: REJECTED. Similar to clause 4.9 which provides the reference model for the MAC and PHY, the referenced sub-clause describe how IEEE 802.1X authentication services are used with security and key management protocols in IEEE 802.11 to provide security. This clause describes the key components of the IEEE 802.11 security architecture and serves as a guide as to where requirements can be found in the remainder of the specification. These descriptions do not provide normative requirements so they should not be moved to clause 12.</w:t>
            </w:r>
          </w:p>
        </w:tc>
      </w:tr>
      <w:tr w:rsidR="00AE7C3B" w:rsidRPr="00DE7477" w14:paraId="2CAE7FD7" w14:textId="77777777" w:rsidTr="00DE7477">
        <w:trPr>
          <w:trHeight w:val="765"/>
        </w:trPr>
        <w:tc>
          <w:tcPr>
            <w:tcW w:w="738" w:type="dxa"/>
          </w:tcPr>
          <w:p w14:paraId="36DC5C07" w14:textId="52FFCE8E" w:rsidR="00AE7C3B"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4771</w:t>
            </w:r>
          </w:p>
        </w:tc>
        <w:tc>
          <w:tcPr>
            <w:tcW w:w="990" w:type="dxa"/>
          </w:tcPr>
          <w:p w14:paraId="3EC34126" w14:textId="5C1C5FE5" w:rsidR="00AE7C3B"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187.37</w:t>
            </w:r>
          </w:p>
        </w:tc>
        <w:tc>
          <w:tcPr>
            <w:tcW w:w="1080" w:type="dxa"/>
          </w:tcPr>
          <w:p w14:paraId="63A72904" w14:textId="709E01BD" w:rsidR="00AE7C3B" w:rsidRDefault="00AE7C3B" w:rsidP="00873D4A">
            <w:pPr>
              <w:rPr>
                <w:rFonts w:ascii="Arial" w:eastAsia="Times New Roman" w:hAnsi="Arial" w:cs="Arial"/>
                <w:color w:val="000000"/>
                <w:sz w:val="20"/>
                <w:lang w:val="en-US"/>
              </w:rPr>
            </w:pPr>
            <w:r>
              <w:rPr>
                <w:rFonts w:ascii="Arial" w:eastAsia="Times New Roman" w:hAnsi="Arial" w:cs="Arial"/>
                <w:color w:val="000000"/>
                <w:sz w:val="20"/>
                <w:lang w:val="en-US"/>
              </w:rPr>
              <w:t>3.2</w:t>
            </w:r>
          </w:p>
        </w:tc>
        <w:tc>
          <w:tcPr>
            <w:tcW w:w="3600" w:type="dxa"/>
          </w:tcPr>
          <w:p w14:paraId="1EDD72F8" w14:textId="169739AB"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After the first senence, this NOTE no longer seems necessary/useful in the Definitions, and further, seems to be mostly talking about MSDUs and A-MSDUs, not MMPDUs.</w:t>
            </w:r>
          </w:p>
        </w:tc>
        <w:tc>
          <w:tcPr>
            <w:tcW w:w="3600" w:type="dxa"/>
          </w:tcPr>
          <w:p w14:paraId="309058E1" w14:textId="4D113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Confirm this material is stated in normative text, and delete it from here.  (Or move it somewhere normative, if it is missing.)</w:t>
            </w:r>
          </w:p>
        </w:tc>
      </w:tr>
      <w:tr w:rsidR="00503BFC" w:rsidRPr="00DE7477" w14:paraId="79F72C8E" w14:textId="77777777" w:rsidTr="00DE7477">
        <w:trPr>
          <w:trHeight w:val="765"/>
        </w:trPr>
        <w:tc>
          <w:tcPr>
            <w:tcW w:w="738" w:type="dxa"/>
          </w:tcPr>
          <w:p w14:paraId="0E12E31A" w14:textId="0093B4FA" w:rsidR="00503BFC" w:rsidRDefault="00503BFC"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4419</w:t>
            </w:r>
          </w:p>
        </w:tc>
        <w:tc>
          <w:tcPr>
            <w:tcW w:w="990" w:type="dxa"/>
          </w:tcPr>
          <w:p w14:paraId="059F2369" w14:textId="135A857E" w:rsidR="00503BFC" w:rsidRDefault="00503BFC"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165.21</w:t>
            </w:r>
          </w:p>
        </w:tc>
        <w:tc>
          <w:tcPr>
            <w:tcW w:w="1080" w:type="dxa"/>
          </w:tcPr>
          <w:p w14:paraId="451E17C9" w14:textId="7DDAC841" w:rsidR="00503BFC" w:rsidRDefault="00503BFC" w:rsidP="00873D4A">
            <w:pPr>
              <w:rPr>
                <w:rFonts w:ascii="Arial" w:eastAsia="Times New Roman" w:hAnsi="Arial" w:cs="Arial"/>
                <w:color w:val="000000"/>
                <w:sz w:val="20"/>
                <w:lang w:val="en-US"/>
              </w:rPr>
            </w:pPr>
            <w:r>
              <w:rPr>
                <w:rFonts w:ascii="Arial" w:eastAsia="Times New Roman" w:hAnsi="Arial" w:cs="Arial"/>
                <w:color w:val="000000"/>
                <w:sz w:val="20"/>
                <w:lang w:val="en-US"/>
              </w:rPr>
              <w:t>3.1</w:t>
            </w:r>
          </w:p>
        </w:tc>
        <w:tc>
          <w:tcPr>
            <w:tcW w:w="3600" w:type="dxa"/>
          </w:tcPr>
          <w:p w14:paraId="2E834D0B" w14:textId="784AAD45" w:rsidR="00503BFC" w:rsidRPr="00421B3E" w:rsidRDefault="00503BFC" w:rsidP="00421B3E">
            <w:pPr>
              <w:rPr>
                <w:rFonts w:ascii="Arial" w:eastAsia="Times New Roman" w:hAnsi="Arial" w:cs="Arial"/>
                <w:color w:val="000000"/>
                <w:sz w:val="20"/>
                <w:lang w:val="en-US"/>
              </w:rPr>
            </w:pPr>
            <w:r w:rsidRPr="00503BFC">
              <w:rPr>
                <w:rFonts w:ascii="Arial" w:eastAsia="Times New Roman" w:hAnsi="Arial" w:cs="Arial"/>
                <w:color w:val="000000"/>
                <w:sz w:val="20"/>
                <w:lang w:val="en-US"/>
              </w:rPr>
              <w:t>(CID 2488 follow-up) The "mesh STA" definition suggests a STA that implements mesh but is currently operating in an IBSS or infrastructure BSS or PBSS is a "mesh STA".  I suspect that's not how "mesh STA" is actually used; rather, it's actually used to mean "is starting/joining or has started/joined an MBSS".  However, 4.3.21.4 says "Accordingly, a mesh STA is not a member of an IBSS or an infrastructure BSS.", which prima facie contradicts the definition</w:t>
            </w:r>
          </w:p>
        </w:tc>
        <w:tc>
          <w:tcPr>
            <w:tcW w:w="3600" w:type="dxa"/>
          </w:tcPr>
          <w:p w14:paraId="51E7B65C" w14:textId="77777777" w:rsidR="00503BFC" w:rsidRDefault="00503BFC" w:rsidP="00421B3E">
            <w:pPr>
              <w:rPr>
                <w:rFonts w:ascii="Arial" w:eastAsia="Times New Roman" w:hAnsi="Arial" w:cs="Arial"/>
                <w:color w:val="000000"/>
                <w:sz w:val="20"/>
                <w:lang w:val="en-US"/>
              </w:rPr>
            </w:pPr>
            <w:r w:rsidRPr="00503BFC">
              <w:rPr>
                <w:rFonts w:ascii="Arial" w:eastAsia="Times New Roman" w:hAnsi="Arial" w:cs="Arial"/>
                <w:color w:val="000000"/>
                <w:sz w:val="20"/>
                <w:lang w:val="en-US"/>
              </w:rPr>
              <w:t>Change the definition of mesh STA to "A quality-of-service (QoS) STA that is starting or joining, or has started or joined, a mesh  basic  service  set (MBSS)."</w:t>
            </w:r>
          </w:p>
          <w:p w14:paraId="60B533C1" w14:textId="77777777" w:rsidR="00503BFC" w:rsidRDefault="00503BFC" w:rsidP="00421B3E">
            <w:pPr>
              <w:rPr>
                <w:rFonts w:ascii="Arial" w:eastAsia="Times New Roman" w:hAnsi="Arial" w:cs="Arial"/>
                <w:color w:val="000000"/>
                <w:sz w:val="20"/>
                <w:lang w:val="en-US"/>
              </w:rPr>
            </w:pPr>
          </w:p>
          <w:p w14:paraId="70731734" w14:textId="77777777" w:rsidR="00503BFC" w:rsidRDefault="00503BFC" w:rsidP="00421B3E">
            <w:pPr>
              <w:rPr>
                <w:rFonts w:ascii="Arial" w:eastAsia="Times New Roman" w:hAnsi="Arial" w:cs="Arial"/>
                <w:color w:val="000000"/>
                <w:sz w:val="20"/>
                <w:lang w:val="en-US"/>
              </w:rPr>
            </w:pPr>
            <w:r>
              <w:rPr>
                <w:rFonts w:ascii="Arial" w:eastAsia="Times New Roman" w:hAnsi="Arial" w:cs="Arial"/>
                <w:color w:val="000000"/>
                <w:sz w:val="20"/>
                <w:lang w:val="en-US"/>
              </w:rPr>
              <w:t>Ad hoc notes:</w:t>
            </w:r>
          </w:p>
          <w:p w14:paraId="104AD665"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GEN: 2020-04-29 21:48:37Z - status set to: Submission Required - Mark Hamilton will bring proposed resoution or rejection words.</w:t>
            </w:r>
          </w:p>
          <w:p w14:paraId="220F8974"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GEN: 2020-04-29 21:44:47Z - discussion: We chose to think of an instance of a STA as the current state, configuration, etc. of the implementation.  If the STA "stops" and "restarts" with a differnt set of capabilities, configuration, etc., that is a new instance (by our convention).  It is the instance that "implements" something - not the image on disk/ROM/etc.</w:t>
            </w:r>
          </w:p>
          <w:p w14:paraId="4918F9C9" w14:textId="77777777" w:rsidR="00503BFC" w:rsidRPr="00503BFC" w:rsidRDefault="00503BFC" w:rsidP="00503BFC">
            <w:pPr>
              <w:rPr>
                <w:rFonts w:ascii="Arial" w:eastAsia="Times New Roman" w:hAnsi="Arial" w:cs="Arial"/>
                <w:color w:val="000000"/>
                <w:sz w:val="20"/>
                <w:lang w:val="en-US"/>
              </w:rPr>
            </w:pPr>
          </w:p>
          <w:p w14:paraId="5E337B45"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Proposed rejection #2: The CID was discussed at length and no consensus was determined.</w:t>
            </w:r>
          </w:p>
          <w:p w14:paraId="780CEB71" w14:textId="77777777" w:rsidR="00503BFC" w:rsidRPr="00503BFC" w:rsidRDefault="00503BFC" w:rsidP="00503BFC">
            <w:pPr>
              <w:rPr>
                <w:rFonts w:ascii="Arial" w:eastAsia="Times New Roman" w:hAnsi="Arial" w:cs="Arial"/>
                <w:color w:val="000000"/>
                <w:sz w:val="20"/>
                <w:lang w:val="en-US"/>
              </w:rPr>
            </w:pPr>
          </w:p>
          <w:p w14:paraId="22B1450A"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 xml:space="preserve">GEN: 2020-04-24 14:41:10Z - Proposed Rejection </w:t>
            </w:r>
          </w:p>
          <w:p w14:paraId="05B25532"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Proposed Resolution: Reject; A Mesh STA is a Mesh STA even before it starts or join. A Mesh STA can</w:t>
            </w:r>
          </w:p>
          <w:p w14:paraId="257B1A5C"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start discovery procedures. There is a general convention to describe a STA that implements or</w:t>
            </w:r>
          </w:p>
          <w:p w14:paraId="7EAF01ED"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activates. The wording of this definition is consistent with other STA definitions.</w:t>
            </w:r>
          </w:p>
          <w:p w14:paraId="1AE9DE61" w14:textId="77777777" w:rsidR="00503BFC" w:rsidRPr="00503BFC" w:rsidRDefault="00503BFC" w:rsidP="00503BFC">
            <w:pPr>
              <w:rPr>
                <w:rFonts w:ascii="Arial" w:eastAsia="Times New Roman" w:hAnsi="Arial" w:cs="Arial"/>
                <w:color w:val="000000"/>
                <w:sz w:val="20"/>
                <w:lang w:val="en-US"/>
              </w:rPr>
            </w:pPr>
          </w:p>
          <w:p w14:paraId="1904FDB1"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GEN: 2020-04-15 22:01:54Z - more discussion needed.</w:t>
            </w:r>
          </w:p>
          <w:p w14:paraId="6F852998"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GEN: 2020-03-29 02:17:49Z - status set to: Review</w:t>
            </w:r>
          </w:p>
          <w:p w14:paraId="7E2F5C5C" w14:textId="62999232" w:rsidR="00503BFC" w:rsidRPr="00421B3E"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Proposed resoution: Accept</w:t>
            </w:r>
          </w:p>
        </w:tc>
      </w:tr>
      <w:tr w:rsidR="00C64A9B" w:rsidRPr="00DE7477" w14:paraId="6B5DB492" w14:textId="77777777" w:rsidTr="00DE7477">
        <w:trPr>
          <w:trHeight w:val="765"/>
        </w:trPr>
        <w:tc>
          <w:tcPr>
            <w:tcW w:w="738" w:type="dxa"/>
          </w:tcPr>
          <w:p w14:paraId="7117869E" w14:textId="51793587" w:rsidR="00C64A9B" w:rsidRDefault="00C64A9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4380</w:t>
            </w:r>
          </w:p>
        </w:tc>
        <w:tc>
          <w:tcPr>
            <w:tcW w:w="990" w:type="dxa"/>
          </w:tcPr>
          <w:p w14:paraId="2E944127" w14:textId="63E8B75E" w:rsidR="00C64A9B" w:rsidRDefault="00C64A9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457.18</w:t>
            </w:r>
          </w:p>
        </w:tc>
        <w:tc>
          <w:tcPr>
            <w:tcW w:w="1080" w:type="dxa"/>
          </w:tcPr>
          <w:p w14:paraId="0894426C" w14:textId="7BA56E9D" w:rsidR="00C64A9B" w:rsidRDefault="00C64A9B" w:rsidP="00873D4A">
            <w:pPr>
              <w:rPr>
                <w:rFonts w:ascii="Arial" w:eastAsia="Times New Roman" w:hAnsi="Arial" w:cs="Arial"/>
                <w:color w:val="000000"/>
                <w:sz w:val="20"/>
                <w:lang w:val="en-US"/>
              </w:rPr>
            </w:pPr>
            <w:r>
              <w:rPr>
                <w:rFonts w:ascii="Arial" w:eastAsia="Times New Roman" w:hAnsi="Arial" w:cs="Arial"/>
                <w:color w:val="000000"/>
                <w:sz w:val="20"/>
                <w:lang w:val="en-US"/>
              </w:rPr>
              <w:t>6.3.31.2.2</w:t>
            </w:r>
          </w:p>
        </w:tc>
        <w:tc>
          <w:tcPr>
            <w:tcW w:w="3600" w:type="dxa"/>
          </w:tcPr>
          <w:p w14:paraId="27B64E67"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"Set of Neighbor</w:t>
            </w:r>
          </w:p>
          <w:p w14:paraId="17EA9A3D"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List elements</w:t>
            </w:r>
          </w:p>
          <w:p w14:paraId="1E2BE151"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each as defined</w:t>
            </w:r>
          </w:p>
          <w:p w14:paraId="146F9B06"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in the Neighbor</w:t>
            </w:r>
          </w:p>
          <w:p w14:paraId="189AEA4E"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Report element</w:t>
            </w:r>
          </w:p>
          <w:p w14:paraId="3AC4E720" w14:textId="0A1B83DD" w:rsidR="00C64A9B" w:rsidRPr="00503BFC"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format" -- no such element (in the Neighbor Report element or otherwise)</w:t>
            </w:r>
          </w:p>
        </w:tc>
        <w:tc>
          <w:tcPr>
            <w:tcW w:w="3600" w:type="dxa"/>
          </w:tcPr>
          <w:p w14:paraId="5BC9F77E"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Delete the referenced table row; also in the table in 6.3.31.3.2.  Delete "The neighbor report contents are derived from</w:t>
            </w:r>
          </w:p>
          <w:p w14:paraId="6E2895A1"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the NeighborListSet parameter of the MLME-NEIGHBORREPRESP.request primitive." in 11.10.10.1 and "The  Reduced  Neighbor  Report  element</w:t>
            </w:r>
          </w:p>
          <w:p w14:paraId="2601412B"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contents may be derived from the NeighborListSet parameter of the MLME-NEIGHBORREPRESP.request</w:t>
            </w:r>
          </w:p>
          <w:p w14:paraId="69529AA3" w14:textId="77777777" w:rsid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primitive." in 11.50 and "The Neighbor Report Response frame includes a list Neighbor Report elements one for each neighbor." in 11.10.10.3</w:t>
            </w:r>
          </w:p>
          <w:p w14:paraId="1545ED87" w14:textId="77777777" w:rsidR="00C64A9B" w:rsidRDefault="00C64A9B" w:rsidP="00C64A9B">
            <w:pPr>
              <w:rPr>
                <w:rFonts w:ascii="Arial" w:eastAsia="Times New Roman" w:hAnsi="Arial" w:cs="Arial"/>
                <w:color w:val="000000"/>
                <w:sz w:val="20"/>
                <w:lang w:val="en-US"/>
              </w:rPr>
            </w:pPr>
          </w:p>
          <w:p w14:paraId="41DFBFEE" w14:textId="77777777" w:rsid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MAC: 2020-03-19 01:34:08Z - status set to: Submission Required</w:t>
            </w:r>
          </w:p>
          <w:p w14:paraId="179616F1" w14:textId="77777777" w:rsidR="00620F09" w:rsidRDefault="00620F09" w:rsidP="00C64A9B">
            <w:pPr>
              <w:rPr>
                <w:rFonts w:ascii="Arial" w:eastAsia="Times New Roman" w:hAnsi="Arial" w:cs="Arial"/>
                <w:color w:val="000000"/>
                <w:sz w:val="20"/>
                <w:lang w:val="en-US"/>
              </w:rPr>
            </w:pPr>
          </w:p>
          <w:p w14:paraId="2EE391D0" w14:textId="1F362631" w:rsidR="00620F09" w:rsidRPr="00503BFC" w:rsidRDefault="00620F09" w:rsidP="00C64A9B">
            <w:pPr>
              <w:rPr>
                <w:rFonts w:ascii="Arial" w:eastAsia="Times New Roman" w:hAnsi="Arial" w:cs="Arial"/>
                <w:color w:val="000000"/>
                <w:sz w:val="20"/>
                <w:lang w:val="en-US"/>
              </w:rPr>
            </w:pPr>
            <w:r>
              <w:rPr>
                <w:rFonts w:ascii="Arial" w:eastAsia="Times New Roman" w:hAnsi="Arial" w:cs="Arial"/>
                <w:color w:val="000000"/>
                <w:sz w:val="20"/>
                <w:lang w:val="en-US"/>
              </w:rPr>
              <w:t>See CID 4585 in this file.</w:t>
            </w:r>
          </w:p>
        </w:tc>
      </w:tr>
    </w:tbl>
    <w:p w14:paraId="0ABD2CF2" w14:textId="4990F518" w:rsidR="00C45154" w:rsidRDefault="00C45154" w:rsidP="008A162E"/>
    <w:p w14:paraId="251F9419" w14:textId="77777777" w:rsidR="00C45154" w:rsidRDefault="00C45154">
      <w:r>
        <w:br w:type="page"/>
      </w:r>
    </w:p>
    <w:p w14:paraId="0EF81B4E" w14:textId="77777777" w:rsidR="00067CE1" w:rsidRPr="00067CE1" w:rsidRDefault="00067CE1" w:rsidP="008A162E"/>
    <w:p w14:paraId="01A6EB8F" w14:textId="167118B7" w:rsidR="00BA31EC" w:rsidRPr="004A4E87" w:rsidRDefault="00BA31EC" w:rsidP="00BA31EC">
      <w:pPr>
        <w:rPr>
          <w:b/>
          <w:sz w:val="40"/>
        </w:rPr>
      </w:pPr>
      <w:r>
        <w:rPr>
          <w:b/>
          <w:sz w:val="40"/>
        </w:rPr>
        <w:t>Completed</w:t>
      </w:r>
      <w:r w:rsidRPr="004A4E87">
        <w:rPr>
          <w:b/>
          <w:sz w:val="40"/>
        </w:rPr>
        <w:t>:</w:t>
      </w:r>
    </w:p>
    <w:p w14:paraId="7BA77482" w14:textId="2A32C507" w:rsidR="00BA31EC" w:rsidRDefault="00BA31EC" w:rsidP="00BA31EC"/>
    <w:p w14:paraId="153577D3" w14:textId="77777777" w:rsidR="002C154C" w:rsidRDefault="002C154C" w:rsidP="002C154C">
      <w:pPr>
        <w:rPr>
          <w:b/>
          <w:sz w:val="28"/>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EF4029F"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F42882F"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66F453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5BE6C0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54217F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39D272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9F2EAD9" w14:textId="77777777" w:rsidTr="00AE7C3B">
        <w:trPr>
          <w:trHeight w:val="1530"/>
        </w:trPr>
        <w:tc>
          <w:tcPr>
            <w:tcW w:w="738" w:type="dxa"/>
            <w:hideMark/>
          </w:tcPr>
          <w:p w14:paraId="5215667A"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4553</w:t>
            </w:r>
          </w:p>
        </w:tc>
        <w:tc>
          <w:tcPr>
            <w:tcW w:w="990" w:type="dxa"/>
            <w:hideMark/>
          </w:tcPr>
          <w:p w14:paraId="1A09328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rPr>
              <w:t>1748.00</w:t>
            </w:r>
          </w:p>
        </w:tc>
        <w:tc>
          <w:tcPr>
            <w:tcW w:w="1080" w:type="dxa"/>
            <w:hideMark/>
          </w:tcPr>
          <w:p w14:paraId="6DE5626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10.3.2.12</w:t>
            </w:r>
          </w:p>
        </w:tc>
        <w:tc>
          <w:tcPr>
            <w:tcW w:w="3600" w:type="dxa"/>
            <w:hideMark/>
          </w:tcPr>
          <w:p w14:paraId="13FDDE9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fragment  BA  procedure  described  in  this  subclause" -- there is no other fragment BA procedure than the one in this subclause</w:t>
            </w:r>
          </w:p>
        </w:tc>
        <w:tc>
          <w:tcPr>
            <w:tcW w:w="3600" w:type="dxa"/>
            <w:hideMark/>
          </w:tcPr>
          <w:p w14:paraId="0D503AF8"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  described  in  this  subclause" (3x)</w:t>
            </w:r>
          </w:p>
        </w:tc>
      </w:tr>
    </w:tbl>
    <w:p w14:paraId="57286DDB" w14:textId="77777777" w:rsidR="002C154C" w:rsidRDefault="002C154C" w:rsidP="002C154C"/>
    <w:p w14:paraId="450B6165" w14:textId="77777777" w:rsidR="002C154C" w:rsidRDefault="002C154C" w:rsidP="002C154C">
      <w:r>
        <w:rPr>
          <w:u w:val="single"/>
        </w:rPr>
        <w:t>Discussion:</w:t>
      </w:r>
    </w:p>
    <w:p w14:paraId="60A43CAD" w14:textId="77777777" w:rsidR="002C154C" w:rsidRPr="003A5BE3" w:rsidRDefault="002C154C" w:rsidP="002C154C"/>
    <w:p w14:paraId="17B8A2A6"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mc:AlternateContent>
          <mc:Choice Requires="wpi">
            <w:drawing>
              <wp:anchor distT="0" distB="0" distL="114300" distR="114300" simplePos="0" relativeHeight="251673600" behindDoc="0" locked="0" layoutInCell="1" allowOverlap="1" wp14:anchorId="2EE1ACBE" wp14:editId="22ACD36F">
                <wp:simplePos x="0" y="0"/>
                <wp:positionH relativeFrom="column">
                  <wp:posOffset>4184647</wp:posOffset>
                </wp:positionH>
                <wp:positionV relativeFrom="paragraph">
                  <wp:posOffset>2199334</wp:posOffset>
                </wp:positionV>
                <wp:extent cx="1300320" cy="49680"/>
                <wp:effectExtent l="95250" t="133350" r="109855" b="160020"/>
                <wp:wrapNone/>
                <wp:docPr id="283" name="Ink 283"/>
                <wp:cNvGraphicFramePr/>
                <a:graphic xmlns:a="http://schemas.openxmlformats.org/drawingml/2006/main">
                  <a:graphicData uri="http://schemas.microsoft.com/office/word/2010/wordprocessingInk">
                    <w14:contentPart bwMode="auto" r:id="rId32">
                      <w14:nvContentPartPr>
                        <w14:cNvContentPartPr/>
                      </w14:nvContentPartPr>
                      <w14:xfrm>
                        <a:off x="0" y="0"/>
                        <a:ext cx="1300320" cy="49680"/>
                      </w14:xfrm>
                    </w14:contentPart>
                  </a:graphicData>
                </a:graphic>
              </wp:anchor>
            </w:drawing>
          </mc:Choice>
          <mc:Fallback>
            <w:pict>
              <v:shape w14:anchorId="6D517E99" id="Ink 283" o:spid="_x0000_s1026" type="#_x0000_t75" style="position:absolute;margin-left:325.25pt;margin-top:164.7pt;width:110.9pt;height:20.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">
                <v:imagedata r:id="rId33"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2576" behindDoc="0" locked="0" layoutInCell="1" allowOverlap="1" wp14:anchorId="5B381E11" wp14:editId="12E65CBA">
                <wp:simplePos x="0" y="0"/>
                <wp:positionH relativeFrom="column">
                  <wp:posOffset>443887</wp:posOffset>
                </wp:positionH>
                <wp:positionV relativeFrom="paragraph">
                  <wp:posOffset>2196094</wp:posOffset>
                </wp:positionV>
                <wp:extent cx="682560" cy="33840"/>
                <wp:effectExtent l="95250" t="152400" r="99060" b="156845"/>
                <wp:wrapNone/>
                <wp:docPr id="282" name="Ink 282"/>
                <wp:cNvGraphicFramePr/>
                <a:graphic xmlns:a="http://schemas.openxmlformats.org/drawingml/2006/main">
                  <a:graphicData uri="http://schemas.microsoft.com/office/word/2010/wordprocessingInk">
                    <w14:contentPart bwMode="auto" r:id="rId34">
                      <w14:nvContentPartPr>
                        <w14:cNvContentPartPr/>
                      </w14:nvContentPartPr>
                      <w14:xfrm>
                        <a:off x="0" y="0"/>
                        <a:ext cx="682560" cy="33840"/>
                      </w14:xfrm>
                    </w14:contentPart>
                  </a:graphicData>
                </a:graphic>
              </wp:anchor>
            </w:drawing>
          </mc:Choice>
          <mc:Fallback>
            <w:pict>
              <v:shape w14:anchorId="20D56118" id="Ink 282" o:spid="_x0000_s1026" type="#_x0000_t75" style="position:absolute;margin-left:30.7pt;margin-top:164.4pt;width:62.25pt;height:19.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">
                <v:imagedata r:id="rId35"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1552" behindDoc="0" locked="0" layoutInCell="1" allowOverlap="1" wp14:anchorId="2A800A49" wp14:editId="0D176DA3">
                <wp:simplePos x="0" y="0"/>
                <wp:positionH relativeFrom="column">
                  <wp:posOffset>5336647</wp:posOffset>
                </wp:positionH>
                <wp:positionV relativeFrom="paragraph">
                  <wp:posOffset>2060734</wp:posOffset>
                </wp:positionV>
                <wp:extent cx="573480" cy="9000"/>
                <wp:effectExtent l="95250" t="152400" r="112395" b="162560"/>
                <wp:wrapNone/>
                <wp:docPr id="281" name="Ink 281"/>
                <wp:cNvGraphicFramePr/>
                <a:graphic xmlns:a="http://schemas.openxmlformats.org/drawingml/2006/main">
                  <a:graphicData uri="http://schemas.microsoft.com/office/word/2010/wordprocessingInk">
                    <w14:contentPart bwMode="auto" r:id="rId36">
                      <w14:nvContentPartPr>
                        <w14:cNvContentPartPr/>
                      </w14:nvContentPartPr>
                      <w14:xfrm>
                        <a:off x="0" y="0"/>
                        <a:ext cx="573480" cy="9000"/>
                      </w14:xfrm>
                    </w14:contentPart>
                  </a:graphicData>
                </a:graphic>
              </wp:anchor>
            </w:drawing>
          </mc:Choice>
          <mc:Fallback>
            <w:pict>
              <v:shape w14:anchorId="671289E0" id="Ink 281" o:spid="_x0000_s1026" type="#_x0000_t75" style="position:absolute;margin-left:415.95pt;margin-top:153.75pt;width:53.65pt;height:17.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">
                <v:imagedata r:id="rId37"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0528" behindDoc="0" locked="0" layoutInCell="1" allowOverlap="1" wp14:anchorId="56D5B4E5" wp14:editId="5F89953F">
                <wp:simplePos x="0" y="0"/>
                <wp:positionH relativeFrom="column">
                  <wp:posOffset>2783527</wp:posOffset>
                </wp:positionH>
                <wp:positionV relativeFrom="paragraph">
                  <wp:posOffset>1724134</wp:posOffset>
                </wp:positionV>
                <wp:extent cx="1408680" cy="55440"/>
                <wp:effectExtent l="57150" t="133350" r="115570" b="173355"/>
                <wp:wrapNone/>
                <wp:docPr id="280" name="Ink 280"/>
                <wp:cNvGraphicFramePr/>
                <a:graphic xmlns:a="http://schemas.openxmlformats.org/drawingml/2006/main">
                  <a:graphicData uri="http://schemas.microsoft.com/office/word/2010/wordprocessingInk">
                    <w14:contentPart bwMode="auto" r:id="rId38">
                      <w14:nvContentPartPr>
                        <w14:cNvContentPartPr/>
                      </w14:nvContentPartPr>
                      <w14:xfrm>
                        <a:off x="0" y="0"/>
                        <a:ext cx="1408680" cy="55440"/>
                      </w14:xfrm>
                    </w14:contentPart>
                  </a:graphicData>
                </a:graphic>
              </wp:anchor>
            </w:drawing>
          </mc:Choice>
          <mc:Fallback>
            <w:pict>
              <v:shape w14:anchorId="240C5508" id="Ink 280" o:spid="_x0000_s1026" type="#_x0000_t75" style="position:absolute;margin-left:214.95pt;margin-top:127.25pt;width:119.4pt;height:21.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">
                <v:imagedata r:id="rId39" o:title=""/>
              </v:shape>
            </w:pict>
          </mc:Fallback>
        </mc:AlternateContent>
      </w:r>
      <w:r w:rsidRPr="001B6ECF">
        <w:rPr>
          <w:bCs/>
          <w:noProof/>
          <w:szCs w:val="22"/>
          <w:bdr w:val="single" w:sz="8" w:space="0" w:color="auto" w:shadow="1"/>
        </w:rPr>
        <w:drawing>
          <wp:inline distT="0" distB="0" distL="0" distR="0" wp14:anchorId="3C2F8CD8" wp14:editId="073B1715">
            <wp:extent cx="6009005" cy="23336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9005" cy="2333625"/>
                    </a:xfrm>
                    <a:prstGeom prst="rect">
                      <a:avLst/>
                    </a:prstGeom>
                    <a:noFill/>
                    <a:ln>
                      <a:noFill/>
                    </a:ln>
                  </pic:spPr>
                </pic:pic>
              </a:graphicData>
            </a:graphic>
          </wp:inline>
        </w:drawing>
      </w:r>
    </w:p>
    <w:p w14:paraId="21448011" w14:textId="77777777" w:rsidR="002C154C" w:rsidRDefault="002C154C" w:rsidP="002C154C"/>
    <w:p w14:paraId="5BF1C3C5" w14:textId="77777777" w:rsidR="002C154C" w:rsidRDefault="002C154C" w:rsidP="002C154C">
      <w:r>
        <w:t xml:space="preserve">Arguably, it is helpful to be very clear that an S1G STA uses the procedure described in this subclause, and not the procedure described in 10.4, given the mention of partitioning MSDUs/MMPDUs per 10.4 in the prior paragraph.  </w:t>
      </w:r>
    </w:p>
    <w:p w14:paraId="64F0543A" w14:textId="77777777" w:rsidR="002C154C" w:rsidRDefault="002C154C" w:rsidP="002C154C"/>
    <w:p w14:paraId="72DC11FB" w14:textId="77777777" w:rsidR="002C154C" w:rsidRDefault="002C154C" w:rsidP="002C154C">
      <w:r>
        <w:t>“described in this subclause” could perhaps be parenthetical “(described in this subclause)” since saying “shall use the fragment BA procedure” is a complete specification.  However, this is not the usual style in the Draft.  The repetition of this information three times is excessive, however.</w:t>
      </w:r>
    </w:p>
    <w:p w14:paraId="7FAAAD03" w14:textId="77777777" w:rsidR="002C154C" w:rsidRDefault="002C154C" w:rsidP="002C154C"/>
    <w:p w14:paraId="51BC3C68" w14:textId="77777777" w:rsidR="002C154C" w:rsidRDefault="002C154C" w:rsidP="002C154C">
      <w:r w:rsidRPr="003D2E47">
        <w:rPr>
          <w:highlight w:val="green"/>
          <w:u w:val="single"/>
        </w:rPr>
        <w:t>Proposed Resolution:</w:t>
      </w:r>
    </w:p>
    <w:p w14:paraId="3D664669" w14:textId="77777777" w:rsidR="002C154C" w:rsidRDefault="002C154C" w:rsidP="002C154C"/>
    <w:p w14:paraId="17A801D0" w14:textId="77777777" w:rsidR="002C154C" w:rsidRDefault="002C154C" w:rsidP="002C154C">
      <w:r>
        <w:t>Revised.</w:t>
      </w:r>
    </w:p>
    <w:p w14:paraId="235A4FF9" w14:textId="77777777" w:rsidR="002C154C" w:rsidRDefault="002C154C" w:rsidP="002C154C"/>
    <w:p w14:paraId="5ABABAE7" w14:textId="77777777" w:rsidR="002C154C" w:rsidRDefault="002C154C" w:rsidP="002C154C">
      <w:r>
        <w:t xml:space="preserve">At P1748.17, delete “described in this subclause”.  Same thing at P1748.18.  </w:t>
      </w:r>
    </w:p>
    <w:p w14:paraId="48A119A4" w14:textId="77777777" w:rsidR="002C154C" w:rsidRDefault="002C154C" w:rsidP="002C154C"/>
    <w:p w14:paraId="67618DBB" w14:textId="77777777" w:rsidR="002C154C" w:rsidRDefault="002C154C" w:rsidP="002C154C">
      <w:r w:rsidRPr="002C154C">
        <w:t>At P1748.14, change “described in this subclause” to “, as described in this subclause,”.  At line 13, replace “sending frames” with “sending an MSDU or MMPDU (whether fragmented or not)”</w:t>
      </w:r>
    </w:p>
    <w:p w14:paraId="24872104" w14:textId="77777777" w:rsidR="002C154C" w:rsidRPr="003A5BE3" w:rsidRDefault="002C154C" w:rsidP="002C154C">
      <w:pPr>
        <w:rPr>
          <w:u w:val="single"/>
        </w:rPr>
      </w:pPr>
    </w:p>
    <w:p w14:paraId="6F0A6760" w14:textId="77777777" w:rsidR="002C154C" w:rsidRDefault="002C154C" w:rsidP="002C154C">
      <w:r>
        <w:br w:type="page"/>
      </w:r>
    </w:p>
    <w:p w14:paraId="7D2CAE4E"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41B040FC"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627DDD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2769CE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B6D55C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C809EA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D53C4C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C60F04B" w14:textId="77777777" w:rsidTr="00AE7C3B">
        <w:trPr>
          <w:trHeight w:val="1530"/>
        </w:trPr>
        <w:tc>
          <w:tcPr>
            <w:tcW w:w="738" w:type="dxa"/>
            <w:hideMark/>
          </w:tcPr>
          <w:p w14:paraId="21B9DCCA"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4809</w:t>
            </w:r>
          </w:p>
        </w:tc>
        <w:tc>
          <w:tcPr>
            <w:tcW w:w="990" w:type="dxa"/>
            <w:hideMark/>
          </w:tcPr>
          <w:p w14:paraId="7257F1A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rPr>
              <w:t>1589.40</w:t>
            </w:r>
          </w:p>
        </w:tc>
        <w:tc>
          <w:tcPr>
            <w:tcW w:w="1080" w:type="dxa"/>
            <w:hideMark/>
          </w:tcPr>
          <w:p w14:paraId="32DF277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9.6.12.3</w:t>
            </w:r>
          </w:p>
        </w:tc>
        <w:tc>
          <w:tcPr>
            <w:tcW w:w="3600" w:type="dxa"/>
            <w:hideMark/>
          </w:tcPr>
          <w:p w14:paraId="35FA64F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6 occurrences of "in response to a received", to be simpler and match the majority language in the draft.</w:t>
            </w:r>
          </w:p>
        </w:tc>
        <w:tc>
          <w:tcPr>
            <w:tcW w:w="3600" w:type="dxa"/>
            <w:hideMark/>
          </w:tcPr>
          <w:p w14:paraId="6201067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"received" (and change "a" to "an" as appropriate) at P1589L40, P1590L53, P1592L56, P2180L1, P2482L30, and P2482L39.</w:t>
            </w:r>
          </w:p>
        </w:tc>
      </w:tr>
    </w:tbl>
    <w:p w14:paraId="0DEF65E2" w14:textId="77777777" w:rsidR="002C154C" w:rsidRDefault="002C154C" w:rsidP="002C154C"/>
    <w:p w14:paraId="34245383" w14:textId="77777777" w:rsidR="002C154C" w:rsidRDefault="002C154C" w:rsidP="002C154C">
      <w:r>
        <w:rPr>
          <w:u w:val="single"/>
        </w:rPr>
        <w:t>Discussion:</w:t>
      </w:r>
    </w:p>
    <w:p w14:paraId="70A49C35" w14:textId="77777777" w:rsidR="002C154C" w:rsidRDefault="002C154C" w:rsidP="002C154C"/>
    <w:p w14:paraId="7609925D"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0F14797" wp14:editId="43541FDB">
            <wp:extent cx="6009005" cy="659130"/>
            <wp:effectExtent l="0" t="0" r="0" b="762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9005" cy="659130"/>
                    </a:xfrm>
                    <a:prstGeom prst="rect">
                      <a:avLst/>
                    </a:prstGeom>
                    <a:noFill/>
                    <a:ln>
                      <a:noFill/>
                    </a:ln>
                  </pic:spPr>
                </pic:pic>
              </a:graphicData>
            </a:graphic>
          </wp:inline>
        </w:drawing>
      </w:r>
    </w:p>
    <w:p w14:paraId="6840F664" w14:textId="77777777" w:rsidR="002C154C" w:rsidRDefault="002C154C" w:rsidP="002C154C"/>
    <w:p w14:paraId="1F3936DE" w14:textId="77777777" w:rsidR="002C154C" w:rsidRDefault="002C154C" w:rsidP="002C154C">
      <w:r>
        <w:t>Agree with the comment, “in response to a TDLS Setup Request Action field” is simpler, and consistent with style elsewhere in the Draft.</w:t>
      </w:r>
    </w:p>
    <w:p w14:paraId="70FAA2A2" w14:textId="77777777" w:rsidR="002C154C" w:rsidRDefault="002C154C" w:rsidP="002C154C"/>
    <w:p w14:paraId="5A3E25B3" w14:textId="77777777" w:rsidR="002C154C" w:rsidRDefault="002C154C" w:rsidP="002C154C">
      <w:r>
        <w:t>The other locations are similar.</w:t>
      </w:r>
    </w:p>
    <w:p w14:paraId="1D391FD1" w14:textId="77777777" w:rsidR="002C154C" w:rsidRDefault="002C154C" w:rsidP="002C154C"/>
    <w:p w14:paraId="33865BF5" w14:textId="77777777" w:rsidR="002C154C" w:rsidRDefault="002C154C" w:rsidP="002C154C">
      <w:r w:rsidRPr="003D2E47">
        <w:rPr>
          <w:highlight w:val="green"/>
          <w:u w:val="single"/>
        </w:rPr>
        <w:t>Proposed Resolution:</w:t>
      </w:r>
    </w:p>
    <w:p w14:paraId="4482A756" w14:textId="77777777" w:rsidR="002C154C" w:rsidRDefault="002C154C" w:rsidP="002C154C"/>
    <w:p w14:paraId="635A6635" w14:textId="77777777" w:rsidR="002C154C" w:rsidRDefault="002C154C" w:rsidP="002C154C">
      <w:r>
        <w:t>Accepted.</w:t>
      </w:r>
    </w:p>
    <w:p w14:paraId="1E0FE289" w14:textId="77777777" w:rsidR="002C154C" w:rsidRPr="00F24D15" w:rsidRDefault="002C154C" w:rsidP="002C154C"/>
    <w:p w14:paraId="62726F18" w14:textId="77777777" w:rsidR="002C154C" w:rsidRDefault="002C154C" w:rsidP="002C154C">
      <w:r>
        <w:br w:type="page"/>
      </w:r>
    </w:p>
    <w:p w14:paraId="5B1CD6F1"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178BF75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C6EB29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DC733C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E1A7E8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9742EEB"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938EA9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410CA615" w14:textId="77777777" w:rsidTr="00AE7C3B">
        <w:trPr>
          <w:trHeight w:val="2550"/>
        </w:trPr>
        <w:tc>
          <w:tcPr>
            <w:tcW w:w="738" w:type="dxa"/>
            <w:hideMark/>
          </w:tcPr>
          <w:p w14:paraId="6F9BF09C"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4599</w:t>
            </w:r>
          </w:p>
        </w:tc>
        <w:tc>
          <w:tcPr>
            <w:tcW w:w="990" w:type="dxa"/>
            <w:hideMark/>
          </w:tcPr>
          <w:p w14:paraId="4C6A791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eastAsia="ja-JP" w:bidi="he-IL"/>
              </w:rPr>
              <w:t>2487.52</w:t>
            </w:r>
          </w:p>
        </w:tc>
        <w:tc>
          <w:tcPr>
            <w:tcW w:w="1080" w:type="dxa"/>
            <w:hideMark/>
          </w:tcPr>
          <w:p w14:paraId="2BB57C3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eastAsia="ja-JP" w:bidi="he-IL"/>
              </w:rPr>
              <w:t>11.32.5</w:t>
            </w:r>
          </w:p>
        </w:tc>
        <w:tc>
          <w:tcPr>
            <w:tcW w:w="3600" w:type="dxa"/>
            <w:hideMark/>
          </w:tcPr>
          <w:p w14:paraId="6C6A4D26"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 -- it has no choice but to ignore it.  Also "with" should be "as"</w:t>
            </w:r>
          </w:p>
        </w:tc>
        <w:tc>
          <w:tcPr>
            <w:tcW w:w="3600" w:type="dxa"/>
            <w:hideMark/>
          </w:tcPr>
          <w:p w14:paraId="451E937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"A receiving TR-MLME shall silently ignore the received On-channel Tunnel Request frame if</w:t>
            </w:r>
            <w:r w:rsidRPr="00DE7477">
              <w:rPr>
                <w:rFonts w:ascii="Arial" w:eastAsia="Times New Roman" w:hAnsi="Arial" w:cs="Arial"/>
                <w:sz w:val="20"/>
                <w:lang w:val="en-US"/>
              </w:rPr>
              <w:br/>
              <w:t>that frame is not targeting an NT-MLME in the same multi-band capable device as the TR-MLME."</w:t>
            </w:r>
          </w:p>
        </w:tc>
      </w:tr>
    </w:tbl>
    <w:p w14:paraId="1D4C49A6" w14:textId="77777777" w:rsidR="002C154C" w:rsidRPr="00F24D15" w:rsidRDefault="002C154C" w:rsidP="002C154C">
      <w:pPr>
        <w:rPr>
          <w:bCs/>
          <w:szCs w:val="22"/>
        </w:rPr>
      </w:pPr>
    </w:p>
    <w:p w14:paraId="12B22CDD" w14:textId="77777777" w:rsidR="002C154C" w:rsidRPr="00F24D15" w:rsidRDefault="002C154C" w:rsidP="002C154C">
      <w:pPr>
        <w:rPr>
          <w:bCs/>
          <w:szCs w:val="22"/>
        </w:rPr>
      </w:pPr>
      <w:r w:rsidRPr="00F24D15">
        <w:rPr>
          <w:bCs/>
          <w:szCs w:val="22"/>
          <w:u w:val="single"/>
        </w:rPr>
        <w:t>Discussion:</w:t>
      </w:r>
    </w:p>
    <w:p w14:paraId="586FDFAB" w14:textId="77777777" w:rsidR="002C154C" w:rsidRPr="00F24D15" w:rsidRDefault="002C154C" w:rsidP="002C154C">
      <w:pPr>
        <w:rPr>
          <w:bCs/>
          <w:szCs w:val="22"/>
        </w:rPr>
      </w:pPr>
    </w:p>
    <w:p w14:paraId="56E4849A"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D56F0A6" wp14:editId="5B5AD84F">
            <wp:extent cx="6026785" cy="42164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6785" cy="421640"/>
                    </a:xfrm>
                    <a:prstGeom prst="rect">
                      <a:avLst/>
                    </a:prstGeom>
                    <a:noFill/>
                    <a:ln>
                      <a:noFill/>
                    </a:ln>
                  </pic:spPr>
                </pic:pic>
              </a:graphicData>
            </a:graphic>
          </wp:inline>
        </w:drawing>
      </w:r>
    </w:p>
    <w:p w14:paraId="17BFEDDA" w14:textId="77777777" w:rsidR="002C154C" w:rsidRDefault="002C154C" w:rsidP="002C154C">
      <w:pPr>
        <w:rPr>
          <w:bCs/>
          <w:szCs w:val="22"/>
        </w:rPr>
      </w:pPr>
    </w:p>
    <w:p w14:paraId="391478DF" w14:textId="77777777" w:rsidR="002C154C" w:rsidRDefault="002C154C" w:rsidP="002C154C">
      <w:pPr>
        <w:rPr>
          <w:bCs/>
          <w:szCs w:val="22"/>
        </w:rPr>
      </w:pPr>
      <w:r>
        <w:rPr>
          <w:bCs/>
          <w:szCs w:val="22"/>
        </w:rPr>
        <w:t>Agree with the commenter (on both points).</w:t>
      </w:r>
    </w:p>
    <w:p w14:paraId="616DD116" w14:textId="77777777" w:rsidR="002C154C" w:rsidRDefault="002C154C" w:rsidP="002C154C">
      <w:pPr>
        <w:rPr>
          <w:bCs/>
          <w:szCs w:val="22"/>
        </w:rPr>
      </w:pPr>
    </w:p>
    <w:p w14:paraId="4CFB1D2C" w14:textId="77777777" w:rsidR="002C154C" w:rsidRDefault="002C154C" w:rsidP="002C154C">
      <w:pPr>
        <w:rPr>
          <w:bCs/>
          <w:szCs w:val="22"/>
        </w:rPr>
      </w:pPr>
      <w:r>
        <w:rPr>
          <w:bCs/>
          <w:szCs w:val="22"/>
        </w:rPr>
        <w:t>Also, “silently ignore” is duplicative; what other way can something be “ignored”?</w:t>
      </w:r>
    </w:p>
    <w:p w14:paraId="589AF534" w14:textId="77777777" w:rsidR="002C154C" w:rsidRDefault="002C154C" w:rsidP="002C154C">
      <w:pPr>
        <w:rPr>
          <w:bCs/>
          <w:szCs w:val="22"/>
        </w:rPr>
      </w:pPr>
    </w:p>
    <w:p w14:paraId="4BBDAC06" w14:textId="77777777" w:rsidR="002C154C" w:rsidRDefault="002C154C" w:rsidP="002C154C">
      <w:pPr>
        <w:rPr>
          <w:bCs/>
          <w:szCs w:val="22"/>
        </w:rPr>
      </w:pPr>
      <w:r w:rsidRPr="003D2E47">
        <w:rPr>
          <w:bCs/>
          <w:szCs w:val="22"/>
          <w:highlight w:val="green"/>
          <w:u w:val="single"/>
        </w:rPr>
        <w:t>Proposed Resolution:</w:t>
      </w:r>
    </w:p>
    <w:p w14:paraId="467D3DBE" w14:textId="77777777" w:rsidR="002C154C" w:rsidRDefault="002C154C" w:rsidP="002C154C">
      <w:pPr>
        <w:rPr>
          <w:bCs/>
          <w:szCs w:val="22"/>
        </w:rPr>
      </w:pPr>
    </w:p>
    <w:p w14:paraId="4DB67A83" w14:textId="77777777" w:rsidR="002C154C" w:rsidRDefault="002C154C" w:rsidP="002C154C">
      <w:pPr>
        <w:rPr>
          <w:bCs/>
          <w:szCs w:val="22"/>
        </w:rPr>
      </w:pPr>
      <w:r>
        <w:rPr>
          <w:bCs/>
          <w:szCs w:val="22"/>
        </w:rPr>
        <w:t>Revised.</w:t>
      </w:r>
    </w:p>
    <w:p w14:paraId="6C86E148" w14:textId="77777777" w:rsidR="002C154C" w:rsidRDefault="002C154C" w:rsidP="002C154C">
      <w:pPr>
        <w:rPr>
          <w:bCs/>
          <w:szCs w:val="22"/>
        </w:rPr>
      </w:pPr>
    </w:p>
    <w:p w14:paraId="0D7D845D" w14:textId="77777777" w:rsidR="002C154C" w:rsidRDefault="002C154C" w:rsidP="002C154C">
      <w:pPr>
        <w:rPr>
          <w:bCs/>
          <w:szCs w:val="22"/>
        </w:rPr>
      </w:pPr>
      <w:r>
        <w:rPr>
          <w:bCs/>
          <w:szCs w:val="22"/>
        </w:rPr>
        <w:t>Replace</w:t>
      </w:r>
    </w:p>
    <w:p w14:paraId="234BAB58" w14:textId="77777777" w:rsidR="002C154C" w:rsidRDefault="002C154C" w:rsidP="002C154C">
      <w:pPr>
        <w:ind w:left="720"/>
        <w:rPr>
          <w:bCs/>
          <w:szCs w:val="22"/>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w:t>
      </w:r>
      <w:r>
        <w:rPr>
          <w:rFonts w:ascii="Arial" w:eastAsia="Times New Roman" w:hAnsi="Arial" w:cs="Arial"/>
          <w:sz w:val="20"/>
          <w:lang w:val="en-US"/>
        </w:rPr>
        <w:t>.</w:t>
      </w:r>
    </w:p>
    <w:p w14:paraId="28F9145B" w14:textId="77777777" w:rsidR="002C154C" w:rsidRDefault="002C154C" w:rsidP="002C154C">
      <w:pPr>
        <w:rPr>
          <w:bCs/>
          <w:szCs w:val="22"/>
        </w:rPr>
      </w:pPr>
      <w:r>
        <w:rPr>
          <w:bCs/>
          <w:szCs w:val="22"/>
        </w:rPr>
        <w:t>with</w:t>
      </w:r>
    </w:p>
    <w:p w14:paraId="768EA22D" w14:textId="77777777" w:rsidR="002C154C" w:rsidRDefault="002C154C" w:rsidP="002C154C">
      <w:pPr>
        <w:ind w:left="720"/>
        <w:rPr>
          <w:rFonts w:ascii="Arial" w:eastAsia="Times New Roman" w:hAnsi="Arial" w:cs="Arial"/>
          <w:sz w:val="20"/>
          <w:lang w:val="en-US"/>
        </w:rPr>
      </w:pPr>
      <w:r w:rsidRPr="00DE7477">
        <w:rPr>
          <w:rFonts w:ascii="Arial" w:eastAsia="Times New Roman" w:hAnsi="Arial" w:cs="Arial"/>
          <w:sz w:val="20"/>
          <w:lang w:val="en-US"/>
        </w:rPr>
        <w:t xml:space="preserve">A receiving TR-MLME </w:t>
      </w:r>
      <w:r w:rsidRPr="00BD4468">
        <w:rPr>
          <w:rFonts w:ascii="Arial" w:eastAsia="Times New Roman" w:hAnsi="Arial" w:cs="Arial"/>
          <w:sz w:val="20"/>
          <w:highlight w:val="yellow"/>
          <w:lang w:val="en-US"/>
        </w:rPr>
        <w:t>shall ignore</w:t>
      </w:r>
      <w:r w:rsidRPr="00DE7477">
        <w:rPr>
          <w:rFonts w:ascii="Arial" w:eastAsia="Times New Roman" w:hAnsi="Arial" w:cs="Arial"/>
          <w:sz w:val="20"/>
          <w:lang w:val="en-US"/>
        </w:rPr>
        <w:t xml:space="preserve"> the received On-channel Tunnel Request frame if</w:t>
      </w:r>
      <w:r w:rsidRPr="00DE7477">
        <w:rPr>
          <w:rFonts w:ascii="Arial" w:eastAsia="Times New Roman" w:hAnsi="Arial" w:cs="Arial"/>
          <w:sz w:val="20"/>
          <w:lang w:val="en-US"/>
        </w:rPr>
        <w:br/>
        <w:t xml:space="preserve">that frame is not targeting an NT-MLME in the same multi-band capable device </w:t>
      </w:r>
      <w:r w:rsidRPr="00BD4468">
        <w:rPr>
          <w:rFonts w:ascii="Arial" w:eastAsia="Times New Roman" w:hAnsi="Arial" w:cs="Arial"/>
          <w:sz w:val="20"/>
          <w:highlight w:val="yellow"/>
          <w:lang w:val="en-US"/>
        </w:rPr>
        <w:t>as</w:t>
      </w:r>
      <w:r w:rsidRPr="00DE7477">
        <w:rPr>
          <w:rFonts w:ascii="Arial" w:eastAsia="Times New Roman" w:hAnsi="Arial" w:cs="Arial"/>
          <w:sz w:val="20"/>
          <w:lang w:val="en-US"/>
        </w:rPr>
        <w:t xml:space="preserve"> the TR-MLME</w:t>
      </w:r>
      <w:r>
        <w:rPr>
          <w:rFonts w:ascii="Arial" w:eastAsia="Times New Roman" w:hAnsi="Arial" w:cs="Arial"/>
          <w:sz w:val="20"/>
          <w:lang w:val="en-US"/>
        </w:rPr>
        <w:t>.</w:t>
      </w:r>
    </w:p>
    <w:p w14:paraId="58F07E40" w14:textId="77777777" w:rsidR="002C154C" w:rsidRPr="00BD4468" w:rsidRDefault="002C154C" w:rsidP="002C154C">
      <w:pPr>
        <w:rPr>
          <w:bCs/>
          <w:szCs w:val="22"/>
        </w:rPr>
      </w:pPr>
    </w:p>
    <w:p w14:paraId="1D28384A" w14:textId="77777777" w:rsidR="002C154C" w:rsidRPr="00F24D15" w:rsidRDefault="002C154C" w:rsidP="002C154C">
      <w:pPr>
        <w:rPr>
          <w:bCs/>
          <w:szCs w:val="22"/>
        </w:rPr>
      </w:pPr>
      <w:r w:rsidRPr="00F24D15">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5C21BF6"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2B043CF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5CA3672E"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3BA4A4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C0FF6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207C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B36248" w14:textId="77777777" w:rsidTr="00AE7C3B">
        <w:trPr>
          <w:trHeight w:val="3701"/>
        </w:trPr>
        <w:tc>
          <w:tcPr>
            <w:tcW w:w="738" w:type="dxa"/>
            <w:hideMark/>
          </w:tcPr>
          <w:p w14:paraId="12B79A11"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4594</w:t>
            </w:r>
          </w:p>
        </w:tc>
        <w:tc>
          <w:tcPr>
            <w:tcW w:w="990" w:type="dxa"/>
            <w:hideMark/>
          </w:tcPr>
          <w:p w14:paraId="289E2EA8"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1487.36</w:t>
            </w:r>
          </w:p>
        </w:tc>
        <w:tc>
          <w:tcPr>
            <w:tcW w:w="1080" w:type="dxa"/>
            <w:hideMark/>
          </w:tcPr>
          <w:p w14:paraId="5770AA83"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9.4.5.20</w:t>
            </w:r>
          </w:p>
        </w:tc>
        <w:tc>
          <w:tcPr>
            <w:tcW w:w="3600" w:type="dxa"/>
            <w:hideMark/>
          </w:tcPr>
          <w:p w14:paraId="184A485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Venue Number field identifies the position (1 = 1st, 2 = 2nd, and so on) of the corresponding</w:t>
            </w:r>
            <w:r>
              <w:rPr>
                <w:rFonts w:ascii="Arial" w:eastAsia="Times New Roman" w:hAnsi="Arial" w:cs="Arial"/>
                <w:sz w:val="20"/>
                <w:lang w:val="en-US"/>
              </w:rPr>
              <w:t xml:space="preserve"> </w:t>
            </w:r>
            <w:r w:rsidRPr="00DE7477">
              <w:rPr>
                <w:rFonts w:ascii="Arial" w:eastAsia="Times New Roman" w:hAnsi="Arial" w:cs="Arial"/>
                <w:sz w:val="20"/>
                <w:lang w:val="en-US"/>
              </w:rPr>
              <w:t>Venue Name Tuple subfield in a Venue Name ANQP-element from the same STA, as defined in 9.4.5.4</w:t>
            </w:r>
            <w:r>
              <w:rPr>
                <w:rFonts w:ascii="Arial" w:eastAsia="Times New Roman" w:hAnsi="Arial" w:cs="Arial"/>
                <w:sz w:val="20"/>
                <w:lang w:val="en-US"/>
              </w:rPr>
              <w:t xml:space="preserve"> </w:t>
            </w:r>
            <w:r w:rsidRPr="00DE7477">
              <w:rPr>
                <w:rFonts w:ascii="Arial" w:eastAsia="Times New Roman" w:hAnsi="Arial" w:cs="Arial"/>
                <w:sz w:val="20"/>
                <w:lang w:val="en-US"/>
              </w:rPr>
              <w:t>(Venue Name ANQP-element). If that same STA does not advertise a Venue Name ANQP-element, or does</w:t>
            </w:r>
            <w:r>
              <w:rPr>
                <w:rFonts w:ascii="Arial" w:eastAsia="Times New Roman" w:hAnsi="Arial" w:cs="Arial"/>
                <w:sz w:val="20"/>
                <w:lang w:val="en-US"/>
              </w:rPr>
              <w:t xml:space="preserve"> </w:t>
            </w:r>
            <w:r w:rsidRPr="00DE7477">
              <w:rPr>
                <w:rFonts w:ascii="Arial" w:eastAsia="Times New Roman" w:hAnsi="Arial" w:cs="Arial"/>
                <w:sz w:val="20"/>
                <w:lang w:val="en-US"/>
              </w:rPr>
              <w:t>not advertise any Venue Name Tuple subfields in the Venue Name ANQP-element, then the Venue Number</w:t>
            </w:r>
            <w:r>
              <w:rPr>
                <w:rFonts w:ascii="Arial" w:eastAsia="Times New Roman" w:hAnsi="Arial" w:cs="Arial"/>
                <w:sz w:val="20"/>
                <w:lang w:val="en-US"/>
              </w:rPr>
              <w:t xml:space="preserve"> </w:t>
            </w:r>
            <w:r w:rsidRPr="00DE7477">
              <w:rPr>
                <w:rFonts w:ascii="Arial" w:eastAsia="Times New Roman" w:hAnsi="Arial" w:cs="Arial"/>
                <w:sz w:val="20"/>
                <w:lang w:val="en-US"/>
              </w:rPr>
              <w:t>field is set to 0." -- second sentence implies there can only be at most one Venue Name ANQP-element</w:t>
            </w:r>
          </w:p>
        </w:tc>
        <w:tc>
          <w:tcPr>
            <w:tcW w:w="3600" w:type="dxa"/>
            <w:hideMark/>
          </w:tcPr>
          <w:p w14:paraId="74C723C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"a" to "the" in the first sentence</w:t>
            </w:r>
          </w:p>
        </w:tc>
      </w:tr>
    </w:tbl>
    <w:p w14:paraId="7ACE1C6D" w14:textId="77777777" w:rsidR="002C154C" w:rsidRDefault="002C154C" w:rsidP="002C154C">
      <w:pPr>
        <w:rPr>
          <w:bCs/>
          <w:szCs w:val="22"/>
        </w:rPr>
      </w:pPr>
    </w:p>
    <w:p w14:paraId="50256B3F" w14:textId="77777777" w:rsidR="002C154C" w:rsidRDefault="002C154C" w:rsidP="002C154C">
      <w:pPr>
        <w:rPr>
          <w:bCs/>
          <w:szCs w:val="22"/>
        </w:rPr>
      </w:pPr>
      <w:r>
        <w:rPr>
          <w:bCs/>
          <w:szCs w:val="22"/>
          <w:u w:val="single"/>
        </w:rPr>
        <w:t>Discussion:</w:t>
      </w:r>
    </w:p>
    <w:p w14:paraId="46902E39" w14:textId="77777777" w:rsidR="002C154C" w:rsidRDefault="002C154C" w:rsidP="002C154C">
      <w:pPr>
        <w:rPr>
          <w:bCs/>
          <w:szCs w:val="22"/>
        </w:rPr>
      </w:pPr>
    </w:p>
    <w:p w14:paraId="244A0E7C" w14:textId="77777777" w:rsidR="002C154C" w:rsidRDefault="002C154C" w:rsidP="002C154C">
      <w:pPr>
        <w:rPr>
          <w:bCs/>
          <w:szCs w:val="22"/>
        </w:rPr>
      </w:pPr>
      <w:r w:rsidRPr="00AA3EBA">
        <w:rPr>
          <w:bCs/>
          <w:noProof/>
          <w:szCs w:val="22"/>
          <w:bdr w:val="single" w:sz="8" w:space="0" w:color="auto" w:shadow="1"/>
        </w:rPr>
        <w:drawing>
          <wp:inline distT="0" distB="0" distL="0" distR="0" wp14:anchorId="47293DE5" wp14:editId="143842F3">
            <wp:extent cx="5984875" cy="8013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84875" cy="801370"/>
                    </a:xfrm>
                    <a:prstGeom prst="rect">
                      <a:avLst/>
                    </a:prstGeom>
                    <a:noFill/>
                    <a:ln>
                      <a:noFill/>
                    </a:ln>
                  </pic:spPr>
                </pic:pic>
              </a:graphicData>
            </a:graphic>
          </wp:inline>
        </w:drawing>
      </w:r>
    </w:p>
    <w:p w14:paraId="481A735A" w14:textId="77777777" w:rsidR="002C154C" w:rsidRDefault="002C154C" w:rsidP="002C154C">
      <w:pPr>
        <w:rPr>
          <w:bCs/>
          <w:szCs w:val="22"/>
        </w:rPr>
      </w:pPr>
    </w:p>
    <w:p w14:paraId="39C82866" w14:textId="77777777" w:rsidR="002C154C" w:rsidRDefault="002C154C" w:rsidP="002C154C">
      <w:pPr>
        <w:rPr>
          <w:bCs/>
          <w:szCs w:val="22"/>
        </w:rPr>
      </w:pPr>
      <w:r>
        <w:rPr>
          <w:bCs/>
          <w:szCs w:val="22"/>
        </w:rPr>
        <w:t>Unpacking the first sentence a bit:</w:t>
      </w:r>
    </w:p>
    <w:p w14:paraId="4EC2AFB0" w14:textId="77777777" w:rsidR="002C154C" w:rsidRDefault="002C154C" w:rsidP="002C154C">
      <w:pPr>
        <w:pStyle w:val="ListParagraph"/>
        <w:numPr>
          <w:ilvl w:val="0"/>
          <w:numId w:val="42"/>
        </w:numPr>
        <w:rPr>
          <w:bCs/>
          <w:szCs w:val="22"/>
        </w:rPr>
      </w:pPr>
      <w:r>
        <w:rPr>
          <w:bCs/>
          <w:szCs w:val="22"/>
        </w:rPr>
        <w:t>The STA might send a Venue Name ANQP-element, which contains zero or more venue names in Venue Name Tuples, as seen in 9.4.5.4:</w:t>
      </w:r>
    </w:p>
    <w:p w14:paraId="1DDADC97" w14:textId="77777777" w:rsidR="002C154C" w:rsidRPr="00C0701A" w:rsidRDefault="002C154C" w:rsidP="002C154C">
      <w:pPr>
        <w:rPr>
          <w:bCs/>
          <w:szCs w:val="22"/>
        </w:rPr>
      </w:pPr>
    </w:p>
    <w:p w14:paraId="704D44AD" w14:textId="77777777" w:rsidR="002C154C" w:rsidRDefault="002C154C" w:rsidP="002C154C">
      <w:pPr>
        <w:ind w:left="720"/>
        <w:rPr>
          <w:bCs/>
          <w:szCs w:val="22"/>
        </w:rPr>
      </w:pPr>
      <w:r w:rsidRPr="00C0701A">
        <w:rPr>
          <w:noProof/>
          <w:bdr w:val="single" w:sz="8" w:space="0" w:color="auto" w:shadow="1"/>
        </w:rPr>
        <w:drawing>
          <wp:inline distT="0" distB="0" distL="0" distR="0" wp14:anchorId="4D6D2610" wp14:editId="6F5A2015">
            <wp:extent cx="6050280" cy="2007235"/>
            <wp:effectExtent l="0" t="0" r="762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50280" cy="2007235"/>
                    </a:xfrm>
                    <a:prstGeom prst="rect">
                      <a:avLst/>
                    </a:prstGeom>
                    <a:noFill/>
                    <a:ln>
                      <a:noFill/>
                    </a:ln>
                  </pic:spPr>
                </pic:pic>
              </a:graphicData>
            </a:graphic>
          </wp:inline>
        </w:drawing>
      </w:r>
    </w:p>
    <w:p w14:paraId="5F50870C" w14:textId="77777777" w:rsidR="002C154C" w:rsidRPr="00B875D8" w:rsidRDefault="002C154C" w:rsidP="002C154C">
      <w:pPr>
        <w:ind w:left="720"/>
        <w:rPr>
          <w:noProof/>
          <w:bdr w:val="single" w:sz="8" w:space="0" w:color="auto" w:shadow="1"/>
        </w:rPr>
      </w:pPr>
      <w:r w:rsidRPr="00B875D8">
        <w:rPr>
          <w:noProof/>
          <w:bdr w:val="single" w:sz="8" w:space="0" w:color="auto" w:shadow="1"/>
        </w:rPr>
        <w:drawing>
          <wp:inline distT="0" distB="0" distL="0" distR="0" wp14:anchorId="6F8DB186" wp14:editId="29E0511A">
            <wp:extent cx="6080166" cy="223208"/>
            <wp:effectExtent l="0" t="0" r="0"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21416" cy="243078"/>
                    </a:xfrm>
                    <a:prstGeom prst="rect">
                      <a:avLst/>
                    </a:prstGeom>
                    <a:noFill/>
                    <a:ln>
                      <a:noFill/>
                    </a:ln>
                  </pic:spPr>
                </pic:pic>
              </a:graphicData>
            </a:graphic>
          </wp:inline>
        </w:drawing>
      </w:r>
    </w:p>
    <w:p w14:paraId="2F59CE46" w14:textId="77777777" w:rsidR="002C154C" w:rsidRDefault="002C154C" w:rsidP="002C154C">
      <w:pPr>
        <w:pStyle w:val="ListParagraph"/>
        <w:rPr>
          <w:bCs/>
          <w:szCs w:val="22"/>
        </w:rPr>
      </w:pPr>
    </w:p>
    <w:p w14:paraId="234B1106" w14:textId="77777777" w:rsidR="002C154C" w:rsidRDefault="002C154C" w:rsidP="002C154C">
      <w:pPr>
        <w:pStyle w:val="ListParagraph"/>
        <w:numPr>
          <w:ilvl w:val="0"/>
          <w:numId w:val="42"/>
        </w:numPr>
        <w:rPr>
          <w:bCs/>
          <w:szCs w:val="22"/>
        </w:rPr>
      </w:pPr>
      <w:r>
        <w:rPr>
          <w:bCs/>
          <w:szCs w:val="22"/>
        </w:rPr>
        <w:t>There is only one Venue Name ANQP-element transmitted, as implied by 11.23.3.3.11 (note the use of “the” in this text):</w:t>
      </w:r>
    </w:p>
    <w:p w14:paraId="11D8D27F" w14:textId="77777777" w:rsidR="002C154C" w:rsidRPr="00B875D8" w:rsidRDefault="002C154C" w:rsidP="002C154C">
      <w:pPr>
        <w:rPr>
          <w:bCs/>
          <w:szCs w:val="22"/>
        </w:rPr>
      </w:pPr>
    </w:p>
    <w:p w14:paraId="46101845" w14:textId="77777777" w:rsidR="002C154C" w:rsidRDefault="002C154C" w:rsidP="002C154C">
      <w:pPr>
        <w:ind w:left="720"/>
        <w:rPr>
          <w:noProof/>
          <w:bdr w:val="single" w:sz="8" w:space="0" w:color="auto" w:shadow="1"/>
        </w:rPr>
      </w:pPr>
      <w:r w:rsidRPr="00E10B30">
        <w:rPr>
          <w:noProof/>
          <w:bdr w:val="single" w:sz="8" w:space="0" w:color="auto" w:shadow="1"/>
        </w:rPr>
        <w:drawing>
          <wp:inline distT="0" distB="0" distL="0" distR="0" wp14:anchorId="1D9409D2" wp14:editId="534979AE">
            <wp:extent cx="6026529" cy="78359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28110" cy="783796"/>
                    </a:xfrm>
                    <a:prstGeom prst="rect">
                      <a:avLst/>
                    </a:prstGeom>
                    <a:noFill/>
                    <a:ln>
                      <a:noFill/>
                    </a:ln>
                  </pic:spPr>
                </pic:pic>
              </a:graphicData>
            </a:graphic>
          </wp:inline>
        </w:drawing>
      </w:r>
    </w:p>
    <w:p w14:paraId="727FE981" w14:textId="77777777" w:rsidR="002C154C" w:rsidRPr="00E10B30" w:rsidRDefault="002C154C" w:rsidP="002C154C">
      <w:pPr>
        <w:ind w:left="720"/>
        <w:rPr>
          <w:noProof/>
          <w:bdr w:val="single" w:sz="8" w:space="0" w:color="auto" w:shadow="1"/>
        </w:rPr>
      </w:pPr>
      <w:r w:rsidRPr="00E10B30">
        <w:rPr>
          <w:noProof/>
          <w:bdr w:val="single" w:sz="8" w:space="0" w:color="auto" w:shadow="1"/>
        </w:rPr>
        <w:drawing>
          <wp:inline distT="0" distB="0" distL="0" distR="0" wp14:anchorId="44CDF17C" wp14:editId="2BB603C1">
            <wp:extent cx="6009005" cy="80772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09005" cy="807720"/>
                    </a:xfrm>
                    <a:prstGeom prst="rect">
                      <a:avLst/>
                    </a:prstGeom>
                    <a:noFill/>
                    <a:ln>
                      <a:noFill/>
                    </a:ln>
                  </pic:spPr>
                </pic:pic>
              </a:graphicData>
            </a:graphic>
          </wp:inline>
        </w:drawing>
      </w:r>
    </w:p>
    <w:p w14:paraId="302DDCEB" w14:textId="77777777" w:rsidR="002C154C" w:rsidRPr="00E10B30" w:rsidRDefault="002C154C" w:rsidP="002C154C">
      <w:pPr>
        <w:rPr>
          <w:bCs/>
          <w:szCs w:val="22"/>
        </w:rPr>
      </w:pPr>
    </w:p>
    <w:p w14:paraId="6A81024E" w14:textId="77777777" w:rsidR="002C154C" w:rsidRDefault="002C154C" w:rsidP="002C154C">
      <w:pPr>
        <w:pStyle w:val="ListParagraph"/>
        <w:numPr>
          <w:ilvl w:val="0"/>
          <w:numId w:val="42"/>
        </w:numPr>
        <w:rPr>
          <w:bCs/>
          <w:szCs w:val="22"/>
        </w:rPr>
      </w:pPr>
      <w:r>
        <w:rPr>
          <w:bCs/>
          <w:szCs w:val="22"/>
        </w:rPr>
        <w:t>The Venue Number field is used to carry an ‘index’ into the Venue Name Tuples, as described in the cited text.  If there were more than one Venue Name ANQP-element from the same STA, this indexing would be ambiguous as to which Venue Name Tuples list was being referenced.</w:t>
      </w:r>
    </w:p>
    <w:p w14:paraId="7242497E" w14:textId="77777777" w:rsidR="002C154C" w:rsidRDefault="002C154C" w:rsidP="002C154C">
      <w:pPr>
        <w:rPr>
          <w:bCs/>
          <w:szCs w:val="22"/>
        </w:rPr>
      </w:pPr>
    </w:p>
    <w:p w14:paraId="740A5AD6" w14:textId="77777777" w:rsidR="002C154C" w:rsidRDefault="002C154C" w:rsidP="002C154C">
      <w:pPr>
        <w:rPr>
          <w:bCs/>
          <w:szCs w:val="22"/>
        </w:rPr>
      </w:pPr>
      <w:r>
        <w:rPr>
          <w:bCs/>
          <w:szCs w:val="22"/>
        </w:rPr>
        <w:t>Thus, agree with the commenter, there is only one (at most) Venue Name ANQP-element from this STA, so the article should be “the” to reference this specific, single element.</w:t>
      </w:r>
    </w:p>
    <w:p w14:paraId="4C4BAB84" w14:textId="77777777" w:rsidR="002C154C" w:rsidRDefault="002C154C" w:rsidP="002C154C">
      <w:pPr>
        <w:rPr>
          <w:bCs/>
          <w:szCs w:val="22"/>
        </w:rPr>
      </w:pPr>
    </w:p>
    <w:p w14:paraId="0DFFD6D3" w14:textId="77777777" w:rsidR="002C154C" w:rsidRDefault="002C154C" w:rsidP="002C154C">
      <w:pPr>
        <w:rPr>
          <w:bCs/>
          <w:szCs w:val="22"/>
        </w:rPr>
      </w:pPr>
      <w:r w:rsidRPr="0009494E">
        <w:rPr>
          <w:bCs/>
          <w:szCs w:val="22"/>
          <w:highlight w:val="green"/>
          <w:u w:val="single"/>
        </w:rPr>
        <w:t>Proposed Resolution:</w:t>
      </w:r>
    </w:p>
    <w:p w14:paraId="2AE11766" w14:textId="77777777" w:rsidR="002C154C" w:rsidRDefault="002C154C" w:rsidP="002C154C">
      <w:pPr>
        <w:rPr>
          <w:bCs/>
          <w:szCs w:val="22"/>
        </w:rPr>
      </w:pPr>
    </w:p>
    <w:p w14:paraId="184B671E" w14:textId="77777777" w:rsidR="002C154C" w:rsidRDefault="002C154C" w:rsidP="002C154C">
      <w:pPr>
        <w:rPr>
          <w:bCs/>
          <w:szCs w:val="22"/>
        </w:rPr>
      </w:pPr>
      <w:r>
        <w:rPr>
          <w:bCs/>
          <w:szCs w:val="22"/>
        </w:rPr>
        <w:t>Accepted.</w:t>
      </w:r>
    </w:p>
    <w:p w14:paraId="1FBFB32E" w14:textId="77777777" w:rsidR="002C154C" w:rsidRDefault="002C154C" w:rsidP="002C154C">
      <w:pPr>
        <w:rPr>
          <w:bCs/>
          <w:szCs w:val="22"/>
        </w:rPr>
      </w:pPr>
    </w:p>
    <w:p w14:paraId="1849B7EA"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790A46E7"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5F215B6E"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1DBD797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EA3A74"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D134A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0DDD39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0B55DE5B" w14:textId="77777777" w:rsidTr="00AE7C3B">
        <w:trPr>
          <w:trHeight w:val="4080"/>
        </w:trPr>
        <w:tc>
          <w:tcPr>
            <w:tcW w:w="738" w:type="dxa"/>
            <w:hideMark/>
          </w:tcPr>
          <w:p w14:paraId="1A4EF4F8"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4570</w:t>
            </w:r>
          </w:p>
        </w:tc>
        <w:tc>
          <w:tcPr>
            <w:tcW w:w="990" w:type="dxa"/>
            <w:hideMark/>
          </w:tcPr>
          <w:p w14:paraId="62189B0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1656.52</w:t>
            </w:r>
          </w:p>
        </w:tc>
        <w:tc>
          <w:tcPr>
            <w:tcW w:w="1080" w:type="dxa"/>
            <w:hideMark/>
          </w:tcPr>
          <w:p w14:paraId="6500E3B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9.6.20.7</w:t>
            </w:r>
          </w:p>
        </w:tc>
        <w:tc>
          <w:tcPr>
            <w:tcW w:w="3600" w:type="dxa"/>
            <w:hideMark/>
          </w:tcPr>
          <w:p w14:paraId="6E2DB55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MMPDU Frame Body subfield carries the content of the Frame Body field of an MMPDU that would</w:t>
            </w:r>
            <w:r w:rsidRPr="00DE7477">
              <w:rPr>
                <w:rFonts w:ascii="Arial" w:eastAsia="Times New Roman" w:hAnsi="Arial" w:cs="Arial"/>
                <w:sz w:val="20"/>
                <w:lang w:val="en-US"/>
              </w:rPr>
              <w:br/>
              <w:t>be  constructed  if  the  MMPDU  for  the  corresponding  management  frame  type  were  transmitted</w:t>
            </w:r>
            <w:r w:rsidRPr="00DE7477">
              <w:rPr>
                <w:rFonts w:ascii="Arial" w:eastAsia="Times New Roman" w:hAnsi="Arial" w:cs="Arial"/>
                <w:sz w:val="20"/>
                <w:lang w:val="en-US"/>
              </w:rPr>
              <w:br/>
              <w:t>(#2562)unencrypted over the air" -- well, the thing that is constructed is an MPDU, not an MMPDU, which (for an unencrypted case) goes straight into the Frame Body field</w:t>
            </w:r>
          </w:p>
        </w:tc>
        <w:tc>
          <w:tcPr>
            <w:tcW w:w="3600" w:type="dxa"/>
            <w:hideMark/>
          </w:tcPr>
          <w:p w14:paraId="6A92586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"The MMPDU Frame Body subfield carries the content of the Frame Body field of an MPDU carrying the MMPDU that would</w:t>
            </w:r>
            <w:r w:rsidRPr="00DE7477">
              <w:rPr>
                <w:rFonts w:ascii="Arial" w:eastAsia="Times New Roman" w:hAnsi="Arial" w:cs="Arial"/>
                <w:sz w:val="20"/>
                <w:lang w:val="en-US"/>
              </w:rPr>
              <w:br/>
              <w:t>be  constructed  if  the  MMPDU  for  the  corresponding  management  frame  type  were  transmitted</w:t>
            </w:r>
            <w:r w:rsidRPr="00DE7477">
              <w:rPr>
                <w:rFonts w:ascii="Arial" w:eastAsia="Times New Roman" w:hAnsi="Arial" w:cs="Arial"/>
                <w:sz w:val="20"/>
                <w:lang w:val="en-US"/>
              </w:rPr>
              <w:br/>
              <w:t>(#2562)unencrypted over the air"</w:t>
            </w:r>
          </w:p>
        </w:tc>
      </w:tr>
    </w:tbl>
    <w:p w14:paraId="783FFD5B" w14:textId="77777777" w:rsidR="002C154C" w:rsidRDefault="002C154C" w:rsidP="002C154C">
      <w:pPr>
        <w:rPr>
          <w:bCs/>
          <w:szCs w:val="22"/>
        </w:rPr>
      </w:pPr>
    </w:p>
    <w:p w14:paraId="49E78405" w14:textId="77777777" w:rsidR="002C154C" w:rsidRDefault="002C154C" w:rsidP="002C154C">
      <w:pPr>
        <w:rPr>
          <w:bCs/>
          <w:szCs w:val="22"/>
        </w:rPr>
      </w:pPr>
      <w:r>
        <w:rPr>
          <w:bCs/>
          <w:szCs w:val="22"/>
          <w:u w:val="single"/>
        </w:rPr>
        <w:t>Discussion:</w:t>
      </w:r>
    </w:p>
    <w:p w14:paraId="51C08650" w14:textId="77777777" w:rsidR="002C154C" w:rsidRDefault="002C154C" w:rsidP="002C154C">
      <w:pPr>
        <w:rPr>
          <w:bCs/>
          <w:szCs w:val="22"/>
        </w:rPr>
      </w:pPr>
    </w:p>
    <w:p w14:paraId="61ED8460"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00BAD790" wp14:editId="1AEC57A0">
            <wp:extent cx="6035040" cy="182880"/>
            <wp:effectExtent l="0" t="0" r="381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5040" cy="182880"/>
                    </a:xfrm>
                    <a:prstGeom prst="rect">
                      <a:avLst/>
                    </a:prstGeom>
                    <a:noFill/>
                    <a:ln>
                      <a:noFill/>
                    </a:ln>
                  </pic:spPr>
                </pic:pic>
              </a:graphicData>
            </a:graphic>
          </wp:inline>
        </w:drawing>
      </w:r>
    </w:p>
    <w:p w14:paraId="6FFC447E"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77EA6453" wp14:editId="7617A944">
            <wp:extent cx="6056630" cy="635635"/>
            <wp:effectExtent l="0" t="0" r="127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56630" cy="635635"/>
                    </a:xfrm>
                    <a:prstGeom prst="rect">
                      <a:avLst/>
                    </a:prstGeom>
                    <a:noFill/>
                    <a:ln>
                      <a:noFill/>
                    </a:ln>
                  </pic:spPr>
                </pic:pic>
              </a:graphicData>
            </a:graphic>
          </wp:inline>
        </w:drawing>
      </w:r>
    </w:p>
    <w:p w14:paraId="3BDC8C03" w14:textId="77777777" w:rsidR="002C154C" w:rsidRDefault="002C154C" w:rsidP="002C154C">
      <w:pPr>
        <w:rPr>
          <w:bCs/>
          <w:szCs w:val="22"/>
        </w:rPr>
      </w:pPr>
    </w:p>
    <w:p w14:paraId="16F41AD8" w14:textId="77777777" w:rsidR="002C154C" w:rsidRDefault="002C154C" w:rsidP="002C154C">
      <w:pPr>
        <w:rPr>
          <w:bCs/>
          <w:szCs w:val="22"/>
        </w:rPr>
      </w:pPr>
      <w:r>
        <w:rPr>
          <w:bCs/>
          <w:szCs w:val="22"/>
        </w:rPr>
        <w:t xml:space="preserve">It is a management frame (which is by definition, a type of MPDU) that contains a Frame Body.  </w:t>
      </w:r>
    </w:p>
    <w:p w14:paraId="2DB69C73" w14:textId="77777777" w:rsidR="002C154C" w:rsidRDefault="002C154C" w:rsidP="002C154C">
      <w:pPr>
        <w:rPr>
          <w:bCs/>
          <w:szCs w:val="22"/>
        </w:rPr>
      </w:pPr>
    </w:p>
    <w:p w14:paraId="519CA24C"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04C58786" wp14:editId="28ECCFDC">
            <wp:extent cx="6103620" cy="1288415"/>
            <wp:effectExtent l="0" t="0" r="0"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03620" cy="1288415"/>
                    </a:xfrm>
                    <a:prstGeom prst="rect">
                      <a:avLst/>
                    </a:prstGeom>
                    <a:noFill/>
                    <a:ln>
                      <a:noFill/>
                    </a:ln>
                  </pic:spPr>
                </pic:pic>
              </a:graphicData>
            </a:graphic>
          </wp:inline>
        </w:drawing>
      </w:r>
    </w:p>
    <w:p w14:paraId="010B1222"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1FEEFCE5" wp14:editId="2E68AC18">
            <wp:extent cx="6003290" cy="1104265"/>
            <wp:effectExtent l="0" t="0" r="0"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3290" cy="1104265"/>
                    </a:xfrm>
                    <a:prstGeom prst="rect">
                      <a:avLst/>
                    </a:prstGeom>
                    <a:noFill/>
                    <a:ln>
                      <a:noFill/>
                    </a:ln>
                  </pic:spPr>
                </pic:pic>
              </a:graphicData>
            </a:graphic>
          </wp:inline>
        </w:drawing>
      </w:r>
    </w:p>
    <w:p w14:paraId="20C351A2" w14:textId="77777777" w:rsidR="002C154C" w:rsidRDefault="002C154C" w:rsidP="002C154C">
      <w:pPr>
        <w:rPr>
          <w:bCs/>
          <w:szCs w:val="22"/>
        </w:rPr>
      </w:pPr>
    </w:p>
    <w:p w14:paraId="001F7EEF" w14:textId="77777777" w:rsidR="002C154C" w:rsidRDefault="002C154C" w:rsidP="002C154C">
      <w:pPr>
        <w:rPr>
          <w:bCs/>
          <w:szCs w:val="22"/>
        </w:rPr>
      </w:pPr>
      <w:r>
        <w:rPr>
          <w:bCs/>
          <w:szCs w:val="22"/>
        </w:rPr>
        <w:t>The management frame’s Frame Body is not described as carrying an MMPDU, but conceptually the “fields and elements … defined for each management frame subtype” comprise the “unit of data exchanged between two peer MAC entities … to implement the MAC management protocol”, which is the definition of MMPDU (see below).  So, this is roughly equivalent.</w:t>
      </w:r>
    </w:p>
    <w:p w14:paraId="535555F3" w14:textId="77777777" w:rsidR="002C154C" w:rsidRDefault="002C154C" w:rsidP="002C154C">
      <w:pPr>
        <w:rPr>
          <w:bCs/>
          <w:szCs w:val="22"/>
        </w:rPr>
      </w:pPr>
    </w:p>
    <w:p w14:paraId="0BCF398A"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009ED277" wp14:editId="67FCC61E">
            <wp:extent cx="6003290" cy="492760"/>
            <wp:effectExtent l="0" t="0" r="0" b="254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03290" cy="492760"/>
                    </a:xfrm>
                    <a:prstGeom prst="rect">
                      <a:avLst/>
                    </a:prstGeom>
                    <a:noFill/>
                    <a:ln>
                      <a:noFill/>
                    </a:ln>
                  </pic:spPr>
                </pic:pic>
              </a:graphicData>
            </a:graphic>
          </wp:inline>
        </w:drawing>
      </w:r>
    </w:p>
    <w:p w14:paraId="27DF1CAE" w14:textId="77777777" w:rsidR="002C154C" w:rsidRDefault="002C154C" w:rsidP="002C154C">
      <w:pPr>
        <w:rPr>
          <w:bCs/>
          <w:szCs w:val="22"/>
        </w:rPr>
      </w:pPr>
    </w:p>
    <w:p w14:paraId="355C05DF" w14:textId="77777777" w:rsidR="002C154C" w:rsidRDefault="002C154C" w:rsidP="002C154C">
      <w:pPr>
        <w:rPr>
          <w:bCs/>
          <w:szCs w:val="22"/>
        </w:rPr>
      </w:pPr>
      <w:r>
        <w:rPr>
          <w:bCs/>
          <w:szCs w:val="22"/>
        </w:rPr>
        <w:t>So, agree with the commenter that the simplest way to describe this Frame Body is that it is the same Frame Body that would be in a management MPDU that conceptually is carrying the MMPDU.</w:t>
      </w:r>
    </w:p>
    <w:p w14:paraId="2659FA81" w14:textId="77777777" w:rsidR="002C154C" w:rsidRDefault="002C154C" w:rsidP="002C154C">
      <w:pPr>
        <w:rPr>
          <w:bCs/>
          <w:szCs w:val="22"/>
        </w:rPr>
      </w:pPr>
    </w:p>
    <w:p w14:paraId="64EBED12" w14:textId="77777777" w:rsidR="002C154C" w:rsidRDefault="002C154C" w:rsidP="002C154C">
      <w:pPr>
        <w:rPr>
          <w:bCs/>
          <w:szCs w:val="22"/>
        </w:rPr>
      </w:pPr>
      <w:r w:rsidRPr="0009494E">
        <w:rPr>
          <w:bCs/>
          <w:szCs w:val="22"/>
          <w:highlight w:val="green"/>
          <w:u w:val="single"/>
        </w:rPr>
        <w:t>Proposed Resolution:</w:t>
      </w:r>
    </w:p>
    <w:p w14:paraId="49F2ACF2" w14:textId="77777777" w:rsidR="002C154C" w:rsidRDefault="002C154C" w:rsidP="002C154C">
      <w:pPr>
        <w:rPr>
          <w:bCs/>
          <w:szCs w:val="22"/>
        </w:rPr>
      </w:pPr>
    </w:p>
    <w:p w14:paraId="7DE19ED8" w14:textId="77777777" w:rsidR="002C154C" w:rsidRDefault="002C154C" w:rsidP="002C154C">
      <w:pPr>
        <w:rPr>
          <w:bCs/>
          <w:szCs w:val="22"/>
        </w:rPr>
      </w:pPr>
      <w:r>
        <w:rPr>
          <w:bCs/>
          <w:szCs w:val="22"/>
        </w:rPr>
        <w:t>Accepted.</w:t>
      </w:r>
    </w:p>
    <w:p w14:paraId="5397C9FD" w14:textId="77777777" w:rsidR="002C154C" w:rsidRPr="007E44C0" w:rsidRDefault="002C154C" w:rsidP="002C154C">
      <w:pPr>
        <w:rPr>
          <w:bCs/>
          <w:szCs w:val="22"/>
        </w:rPr>
      </w:pPr>
    </w:p>
    <w:p w14:paraId="012CE321"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5FC2570"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21211E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A45852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8117A3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18AD18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94BBF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2A29AD79" w14:textId="77777777" w:rsidTr="00AE7C3B">
        <w:trPr>
          <w:trHeight w:val="1275"/>
        </w:trPr>
        <w:tc>
          <w:tcPr>
            <w:tcW w:w="738" w:type="dxa"/>
            <w:hideMark/>
          </w:tcPr>
          <w:p w14:paraId="5534F554"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4642</w:t>
            </w:r>
          </w:p>
        </w:tc>
        <w:tc>
          <w:tcPr>
            <w:tcW w:w="990" w:type="dxa"/>
            <w:hideMark/>
          </w:tcPr>
          <w:p w14:paraId="6BB487D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7CBDAF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329AD3AC"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MAC can't determine whether the dot11BeamTrackingTimeLimit came from the SME, the MAC or the default</w:t>
            </w:r>
          </w:p>
        </w:tc>
        <w:tc>
          <w:tcPr>
            <w:tcW w:w="3600" w:type="dxa"/>
            <w:hideMark/>
          </w:tcPr>
          <w:p w14:paraId="78B746F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"from the SME" at 2061.54, "from SME" at 2062.5</w:t>
            </w:r>
          </w:p>
        </w:tc>
      </w:tr>
    </w:tbl>
    <w:p w14:paraId="1BF0C2AA" w14:textId="77777777" w:rsidR="002C154C" w:rsidRDefault="002C154C" w:rsidP="002C154C">
      <w:pPr>
        <w:rPr>
          <w:bCs/>
          <w:szCs w:val="22"/>
        </w:rPr>
      </w:pPr>
    </w:p>
    <w:p w14:paraId="7E68C713" w14:textId="77777777" w:rsidR="002C154C" w:rsidRDefault="002C154C" w:rsidP="002C154C">
      <w:pPr>
        <w:rPr>
          <w:bCs/>
          <w:szCs w:val="22"/>
        </w:rPr>
      </w:pPr>
      <w:r>
        <w:rPr>
          <w:bCs/>
          <w:szCs w:val="22"/>
          <w:u w:val="single"/>
        </w:rPr>
        <w:t>Discussion:</w:t>
      </w:r>
    </w:p>
    <w:p w14:paraId="14AA2382" w14:textId="77777777" w:rsidR="002C154C" w:rsidRDefault="002C154C" w:rsidP="002C154C">
      <w:pPr>
        <w:rPr>
          <w:bCs/>
          <w:szCs w:val="22"/>
        </w:rPr>
      </w:pPr>
    </w:p>
    <w:p w14:paraId="5E20F297"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7495127" wp14:editId="02BB2BD3">
            <wp:extent cx="5962650" cy="6953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62650" cy="695325"/>
                    </a:xfrm>
                    <a:prstGeom prst="rect">
                      <a:avLst/>
                    </a:prstGeom>
                    <a:noFill/>
                    <a:ln>
                      <a:noFill/>
                    </a:ln>
                  </pic:spPr>
                </pic:pic>
              </a:graphicData>
            </a:graphic>
          </wp:inline>
        </w:drawing>
      </w:r>
    </w:p>
    <w:p w14:paraId="310765D2" w14:textId="77777777" w:rsidR="002C154C" w:rsidRDefault="002C154C" w:rsidP="002C154C">
      <w:pPr>
        <w:rPr>
          <w:bCs/>
          <w:szCs w:val="22"/>
        </w:rPr>
      </w:pPr>
    </w:p>
    <w:p w14:paraId="03D9F066" w14:textId="77777777" w:rsidR="002C154C" w:rsidRDefault="002C154C" w:rsidP="002C154C">
      <w:pPr>
        <w:rPr>
          <w:bCs/>
          <w:szCs w:val="22"/>
        </w:rPr>
      </w:pPr>
      <w:r>
        <w:rPr>
          <w:bCs/>
          <w:szCs w:val="22"/>
        </w:rPr>
        <w:t>Agree with the commenter.</w:t>
      </w:r>
    </w:p>
    <w:p w14:paraId="5AE83AFE" w14:textId="77777777" w:rsidR="002C154C" w:rsidRDefault="002C154C" w:rsidP="002C154C">
      <w:pPr>
        <w:rPr>
          <w:bCs/>
          <w:szCs w:val="22"/>
        </w:rPr>
      </w:pPr>
    </w:p>
    <w:p w14:paraId="1A2BF61F"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18CEB48" wp14:editId="762B1ABF">
            <wp:extent cx="6068060" cy="3058160"/>
            <wp:effectExtent l="0" t="0" r="8890" b="889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68060" cy="3058160"/>
                    </a:xfrm>
                    <a:prstGeom prst="rect">
                      <a:avLst/>
                    </a:prstGeom>
                    <a:noFill/>
                    <a:ln>
                      <a:noFill/>
                    </a:ln>
                  </pic:spPr>
                </pic:pic>
              </a:graphicData>
            </a:graphic>
          </wp:inline>
        </w:drawing>
      </w:r>
    </w:p>
    <w:p w14:paraId="238DC08E" w14:textId="77777777" w:rsidR="002C154C" w:rsidRDefault="002C154C" w:rsidP="002C154C">
      <w:pPr>
        <w:rPr>
          <w:bCs/>
          <w:szCs w:val="22"/>
        </w:rPr>
      </w:pPr>
    </w:p>
    <w:p w14:paraId="1020D165" w14:textId="77777777" w:rsidR="002C154C" w:rsidRDefault="002C154C" w:rsidP="002C154C">
      <w:pPr>
        <w:rPr>
          <w:bCs/>
          <w:szCs w:val="22"/>
        </w:rPr>
      </w:pPr>
      <w:r>
        <w:rPr>
          <w:bCs/>
          <w:szCs w:val="22"/>
        </w:rPr>
        <w:t>Agree with the commenter.</w:t>
      </w:r>
    </w:p>
    <w:p w14:paraId="560DBFF2" w14:textId="77777777" w:rsidR="002C154C" w:rsidRDefault="002C154C" w:rsidP="002C154C">
      <w:pPr>
        <w:rPr>
          <w:bCs/>
          <w:szCs w:val="22"/>
        </w:rPr>
      </w:pPr>
    </w:p>
    <w:p w14:paraId="68897FDA" w14:textId="77777777" w:rsidR="002C154C" w:rsidRDefault="002C154C" w:rsidP="002C154C">
      <w:pPr>
        <w:rPr>
          <w:bCs/>
          <w:szCs w:val="22"/>
        </w:rPr>
      </w:pPr>
      <w:r w:rsidRPr="0009494E">
        <w:rPr>
          <w:bCs/>
          <w:szCs w:val="22"/>
          <w:highlight w:val="green"/>
          <w:u w:val="single"/>
        </w:rPr>
        <w:t>Proposed Resolution:</w:t>
      </w:r>
    </w:p>
    <w:p w14:paraId="7DFABF55" w14:textId="77777777" w:rsidR="002C154C" w:rsidRDefault="002C154C" w:rsidP="002C154C">
      <w:pPr>
        <w:rPr>
          <w:bCs/>
          <w:szCs w:val="22"/>
        </w:rPr>
      </w:pPr>
    </w:p>
    <w:p w14:paraId="178B2AB9" w14:textId="77777777" w:rsidR="002C154C" w:rsidRPr="00320576" w:rsidRDefault="002C154C" w:rsidP="002C154C">
      <w:pPr>
        <w:rPr>
          <w:bCs/>
          <w:szCs w:val="22"/>
        </w:rPr>
      </w:pPr>
      <w:r>
        <w:rPr>
          <w:bCs/>
          <w:szCs w:val="22"/>
        </w:rPr>
        <w:t>Accepted.</w:t>
      </w:r>
    </w:p>
    <w:p w14:paraId="50F2C503"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3C86F55D"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0C7CDAB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2CDF2AB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75B97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758088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4C132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CB8B04" w14:textId="77777777" w:rsidTr="00AE7C3B">
        <w:trPr>
          <w:trHeight w:val="1530"/>
        </w:trPr>
        <w:tc>
          <w:tcPr>
            <w:tcW w:w="738" w:type="dxa"/>
            <w:hideMark/>
          </w:tcPr>
          <w:p w14:paraId="207FCDEC"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4555</w:t>
            </w:r>
          </w:p>
        </w:tc>
        <w:tc>
          <w:tcPr>
            <w:tcW w:w="990" w:type="dxa"/>
            <w:hideMark/>
          </w:tcPr>
          <w:p w14:paraId="620BA81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1721.54</w:t>
            </w:r>
          </w:p>
        </w:tc>
        <w:tc>
          <w:tcPr>
            <w:tcW w:w="1080" w:type="dxa"/>
            <w:hideMark/>
          </w:tcPr>
          <w:p w14:paraId="743CF7A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10.2.6</w:t>
            </w:r>
          </w:p>
        </w:tc>
        <w:tc>
          <w:tcPr>
            <w:tcW w:w="3600" w:type="dxa"/>
            <w:hideMark/>
          </w:tcPr>
          <w:p w14:paraId="61F6F9A5"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"increasing the probability of successful transmission (as defined in 10.2.2 (DCF))" -- 10.2.2 doesn't define successful transmission (this seems to be defined in 3.2</w:t>
            </w:r>
          </w:p>
        </w:tc>
        <w:tc>
          <w:tcPr>
            <w:tcW w:w="3600" w:type="dxa"/>
            <w:hideMark/>
          </w:tcPr>
          <w:p w14:paraId="5AD41F8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the parenthetical</w:t>
            </w:r>
          </w:p>
        </w:tc>
      </w:tr>
    </w:tbl>
    <w:p w14:paraId="19A0D8AB" w14:textId="77777777" w:rsidR="002C154C" w:rsidRDefault="002C154C" w:rsidP="002C154C">
      <w:pPr>
        <w:rPr>
          <w:bCs/>
          <w:szCs w:val="22"/>
        </w:rPr>
      </w:pPr>
    </w:p>
    <w:p w14:paraId="4AA4E526" w14:textId="77777777" w:rsidR="002C154C" w:rsidRDefault="002C154C" w:rsidP="002C154C">
      <w:pPr>
        <w:rPr>
          <w:bCs/>
          <w:szCs w:val="22"/>
        </w:rPr>
      </w:pPr>
      <w:r>
        <w:rPr>
          <w:bCs/>
          <w:szCs w:val="22"/>
          <w:u w:val="single"/>
        </w:rPr>
        <w:t>Discussion:</w:t>
      </w:r>
    </w:p>
    <w:p w14:paraId="32F7B228" w14:textId="77777777" w:rsidR="002C154C" w:rsidRDefault="002C154C" w:rsidP="002C154C">
      <w:pPr>
        <w:rPr>
          <w:bCs/>
          <w:szCs w:val="22"/>
        </w:rPr>
      </w:pPr>
    </w:p>
    <w:p w14:paraId="637A69B8" w14:textId="77777777" w:rsidR="002C154C" w:rsidRPr="002976D8"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4624" behindDoc="0" locked="0" layoutInCell="1" allowOverlap="1" wp14:anchorId="6EAE1050" wp14:editId="26B4C1E1">
                <wp:simplePos x="0" y="0"/>
                <wp:positionH relativeFrom="column">
                  <wp:posOffset>3828607</wp:posOffset>
                </wp:positionH>
                <wp:positionV relativeFrom="paragraph">
                  <wp:posOffset>383011</wp:posOffset>
                </wp:positionV>
                <wp:extent cx="1365480" cy="38160"/>
                <wp:effectExtent l="95250" t="152400" r="101600" b="152400"/>
                <wp:wrapNone/>
                <wp:docPr id="309" name="Ink 309"/>
                <wp:cNvGraphicFramePr/>
                <a:graphic xmlns:a="http://schemas.openxmlformats.org/drawingml/2006/main">
                  <a:graphicData uri="http://schemas.microsoft.com/office/word/2010/wordprocessingInk">
                    <w14:contentPart bwMode="auto" r:id="rId55">
                      <w14:nvContentPartPr>
                        <w14:cNvContentPartPr/>
                      </w14:nvContentPartPr>
                      <w14:xfrm>
                        <a:off x="0" y="0"/>
                        <a:ext cx="1365480" cy="38160"/>
                      </w14:xfrm>
                    </w14:contentPart>
                  </a:graphicData>
                </a:graphic>
              </wp:anchor>
            </w:drawing>
          </mc:Choice>
          <mc:Fallback>
            <w:pict>
              <v:shape w14:anchorId="6EAA6242" id="Ink 309" o:spid="_x0000_s1026" type="#_x0000_t75" style="position:absolute;margin-left:297.2pt;margin-top:21.65pt;width:116pt;height:20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">
                <v:imagedata r:id="rId56" o:title=""/>
              </v:shape>
            </w:pict>
          </mc:Fallback>
        </mc:AlternateContent>
      </w:r>
      <w:r w:rsidRPr="002976D8">
        <w:rPr>
          <w:bCs/>
          <w:noProof/>
          <w:szCs w:val="22"/>
          <w:bdr w:val="single" w:sz="8" w:space="0" w:color="auto" w:shadow="1"/>
        </w:rPr>
        <w:drawing>
          <wp:inline distT="0" distB="0" distL="0" distR="0" wp14:anchorId="7F7E8F1B" wp14:editId="3544EBC1">
            <wp:extent cx="6026785" cy="13239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26785" cy="1323975"/>
                    </a:xfrm>
                    <a:prstGeom prst="rect">
                      <a:avLst/>
                    </a:prstGeom>
                    <a:noFill/>
                    <a:ln>
                      <a:noFill/>
                    </a:ln>
                  </pic:spPr>
                </pic:pic>
              </a:graphicData>
            </a:graphic>
          </wp:inline>
        </w:drawing>
      </w:r>
    </w:p>
    <w:p w14:paraId="6A3692BB" w14:textId="77777777" w:rsidR="002C154C" w:rsidRDefault="002C154C" w:rsidP="002C154C">
      <w:pPr>
        <w:rPr>
          <w:bCs/>
          <w:szCs w:val="22"/>
        </w:rPr>
      </w:pPr>
    </w:p>
    <w:p w14:paraId="4AA7F66F" w14:textId="77777777" w:rsidR="002C154C" w:rsidRDefault="002C154C" w:rsidP="002C154C">
      <w:pPr>
        <w:rPr>
          <w:bCs/>
          <w:szCs w:val="22"/>
        </w:rPr>
      </w:pPr>
      <w:r>
        <w:rPr>
          <w:bCs/>
          <w:szCs w:val="22"/>
        </w:rPr>
        <w:t>Agree with the commenter, this concept has been moved to the definitions (subclause 3.2):</w:t>
      </w:r>
    </w:p>
    <w:p w14:paraId="28A5ECBF" w14:textId="77777777" w:rsidR="002C154C" w:rsidRDefault="002C154C" w:rsidP="002C154C">
      <w:pPr>
        <w:rPr>
          <w:bCs/>
          <w:szCs w:val="22"/>
        </w:rPr>
      </w:pPr>
    </w:p>
    <w:p w14:paraId="00782EDC" w14:textId="77777777" w:rsidR="002C154C" w:rsidRPr="001A1B4F" w:rsidRDefault="002C154C" w:rsidP="002C154C">
      <w:pPr>
        <w:rPr>
          <w:bCs/>
          <w:noProof/>
          <w:szCs w:val="22"/>
          <w:bdr w:val="single" w:sz="8" w:space="0" w:color="auto" w:shadow="1"/>
        </w:rPr>
      </w:pPr>
      <w:r w:rsidRPr="001A1B4F">
        <w:rPr>
          <w:bCs/>
          <w:noProof/>
          <w:szCs w:val="22"/>
          <w:bdr w:val="single" w:sz="8" w:space="0" w:color="auto" w:shadow="1"/>
        </w:rPr>
        <w:drawing>
          <wp:inline distT="0" distB="0" distL="0" distR="0" wp14:anchorId="30152926" wp14:editId="36D86F12">
            <wp:extent cx="6021070" cy="42735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21070" cy="427355"/>
                    </a:xfrm>
                    <a:prstGeom prst="rect">
                      <a:avLst/>
                    </a:prstGeom>
                    <a:noFill/>
                    <a:ln>
                      <a:noFill/>
                    </a:ln>
                  </pic:spPr>
                </pic:pic>
              </a:graphicData>
            </a:graphic>
          </wp:inline>
        </w:drawing>
      </w:r>
    </w:p>
    <w:p w14:paraId="1DAA6EBD" w14:textId="77777777" w:rsidR="002C154C" w:rsidRDefault="002C154C" w:rsidP="002C154C">
      <w:pPr>
        <w:rPr>
          <w:bCs/>
          <w:szCs w:val="22"/>
        </w:rPr>
      </w:pPr>
    </w:p>
    <w:p w14:paraId="2E6700B6" w14:textId="77777777" w:rsidR="002C154C" w:rsidRDefault="002C154C" w:rsidP="002C154C">
      <w:pPr>
        <w:rPr>
          <w:bCs/>
          <w:szCs w:val="22"/>
        </w:rPr>
      </w:pPr>
      <w:r w:rsidRPr="0009494E">
        <w:rPr>
          <w:bCs/>
          <w:szCs w:val="22"/>
          <w:highlight w:val="green"/>
          <w:u w:val="single"/>
        </w:rPr>
        <w:t>Proposed Resolution:</w:t>
      </w:r>
    </w:p>
    <w:p w14:paraId="40930000" w14:textId="77777777" w:rsidR="002C154C" w:rsidRDefault="002C154C" w:rsidP="002C154C">
      <w:pPr>
        <w:rPr>
          <w:bCs/>
          <w:szCs w:val="22"/>
        </w:rPr>
      </w:pPr>
    </w:p>
    <w:p w14:paraId="6273D2D5" w14:textId="77777777" w:rsidR="002C154C" w:rsidRPr="001A1B4F" w:rsidRDefault="002C154C" w:rsidP="002C154C">
      <w:pPr>
        <w:rPr>
          <w:bCs/>
          <w:szCs w:val="22"/>
        </w:rPr>
      </w:pPr>
      <w:r>
        <w:rPr>
          <w:bCs/>
          <w:szCs w:val="22"/>
        </w:rPr>
        <w:t>Accepted.</w:t>
      </w:r>
    </w:p>
    <w:p w14:paraId="106C1AD6"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0665CA8"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1E4E34F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952F4E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E89D720"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90EA99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28DAE5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E676F01" w14:textId="77777777" w:rsidTr="00AE7C3B">
        <w:trPr>
          <w:trHeight w:val="510"/>
        </w:trPr>
        <w:tc>
          <w:tcPr>
            <w:tcW w:w="738" w:type="dxa"/>
            <w:hideMark/>
          </w:tcPr>
          <w:p w14:paraId="11FD681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4652</w:t>
            </w:r>
          </w:p>
        </w:tc>
        <w:tc>
          <w:tcPr>
            <w:tcW w:w="990" w:type="dxa"/>
            <w:hideMark/>
          </w:tcPr>
          <w:p w14:paraId="418EB94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885.35</w:t>
            </w:r>
          </w:p>
        </w:tc>
        <w:tc>
          <w:tcPr>
            <w:tcW w:w="1080" w:type="dxa"/>
            <w:hideMark/>
          </w:tcPr>
          <w:p w14:paraId="1B67D0B6"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9.3.3.11</w:t>
            </w:r>
          </w:p>
        </w:tc>
        <w:tc>
          <w:tcPr>
            <w:tcW w:w="3600" w:type="dxa"/>
            <w:hideMark/>
          </w:tcPr>
          <w:p w14:paraId="78BE94C1"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"conditionally present" is not clear</w:t>
            </w:r>
          </w:p>
        </w:tc>
        <w:tc>
          <w:tcPr>
            <w:tcW w:w="3600" w:type="dxa"/>
            <w:hideMark/>
          </w:tcPr>
          <w:p w14:paraId="425DAA9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"present"</w:t>
            </w:r>
          </w:p>
        </w:tc>
      </w:tr>
    </w:tbl>
    <w:p w14:paraId="011A39A8" w14:textId="77777777" w:rsidR="002C154C" w:rsidRDefault="002C154C" w:rsidP="002C154C">
      <w:pPr>
        <w:rPr>
          <w:bCs/>
          <w:szCs w:val="22"/>
        </w:rPr>
      </w:pPr>
    </w:p>
    <w:p w14:paraId="66228FA9" w14:textId="77777777" w:rsidR="002C154C" w:rsidRDefault="002C154C" w:rsidP="002C154C">
      <w:pPr>
        <w:rPr>
          <w:bCs/>
          <w:szCs w:val="22"/>
        </w:rPr>
      </w:pPr>
      <w:r>
        <w:rPr>
          <w:bCs/>
          <w:szCs w:val="22"/>
          <w:u w:val="single"/>
        </w:rPr>
        <w:t>Discussion:</w:t>
      </w:r>
    </w:p>
    <w:p w14:paraId="56EE37FC" w14:textId="77777777" w:rsidR="002C154C" w:rsidRDefault="002C154C" w:rsidP="002C154C">
      <w:pPr>
        <w:rPr>
          <w:bCs/>
          <w:szCs w:val="22"/>
        </w:rPr>
      </w:pPr>
    </w:p>
    <w:p w14:paraId="0BE6B1F1" w14:textId="77777777" w:rsidR="002C154C" w:rsidRPr="001A1B4F" w:rsidRDefault="002C154C" w:rsidP="002C154C">
      <w:pPr>
        <w:rPr>
          <w:bCs/>
          <w:noProof/>
          <w:szCs w:val="22"/>
          <w:bdr w:val="single" w:sz="8" w:space="0" w:color="auto" w:shadow="1"/>
        </w:rPr>
      </w:pPr>
      <w:r w:rsidRPr="001A1B4F">
        <w:rPr>
          <w:bCs/>
          <w:noProof/>
          <w:szCs w:val="22"/>
          <w:bdr w:val="single" w:sz="8" w:space="0" w:color="auto" w:shadow="1"/>
        </w:rPr>
        <w:drawing>
          <wp:inline distT="0" distB="0" distL="0" distR="0" wp14:anchorId="2829DE55" wp14:editId="69431FB8">
            <wp:extent cx="6026785" cy="207645"/>
            <wp:effectExtent l="0" t="0" r="0" b="190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6785" cy="207645"/>
                    </a:xfrm>
                    <a:prstGeom prst="rect">
                      <a:avLst/>
                    </a:prstGeom>
                    <a:noFill/>
                    <a:ln>
                      <a:noFill/>
                    </a:ln>
                  </pic:spPr>
                </pic:pic>
              </a:graphicData>
            </a:graphic>
          </wp:inline>
        </w:drawing>
      </w:r>
    </w:p>
    <w:p w14:paraId="2C45138A" w14:textId="77777777" w:rsidR="002C154C" w:rsidRPr="001A1B4F"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5648" behindDoc="0" locked="0" layoutInCell="1" allowOverlap="1" wp14:anchorId="4F24C290" wp14:editId="5048FDA8">
                <wp:simplePos x="0" y="0"/>
                <wp:positionH relativeFrom="column">
                  <wp:posOffset>4891327</wp:posOffset>
                </wp:positionH>
                <wp:positionV relativeFrom="paragraph">
                  <wp:posOffset>2101239</wp:posOffset>
                </wp:positionV>
                <wp:extent cx="902880" cy="41760"/>
                <wp:effectExtent l="95250" t="152400" r="107315" b="168275"/>
                <wp:wrapNone/>
                <wp:docPr id="313" name="Ink 313"/>
                <wp:cNvGraphicFramePr/>
                <a:graphic xmlns:a="http://schemas.openxmlformats.org/drawingml/2006/main">
                  <a:graphicData uri="http://schemas.microsoft.com/office/word/2010/wordprocessingInk">
                    <w14:contentPart bwMode="auto" r:id="rId59">
                      <w14:nvContentPartPr>
                        <w14:cNvContentPartPr/>
                      </w14:nvContentPartPr>
                      <w14:xfrm>
                        <a:off x="0" y="0"/>
                        <a:ext cx="902880" cy="41760"/>
                      </w14:xfrm>
                    </w14:contentPart>
                  </a:graphicData>
                </a:graphic>
              </wp:anchor>
            </w:drawing>
          </mc:Choice>
          <mc:Fallback>
            <w:pict>
              <v:shape w14:anchorId="341AC421" id="Ink 313" o:spid="_x0000_s1026" type="#_x0000_t75" style="position:absolute;margin-left:380.9pt;margin-top:156.95pt;width:79.6pt;height:20.3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">
                <v:imagedata r:id="rId19" o:title=""/>
              </v:shape>
            </w:pict>
          </mc:Fallback>
        </mc:AlternateContent>
      </w:r>
      <w:r w:rsidRPr="001A1B4F">
        <w:rPr>
          <w:bCs/>
          <w:noProof/>
          <w:szCs w:val="22"/>
          <w:bdr w:val="single" w:sz="8" w:space="0" w:color="auto" w:shadow="1"/>
        </w:rPr>
        <w:drawing>
          <wp:inline distT="0" distB="0" distL="0" distR="0" wp14:anchorId="1B37ECBA" wp14:editId="4B81551D">
            <wp:extent cx="6038850" cy="241681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8850" cy="2416810"/>
                    </a:xfrm>
                    <a:prstGeom prst="rect">
                      <a:avLst/>
                    </a:prstGeom>
                    <a:noFill/>
                    <a:ln>
                      <a:noFill/>
                    </a:ln>
                  </pic:spPr>
                </pic:pic>
              </a:graphicData>
            </a:graphic>
          </wp:inline>
        </w:drawing>
      </w:r>
    </w:p>
    <w:p w14:paraId="710B5651" w14:textId="77777777" w:rsidR="002C154C" w:rsidRDefault="002C154C" w:rsidP="002C154C">
      <w:pPr>
        <w:rPr>
          <w:bCs/>
          <w:szCs w:val="22"/>
        </w:rPr>
      </w:pPr>
    </w:p>
    <w:p w14:paraId="5AFB62AD" w14:textId="77777777" w:rsidR="002C154C" w:rsidRDefault="002C154C" w:rsidP="002C154C">
      <w:pPr>
        <w:rPr>
          <w:bCs/>
          <w:szCs w:val="22"/>
        </w:rPr>
      </w:pPr>
      <w:r>
        <w:rPr>
          <w:bCs/>
          <w:szCs w:val="22"/>
        </w:rPr>
        <w:t>The concept/phrase “conditionally present” does not appear anywhere else in a clause 9 table – there are a couple uses within the text.</w:t>
      </w:r>
    </w:p>
    <w:p w14:paraId="79056D6C" w14:textId="77777777" w:rsidR="002C154C" w:rsidRDefault="002C154C" w:rsidP="002C154C">
      <w:pPr>
        <w:rPr>
          <w:bCs/>
          <w:szCs w:val="22"/>
        </w:rPr>
      </w:pPr>
    </w:p>
    <w:p w14:paraId="6043BB9F" w14:textId="77777777" w:rsidR="002C154C" w:rsidRDefault="002C154C" w:rsidP="002C154C">
      <w:pPr>
        <w:rPr>
          <w:bCs/>
          <w:szCs w:val="22"/>
        </w:rPr>
      </w:pPr>
      <w:r>
        <w:rPr>
          <w:bCs/>
          <w:szCs w:val="22"/>
        </w:rPr>
        <w:t>Agree with the commenter.</w:t>
      </w:r>
    </w:p>
    <w:p w14:paraId="2181B87A" w14:textId="77777777" w:rsidR="002C154C" w:rsidRDefault="002C154C" w:rsidP="002C154C">
      <w:pPr>
        <w:rPr>
          <w:bCs/>
          <w:szCs w:val="22"/>
        </w:rPr>
      </w:pPr>
    </w:p>
    <w:p w14:paraId="088EE183" w14:textId="77777777" w:rsidR="002C154C" w:rsidRDefault="002C154C" w:rsidP="002C154C">
      <w:pPr>
        <w:rPr>
          <w:bCs/>
          <w:szCs w:val="22"/>
        </w:rPr>
      </w:pPr>
      <w:r w:rsidRPr="00D65A96">
        <w:rPr>
          <w:bCs/>
          <w:szCs w:val="22"/>
          <w:highlight w:val="green"/>
          <w:u w:val="single"/>
        </w:rPr>
        <w:t>Proposed Resolution:</w:t>
      </w:r>
    </w:p>
    <w:p w14:paraId="6C6E131D" w14:textId="77777777" w:rsidR="002C154C" w:rsidRDefault="002C154C" w:rsidP="002C154C">
      <w:pPr>
        <w:rPr>
          <w:bCs/>
          <w:szCs w:val="22"/>
        </w:rPr>
      </w:pPr>
    </w:p>
    <w:p w14:paraId="55E02609" w14:textId="77777777" w:rsidR="002C154C" w:rsidRPr="001A1B4F" w:rsidRDefault="002C154C" w:rsidP="002C154C">
      <w:pPr>
        <w:rPr>
          <w:bCs/>
          <w:szCs w:val="22"/>
        </w:rPr>
      </w:pPr>
      <w:r>
        <w:rPr>
          <w:bCs/>
          <w:szCs w:val="22"/>
        </w:rPr>
        <w:t>Accepted.</w:t>
      </w:r>
    </w:p>
    <w:p w14:paraId="132013B2" w14:textId="77777777" w:rsidR="002C154C" w:rsidRPr="001A1B4F" w:rsidRDefault="002C154C" w:rsidP="002C154C">
      <w:pPr>
        <w:rPr>
          <w:bCs/>
          <w:szCs w:val="22"/>
        </w:rPr>
      </w:pPr>
    </w:p>
    <w:p w14:paraId="1A1A02B4"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84BB2B8"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2E666B7"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0BFF649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FC2636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6C0D8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F4FED34"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535C936" w14:textId="77777777" w:rsidTr="00AE7C3B">
        <w:trPr>
          <w:trHeight w:val="2550"/>
        </w:trPr>
        <w:tc>
          <w:tcPr>
            <w:tcW w:w="738" w:type="dxa"/>
            <w:hideMark/>
          </w:tcPr>
          <w:p w14:paraId="7B13F39D"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4528</w:t>
            </w:r>
          </w:p>
        </w:tc>
        <w:tc>
          <w:tcPr>
            <w:tcW w:w="990" w:type="dxa"/>
            <w:hideMark/>
          </w:tcPr>
          <w:p w14:paraId="4775C5C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1354.43</w:t>
            </w:r>
          </w:p>
        </w:tc>
        <w:tc>
          <w:tcPr>
            <w:tcW w:w="1080" w:type="dxa"/>
            <w:hideMark/>
          </w:tcPr>
          <w:p w14:paraId="0C30FA99"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4E0A85D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Partial TSF Timer subfield value is derived as follows, so as to have units</w:t>
            </w:r>
            <w:r w:rsidRPr="00DE7477">
              <w:rPr>
                <w:rFonts w:ascii="Arial" w:eastAsia="Times New Roman" w:hAnsi="Arial" w:cs="Arial"/>
                <w:sz w:val="20"/>
                <w:lang w:val="en-US"/>
              </w:rPr>
              <w:br/>
              <w:t>of TUs: from the 64 TSF timer bits at the start of the first burst instance of an FTM session and remove the</w:t>
            </w:r>
            <w:r w:rsidRPr="00DE7477">
              <w:rPr>
                <w:rFonts w:ascii="Arial" w:eastAsia="Times New Roman" w:hAnsi="Arial" w:cs="Arial"/>
                <w:sz w:val="20"/>
                <w:lang w:val="en-US"/>
              </w:rPr>
              <w:br/>
              <w:t>most significant 38 bits and the least significant 10 bits." is garbled</w:t>
            </w:r>
          </w:p>
        </w:tc>
        <w:tc>
          <w:tcPr>
            <w:tcW w:w="3600" w:type="dxa"/>
            <w:hideMark/>
          </w:tcPr>
          <w:p w14:paraId="04BE57AA"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the first "and " in the cited text</w:t>
            </w:r>
          </w:p>
        </w:tc>
      </w:tr>
    </w:tbl>
    <w:p w14:paraId="4B74D5C9" w14:textId="77777777" w:rsidR="002C154C" w:rsidRDefault="002C154C" w:rsidP="002C154C">
      <w:pPr>
        <w:rPr>
          <w:bCs/>
          <w:szCs w:val="22"/>
        </w:rPr>
      </w:pPr>
    </w:p>
    <w:p w14:paraId="5C3A708F" w14:textId="77777777" w:rsidR="002C154C" w:rsidRDefault="002C154C" w:rsidP="002C154C">
      <w:pPr>
        <w:rPr>
          <w:bCs/>
          <w:szCs w:val="22"/>
        </w:rPr>
      </w:pPr>
      <w:r>
        <w:rPr>
          <w:bCs/>
          <w:szCs w:val="22"/>
          <w:u w:val="single"/>
        </w:rPr>
        <w:t>Discussion:</w:t>
      </w:r>
    </w:p>
    <w:p w14:paraId="48FD1768" w14:textId="77777777" w:rsidR="002C154C" w:rsidRDefault="002C154C" w:rsidP="002C154C">
      <w:pPr>
        <w:rPr>
          <w:bCs/>
          <w:szCs w:val="22"/>
        </w:rPr>
      </w:pPr>
    </w:p>
    <w:p w14:paraId="3077DB7B" w14:textId="77777777" w:rsidR="002C154C" w:rsidRPr="00340120" w:rsidRDefault="002C154C" w:rsidP="002C154C">
      <w:pPr>
        <w:rPr>
          <w:bCs/>
          <w:noProof/>
          <w:szCs w:val="22"/>
          <w:bdr w:val="single" w:sz="8" w:space="0" w:color="auto" w:shadow="1"/>
        </w:rPr>
      </w:pPr>
      <w:r w:rsidRPr="00340120">
        <w:rPr>
          <w:bCs/>
          <w:noProof/>
          <w:szCs w:val="22"/>
          <w:bdr w:val="single" w:sz="8" w:space="0" w:color="auto" w:shadow="1"/>
        </w:rPr>
        <w:drawing>
          <wp:inline distT="0" distB="0" distL="0" distR="0" wp14:anchorId="7C65FFF5" wp14:editId="70195D93">
            <wp:extent cx="5991225" cy="78105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91225" cy="781050"/>
                    </a:xfrm>
                    <a:prstGeom prst="rect">
                      <a:avLst/>
                    </a:prstGeom>
                    <a:noFill/>
                    <a:ln>
                      <a:noFill/>
                    </a:ln>
                  </pic:spPr>
                </pic:pic>
              </a:graphicData>
            </a:graphic>
          </wp:inline>
        </w:drawing>
      </w:r>
    </w:p>
    <w:p w14:paraId="012BCA57" w14:textId="77777777" w:rsidR="002C154C" w:rsidRDefault="002C154C" w:rsidP="002C154C">
      <w:pPr>
        <w:rPr>
          <w:bCs/>
          <w:szCs w:val="22"/>
        </w:rPr>
      </w:pPr>
    </w:p>
    <w:p w14:paraId="07FE181E" w14:textId="77777777" w:rsidR="002C154C" w:rsidRDefault="002C154C" w:rsidP="002C154C">
      <w:pPr>
        <w:rPr>
          <w:bCs/>
          <w:szCs w:val="22"/>
        </w:rPr>
      </w:pPr>
      <w:r>
        <w:rPr>
          <w:bCs/>
          <w:szCs w:val="22"/>
        </w:rPr>
        <w:t>Agree with the commenter.  However, inserting a comma might be helpful, as the introductory clause is somewhat long and complex.</w:t>
      </w:r>
    </w:p>
    <w:p w14:paraId="39EFE654" w14:textId="77777777" w:rsidR="002C154C" w:rsidRDefault="002C154C" w:rsidP="002C154C">
      <w:pPr>
        <w:rPr>
          <w:bCs/>
          <w:szCs w:val="22"/>
        </w:rPr>
      </w:pPr>
    </w:p>
    <w:p w14:paraId="43640908" w14:textId="77777777" w:rsidR="002C154C" w:rsidRDefault="002C154C" w:rsidP="002C154C">
      <w:pPr>
        <w:rPr>
          <w:bCs/>
          <w:szCs w:val="22"/>
        </w:rPr>
      </w:pPr>
      <w:r w:rsidRPr="005C579E">
        <w:rPr>
          <w:bCs/>
          <w:szCs w:val="22"/>
          <w:highlight w:val="green"/>
          <w:u w:val="single"/>
        </w:rPr>
        <w:t>Proposed Resolution:</w:t>
      </w:r>
    </w:p>
    <w:p w14:paraId="6FBB5843" w14:textId="77777777" w:rsidR="002C154C" w:rsidRDefault="002C154C" w:rsidP="002C154C">
      <w:pPr>
        <w:rPr>
          <w:bCs/>
          <w:szCs w:val="22"/>
        </w:rPr>
      </w:pPr>
    </w:p>
    <w:p w14:paraId="0135F2D0" w14:textId="77777777" w:rsidR="002C154C" w:rsidRDefault="002C154C" w:rsidP="002C154C">
      <w:pPr>
        <w:rPr>
          <w:bCs/>
          <w:szCs w:val="22"/>
        </w:rPr>
      </w:pPr>
      <w:r>
        <w:rPr>
          <w:bCs/>
          <w:szCs w:val="22"/>
        </w:rPr>
        <w:t>Revised.</w:t>
      </w:r>
    </w:p>
    <w:p w14:paraId="0DB0BB68" w14:textId="77777777" w:rsidR="002C154C" w:rsidRDefault="002C154C" w:rsidP="002C154C">
      <w:pPr>
        <w:rPr>
          <w:bCs/>
          <w:szCs w:val="22"/>
        </w:rPr>
      </w:pPr>
    </w:p>
    <w:p w14:paraId="50122DD8" w14:textId="77777777" w:rsidR="002C154C" w:rsidRPr="00340120" w:rsidRDefault="002C154C" w:rsidP="002C154C">
      <w:pPr>
        <w:rPr>
          <w:bCs/>
          <w:szCs w:val="22"/>
        </w:rPr>
      </w:pPr>
      <w:r>
        <w:rPr>
          <w:bCs/>
          <w:szCs w:val="22"/>
        </w:rPr>
        <w:t>At P1354.45, replace the “and” with a comma.</w:t>
      </w:r>
    </w:p>
    <w:p w14:paraId="64758B20"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D6C9DAB"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0C67301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6DAC46DB"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527265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9F7795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F75B0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704833D1" w14:textId="77777777" w:rsidTr="00AE7C3B">
        <w:trPr>
          <w:trHeight w:val="2550"/>
        </w:trPr>
        <w:tc>
          <w:tcPr>
            <w:tcW w:w="738" w:type="dxa"/>
            <w:hideMark/>
          </w:tcPr>
          <w:p w14:paraId="7AE99FCE"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4524</w:t>
            </w:r>
          </w:p>
        </w:tc>
        <w:tc>
          <w:tcPr>
            <w:tcW w:w="990" w:type="dxa"/>
            <w:hideMark/>
          </w:tcPr>
          <w:p w14:paraId="6FA4973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2487.43</w:t>
            </w:r>
          </w:p>
        </w:tc>
        <w:tc>
          <w:tcPr>
            <w:tcW w:w="1080" w:type="dxa"/>
            <w:hideMark/>
          </w:tcPr>
          <w:p w14:paraId="184B3E01"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11.32.5</w:t>
            </w:r>
          </w:p>
        </w:tc>
        <w:tc>
          <w:tcPr>
            <w:tcW w:w="3600" w:type="dxa"/>
            <w:hideMark/>
          </w:tcPr>
          <w:p w14:paraId="1996786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notion of a "request" or "response" tunnelled MMPDU is referred to but not defined</w:t>
            </w:r>
          </w:p>
        </w:tc>
        <w:tc>
          <w:tcPr>
            <w:tcW w:w="3600" w:type="dxa"/>
            <w:hideMark/>
          </w:tcPr>
          <w:p w14:paraId="3C96625C"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At the start of 11.32.5 add a para "A request tunnelled MMPDU is an MMPDU generated in the context of an MLME .request primitive.  A response tunnelled MMPDU is an MMPDU generated in the context of an MLME .response primitive."</w:t>
            </w:r>
          </w:p>
        </w:tc>
      </w:tr>
    </w:tbl>
    <w:p w14:paraId="1CF8D54F" w14:textId="77777777" w:rsidR="002C154C" w:rsidRDefault="002C154C" w:rsidP="002C154C">
      <w:pPr>
        <w:rPr>
          <w:bCs/>
          <w:szCs w:val="22"/>
        </w:rPr>
      </w:pPr>
    </w:p>
    <w:p w14:paraId="111BFF42" w14:textId="77777777" w:rsidR="002C154C" w:rsidRDefault="002C154C" w:rsidP="002C154C">
      <w:pPr>
        <w:rPr>
          <w:bCs/>
          <w:szCs w:val="22"/>
        </w:rPr>
      </w:pPr>
      <w:r>
        <w:rPr>
          <w:bCs/>
          <w:szCs w:val="22"/>
          <w:u w:val="single"/>
        </w:rPr>
        <w:t>Discussion:</w:t>
      </w:r>
    </w:p>
    <w:p w14:paraId="7A1C4C5B" w14:textId="77777777" w:rsidR="002C154C" w:rsidRDefault="002C154C" w:rsidP="002C154C">
      <w:pPr>
        <w:rPr>
          <w:bCs/>
          <w:szCs w:val="22"/>
        </w:rPr>
      </w:pPr>
    </w:p>
    <w:p w14:paraId="2AAA46E8" w14:textId="77777777" w:rsidR="002C154C" w:rsidRPr="007343D4"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8720" behindDoc="0" locked="0" layoutInCell="1" allowOverlap="1" wp14:anchorId="1827CF1C" wp14:editId="4A411EA4">
                <wp:simplePos x="0" y="0"/>
                <wp:positionH relativeFrom="column">
                  <wp:posOffset>4647967</wp:posOffset>
                </wp:positionH>
                <wp:positionV relativeFrom="paragraph">
                  <wp:posOffset>2205355</wp:posOffset>
                </wp:positionV>
                <wp:extent cx="1311840" cy="49320"/>
                <wp:effectExtent l="76200" t="133350" r="117475" b="160655"/>
                <wp:wrapNone/>
                <wp:docPr id="320" name="Ink 320"/>
                <wp:cNvGraphicFramePr/>
                <a:graphic xmlns:a="http://schemas.openxmlformats.org/drawingml/2006/main">
                  <a:graphicData uri="http://schemas.microsoft.com/office/word/2010/wordprocessingInk">
                    <w14:contentPart bwMode="auto" r:id="rId61">
                      <w14:nvContentPartPr>
                        <w14:cNvContentPartPr/>
                      </w14:nvContentPartPr>
                      <w14:xfrm>
                        <a:off x="0" y="0"/>
                        <a:ext cx="1311840" cy="49320"/>
                      </w14:xfrm>
                    </w14:contentPart>
                  </a:graphicData>
                </a:graphic>
              </wp:anchor>
            </w:drawing>
          </mc:Choice>
          <mc:Fallback>
            <w:pict>
              <v:shape w14:anchorId="1E78BC79" id="Ink 320" o:spid="_x0000_s1026" type="#_x0000_t75" style="position:absolute;margin-left:361.75pt;margin-top:165.15pt;width:111.8pt;height:20.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">
                <v:imagedata r:id="rId62" o:title=""/>
              </v:shape>
            </w:pict>
          </mc:Fallback>
        </mc:AlternateContent>
      </w:r>
      <w:r>
        <w:rPr>
          <w:bCs/>
          <w:noProof/>
          <w:szCs w:val="22"/>
        </w:rPr>
        <mc:AlternateContent>
          <mc:Choice Requires="wpi">
            <w:drawing>
              <wp:anchor distT="0" distB="0" distL="114300" distR="114300" simplePos="0" relativeHeight="251677696" behindDoc="0" locked="0" layoutInCell="1" allowOverlap="1" wp14:anchorId="3F415FA1" wp14:editId="49FE8C76">
                <wp:simplePos x="0" y="0"/>
                <wp:positionH relativeFrom="column">
                  <wp:posOffset>4636087</wp:posOffset>
                </wp:positionH>
                <wp:positionV relativeFrom="paragraph">
                  <wp:posOffset>86395</wp:posOffset>
                </wp:positionV>
                <wp:extent cx="1299960" cy="36360"/>
                <wp:effectExtent l="95250" t="152400" r="109855" b="154305"/>
                <wp:wrapNone/>
                <wp:docPr id="319" name="Ink 319"/>
                <wp:cNvGraphicFramePr/>
                <a:graphic xmlns:a="http://schemas.openxmlformats.org/drawingml/2006/main">
                  <a:graphicData uri="http://schemas.microsoft.com/office/word/2010/wordprocessingInk">
                    <w14:contentPart bwMode="auto" r:id="rId63">
                      <w14:nvContentPartPr>
                        <w14:cNvContentPartPr/>
                      </w14:nvContentPartPr>
                      <w14:xfrm>
                        <a:off x="0" y="0"/>
                        <a:ext cx="1299960" cy="36360"/>
                      </w14:xfrm>
                    </w14:contentPart>
                  </a:graphicData>
                </a:graphic>
              </wp:anchor>
            </w:drawing>
          </mc:Choice>
          <mc:Fallback>
            <w:pict>
              <v:shape w14:anchorId="37789003" id="Ink 319" o:spid="_x0000_s1026" type="#_x0000_t75" style="position:absolute;margin-left:360.8pt;margin-top:-1.7pt;width:110.85pt;height:19.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">
                <v:imagedata r:id="rId64" o:title=""/>
              </v:shape>
            </w:pict>
          </mc:Fallback>
        </mc:AlternateContent>
      </w:r>
      <w:r w:rsidRPr="007343D4">
        <w:rPr>
          <w:bCs/>
          <w:noProof/>
          <w:szCs w:val="22"/>
          <w:bdr w:val="single" w:sz="8" w:space="0" w:color="auto" w:shadow="1"/>
        </w:rPr>
        <w:drawing>
          <wp:inline distT="0" distB="0" distL="0" distR="0" wp14:anchorId="455F7710" wp14:editId="7A6785BD">
            <wp:extent cx="6050280" cy="2950845"/>
            <wp:effectExtent l="0" t="0" r="7620" b="190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50280" cy="2950845"/>
                    </a:xfrm>
                    <a:prstGeom prst="rect">
                      <a:avLst/>
                    </a:prstGeom>
                    <a:noFill/>
                    <a:ln>
                      <a:noFill/>
                    </a:ln>
                  </pic:spPr>
                </pic:pic>
              </a:graphicData>
            </a:graphic>
          </wp:inline>
        </w:drawing>
      </w:r>
    </w:p>
    <w:p w14:paraId="616EF1E5" w14:textId="77777777" w:rsidR="002C154C" w:rsidRDefault="002C154C" w:rsidP="002C154C">
      <w:pPr>
        <w:rPr>
          <w:bCs/>
          <w:szCs w:val="22"/>
        </w:rPr>
      </w:pPr>
    </w:p>
    <w:p w14:paraId="7842C032" w14:textId="77777777" w:rsidR="002C154C" w:rsidRDefault="002C154C" w:rsidP="002C154C">
      <w:pPr>
        <w:rPr>
          <w:bCs/>
          <w:szCs w:val="22"/>
        </w:rPr>
      </w:pPr>
      <w:r>
        <w:rPr>
          <w:bCs/>
          <w:szCs w:val="22"/>
        </w:rPr>
        <w:t>Similar text occurs at P2488.48 and P2488.57 for a “response tunnelled MMPDU”.</w:t>
      </w:r>
    </w:p>
    <w:p w14:paraId="33D42E7C" w14:textId="77777777" w:rsidR="002C154C" w:rsidRDefault="002C154C" w:rsidP="002C154C">
      <w:pPr>
        <w:rPr>
          <w:bCs/>
          <w:szCs w:val="22"/>
        </w:rPr>
      </w:pPr>
    </w:p>
    <w:p w14:paraId="6E08094F" w14:textId="77777777" w:rsidR="002C154C" w:rsidRDefault="002C154C" w:rsidP="002C154C">
      <w:pPr>
        <w:rPr>
          <w:bCs/>
          <w:szCs w:val="22"/>
        </w:rPr>
      </w:pPr>
      <w:r>
        <w:rPr>
          <w:bCs/>
          <w:szCs w:val="22"/>
        </w:rPr>
        <w:t>Figure 11-53 can help put these situations in context:</w:t>
      </w:r>
    </w:p>
    <w:p w14:paraId="455A19BB" w14:textId="77777777" w:rsidR="002C154C" w:rsidRDefault="002C154C" w:rsidP="002C154C">
      <w:pPr>
        <w:rPr>
          <w:bCs/>
          <w:szCs w:val="22"/>
        </w:rPr>
      </w:pPr>
    </w:p>
    <w:p w14:paraId="2C99E27E" w14:textId="77777777" w:rsidR="002C154C" w:rsidRPr="007343D4" w:rsidRDefault="002C154C" w:rsidP="002C154C">
      <w:pPr>
        <w:rPr>
          <w:bCs/>
          <w:noProof/>
          <w:szCs w:val="22"/>
          <w:bdr w:val="single" w:sz="8" w:space="0" w:color="auto" w:shadow="1"/>
        </w:rPr>
      </w:pPr>
      <w:r w:rsidRPr="007343D4">
        <w:rPr>
          <w:bCs/>
          <w:noProof/>
          <w:szCs w:val="22"/>
          <w:bdr w:val="single" w:sz="8" w:space="0" w:color="auto" w:shadow="1"/>
        </w:rPr>
        <w:drawing>
          <wp:inline distT="0" distB="0" distL="0" distR="0" wp14:anchorId="70829732" wp14:editId="5CEF5CF6">
            <wp:extent cx="6003290" cy="343789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03290" cy="3437890"/>
                    </a:xfrm>
                    <a:prstGeom prst="rect">
                      <a:avLst/>
                    </a:prstGeom>
                    <a:noFill/>
                    <a:ln>
                      <a:noFill/>
                    </a:ln>
                  </pic:spPr>
                </pic:pic>
              </a:graphicData>
            </a:graphic>
          </wp:inline>
        </w:drawing>
      </w:r>
    </w:p>
    <w:p w14:paraId="2692C129" w14:textId="77777777" w:rsidR="002C154C" w:rsidRDefault="002C154C" w:rsidP="002C154C">
      <w:pPr>
        <w:rPr>
          <w:bCs/>
          <w:szCs w:val="22"/>
        </w:rPr>
      </w:pPr>
    </w:p>
    <w:p w14:paraId="6708FD03" w14:textId="77777777" w:rsidR="002C154C" w:rsidRDefault="002C154C" w:rsidP="002C154C">
      <w:pPr>
        <w:rPr>
          <w:bCs/>
          <w:szCs w:val="22"/>
        </w:rPr>
      </w:pPr>
      <w:r>
        <w:rPr>
          <w:bCs/>
          <w:szCs w:val="22"/>
        </w:rPr>
        <w:t>As can be seen in Figure 11-53, the text is attempting to identify the TR-MLME on the left (identified as getting a MLME-OCTunnel.request) and the TR-MLME on the right (identified as getting an On-channel Tunnel Request frame), as these are getting the “forward path” events in the Figure.  The text goes on to also identify these two TR-MLMEs in the context of the “return path”, which has the same events.  The difference between the forward path and the return path is only in the nature of the tunnelled MMPDU, being either a request MMPDU or a response MMPDU.</w:t>
      </w:r>
    </w:p>
    <w:p w14:paraId="5EDF41FE" w14:textId="77777777" w:rsidR="002C154C" w:rsidRDefault="002C154C" w:rsidP="002C154C">
      <w:pPr>
        <w:rPr>
          <w:bCs/>
          <w:szCs w:val="22"/>
        </w:rPr>
      </w:pPr>
    </w:p>
    <w:p w14:paraId="35F38850" w14:textId="77777777" w:rsidR="002C154C" w:rsidRDefault="002C154C" w:rsidP="002C154C">
      <w:pPr>
        <w:rPr>
          <w:bCs/>
          <w:szCs w:val="22"/>
        </w:rPr>
      </w:pPr>
      <w:r>
        <w:rPr>
          <w:bCs/>
          <w:szCs w:val="22"/>
        </w:rPr>
        <w:t xml:space="preserve">However, in agreement with the commenter, the terms </w:t>
      </w:r>
      <w:r w:rsidRPr="00193C02">
        <w:rPr>
          <w:bCs/>
          <w:szCs w:val="22"/>
        </w:rPr>
        <w:t>"request</w:t>
      </w:r>
      <w:r>
        <w:rPr>
          <w:bCs/>
          <w:szCs w:val="22"/>
        </w:rPr>
        <w:t xml:space="preserve"> </w:t>
      </w:r>
      <w:r w:rsidRPr="00193C02">
        <w:rPr>
          <w:bCs/>
          <w:szCs w:val="22"/>
        </w:rPr>
        <w:t>tunnelled MMPDU " or "response</w:t>
      </w:r>
      <w:r>
        <w:rPr>
          <w:bCs/>
          <w:szCs w:val="22"/>
        </w:rPr>
        <w:t xml:space="preserve"> </w:t>
      </w:r>
      <w:r w:rsidRPr="00193C02">
        <w:rPr>
          <w:bCs/>
          <w:szCs w:val="22"/>
        </w:rPr>
        <w:t>tunnell</w:t>
      </w:r>
      <w:r>
        <w:rPr>
          <w:bCs/>
          <w:szCs w:val="22"/>
        </w:rPr>
        <w:t>ed MMPDU”</w:t>
      </w:r>
      <w:r w:rsidRPr="00193C02">
        <w:rPr>
          <w:bCs/>
          <w:szCs w:val="22"/>
        </w:rPr>
        <w:t xml:space="preserve"> </w:t>
      </w:r>
      <w:r>
        <w:rPr>
          <w:bCs/>
          <w:szCs w:val="22"/>
        </w:rPr>
        <w:t>are never defined, as the method to convey this distinction.</w:t>
      </w:r>
    </w:p>
    <w:p w14:paraId="5AC13323" w14:textId="77777777" w:rsidR="002C154C" w:rsidRDefault="002C154C" w:rsidP="002C154C">
      <w:pPr>
        <w:rPr>
          <w:bCs/>
          <w:szCs w:val="22"/>
        </w:rPr>
      </w:pPr>
    </w:p>
    <w:p w14:paraId="40D3A9E5" w14:textId="77777777" w:rsidR="002C154C" w:rsidRDefault="002C154C" w:rsidP="002C154C">
      <w:pPr>
        <w:rPr>
          <w:bCs/>
          <w:szCs w:val="22"/>
        </w:rPr>
      </w:pPr>
      <w:r>
        <w:rPr>
          <w:bCs/>
          <w:szCs w:val="22"/>
        </w:rPr>
        <w:t>The start of 11.32.5, where the commenter proposes to add text to define these terms, is the general introduction to the operation of OCT.  It would not make sense to start with the introduction of these detailed terms before the introductory text is understood.  So, “at the start” of 11.32.5 is probably not the right place.  The procedure details start at P2487.16, and this is probably a better place for it.</w:t>
      </w:r>
    </w:p>
    <w:p w14:paraId="13298A6A" w14:textId="77777777" w:rsidR="002C154C" w:rsidRDefault="002C154C" w:rsidP="002C154C">
      <w:pPr>
        <w:rPr>
          <w:bCs/>
          <w:szCs w:val="22"/>
        </w:rPr>
      </w:pPr>
    </w:p>
    <w:p w14:paraId="3BAFBE47" w14:textId="77777777" w:rsidR="002C154C" w:rsidRDefault="002C154C" w:rsidP="002C154C">
      <w:pPr>
        <w:rPr>
          <w:bCs/>
          <w:szCs w:val="22"/>
        </w:rPr>
      </w:pPr>
      <w:r>
        <w:rPr>
          <w:bCs/>
          <w:szCs w:val="22"/>
        </w:rPr>
        <w:t>A bit of introductory text for these terms would also help.</w:t>
      </w:r>
    </w:p>
    <w:p w14:paraId="6023855B" w14:textId="77777777" w:rsidR="002C154C" w:rsidRDefault="002C154C" w:rsidP="002C154C">
      <w:pPr>
        <w:rPr>
          <w:bCs/>
          <w:szCs w:val="22"/>
        </w:rPr>
      </w:pPr>
    </w:p>
    <w:p w14:paraId="4DBFCC8C" w14:textId="77777777" w:rsidR="002C154C" w:rsidRDefault="002C154C" w:rsidP="002C154C">
      <w:pPr>
        <w:rPr>
          <w:bCs/>
          <w:szCs w:val="22"/>
        </w:rPr>
      </w:pPr>
      <w:r w:rsidRPr="005C579E">
        <w:rPr>
          <w:bCs/>
          <w:szCs w:val="22"/>
          <w:highlight w:val="green"/>
          <w:u w:val="single"/>
        </w:rPr>
        <w:t>Proposed Resolution:</w:t>
      </w:r>
    </w:p>
    <w:p w14:paraId="5217048E" w14:textId="77777777" w:rsidR="002C154C" w:rsidRDefault="002C154C" w:rsidP="002C154C">
      <w:pPr>
        <w:rPr>
          <w:bCs/>
          <w:szCs w:val="22"/>
        </w:rPr>
      </w:pPr>
    </w:p>
    <w:p w14:paraId="5816926D" w14:textId="77777777" w:rsidR="002C154C" w:rsidRDefault="002C154C" w:rsidP="002C154C">
      <w:pPr>
        <w:rPr>
          <w:bCs/>
          <w:szCs w:val="22"/>
        </w:rPr>
      </w:pPr>
      <w:r>
        <w:rPr>
          <w:bCs/>
          <w:szCs w:val="22"/>
        </w:rPr>
        <w:t>Revised.</w:t>
      </w:r>
    </w:p>
    <w:p w14:paraId="74FC4D71" w14:textId="77777777" w:rsidR="002C154C" w:rsidRDefault="002C154C" w:rsidP="002C154C">
      <w:pPr>
        <w:rPr>
          <w:bCs/>
          <w:szCs w:val="22"/>
        </w:rPr>
      </w:pPr>
    </w:p>
    <w:p w14:paraId="0E33CCD5" w14:textId="77777777" w:rsidR="002C154C" w:rsidRDefault="002C154C" w:rsidP="002C154C">
      <w:pPr>
        <w:rPr>
          <w:bCs/>
          <w:szCs w:val="22"/>
        </w:rPr>
      </w:pPr>
      <w:r>
        <w:rPr>
          <w:bCs/>
          <w:szCs w:val="22"/>
        </w:rPr>
        <w:t>At P2487.15, insert a new paragraph:</w:t>
      </w:r>
    </w:p>
    <w:p w14:paraId="7445C6B1" w14:textId="77777777" w:rsidR="002C154C" w:rsidRPr="00CD5BDF" w:rsidRDefault="002C154C" w:rsidP="002C154C">
      <w:pPr>
        <w:rPr>
          <w:bCs/>
          <w:szCs w:val="22"/>
        </w:rPr>
      </w:pPr>
      <w:r>
        <w:rPr>
          <w:bCs/>
          <w:szCs w:val="22"/>
        </w:rPr>
        <w:t>‘In the following procedure, a</w:t>
      </w:r>
      <w:r w:rsidRPr="00CD5BDF">
        <w:rPr>
          <w:bCs/>
          <w:szCs w:val="22"/>
        </w:rPr>
        <w:t xml:space="preserve"> </w:t>
      </w:r>
      <w:r>
        <w:rPr>
          <w:bCs/>
          <w:szCs w:val="22"/>
        </w:rPr>
        <w:t>“</w:t>
      </w:r>
      <w:r w:rsidRPr="00CD5BDF">
        <w:rPr>
          <w:bCs/>
          <w:szCs w:val="22"/>
        </w:rPr>
        <w:t>request tunnelled MMPDU</w:t>
      </w:r>
      <w:r>
        <w:rPr>
          <w:bCs/>
          <w:szCs w:val="22"/>
        </w:rPr>
        <w:t>”</w:t>
      </w:r>
      <w:r w:rsidRPr="00CD5BDF">
        <w:rPr>
          <w:bCs/>
          <w:szCs w:val="22"/>
        </w:rPr>
        <w:t xml:space="preserve"> is an MMPDU generated in the context of an MLME .request primitive.  A </w:t>
      </w:r>
      <w:r>
        <w:rPr>
          <w:bCs/>
          <w:szCs w:val="22"/>
        </w:rPr>
        <w:t>“</w:t>
      </w:r>
      <w:r w:rsidRPr="00CD5BDF">
        <w:rPr>
          <w:bCs/>
          <w:szCs w:val="22"/>
        </w:rPr>
        <w:t>response tunnelled MMPDU</w:t>
      </w:r>
      <w:r>
        <w:rPr>
          <w:bCs/>
          <w:szCs w:val="22"/>
        </w:rPr>
        <w:t>”</w:t>
      </w:r>
      <w:r w:rsidRPr="00CD5BDF">
        <w:rPr>
          <w:bCs/>
          <w:szCs w:val="22"/>
        </w:rPr>
        <w:t xml:space="preserve"> is an MMPDU generated in the context of an MLME .response primitive.</w:t>
      </w:r>
      <w:r>
        <w:rPr>
          <w:bCs/>
          <w:szCs w:val="22"/>
        </w:rPr>
        <w:t>’</w:t>
      </w:r>
    </w:p>
    <w:p w14:paraId="33E460CC" w14:textId="77777777" w:rsidR="002C154C" w:rsidRPr="007343D4" w:rsidRDefault="002C154C" w:rsidP="002C154C">
      <w:pPr>
        <w:rPr>
          <w:bCs/>
          <w:szCs w:val="22"/>
        </w:rPr>
      </w:pPr>
    </w:p>
    <w:p w14:paraId="5B624C8C"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806FB36"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51F79E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0394E4C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21A10F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D09D00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C7ED03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68BE1811" w14:textId="77777777" w:rsidTr="00AE7C3B">
        <w:trPr>
          <w:trHeight w:val="1154"/>
        </w:trPr>
        <w:tc>
          <w:tcPr>
            <w:tcW w:w="738" w:type="dxa"/>
            <w:hideMark/>
          </w:tcPr>
          <w:p w14:paraId="6EE0450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4585</w:t>
            </w:r>
          </w:p>
        </w:tc>
        <w:tc>
          <w:tcPr>
            <w:tcW w:w="990" w:type="dxa"/>
            <w:hideMark/>
          </w:tcPr>
          <w:p w14:paraId="2CC4BB11"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1526.06</w:t>
            </w:r>
          </w:p>
        </w:tc>
        <w:tc>
          <w:tcPr>
            <w:tcW w:w="1080" w:type="dxa"/>
            <w:hideMark/>
          </w:tcPr>
          <w:p w14:paraId="12494489"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9.6.6.6</w:t>
            </w:r>
          </w:p>
        </w:tc>
        <w:tc>
          <w:tcPr>
            <w:tcW w:w="3600" w:type="dxa"/>
            <w:hideMark/>
          </w:tcPr>
          <w:p w14:paraId="1FD6E89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Why is there a "Table 9-173--Optional subelement IDs for Neighbor report" but no table showing optional subelements for Neighbor request?</w:t>
            </w:r>
          </w:p>
        </w:tc>
        <w:tc>
          <w:tcPr>
            <w:tcW w:w="3600" w:type="dxa"/>
            <w:hideMark/>
          </w:tcPr>
          <w:p w14:paraId="12A5411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5FAE3DC8" w14:textId="77777777" w:rsidR="002C154C" w:rsidRDefault="002C154C" w:rsidP="002C154C">
      <w:pPr>
        <w:rPr>
          <w:bCs/>
          <w:szCs w:val="22"/>
        </w:rPr>
      </w:pPr>
    </w:p>
    <w:p w14:paraId="3A851A4B" w14:textId="77777777" w:rsidR="002C154C" w:rsidRDefault="002C154C" w:rsidP="002C154C">
      <w:pPr>
        <w:rPr>
          <w:bCs/>
          <w:szCs w:val="22"/>
        </w:rPr>
      </w:pPr>
      <w:r>
        <w:rPr>
          <w:bCs/>
          <w:szCs w:val="22"/>
          <w:u w:val="single"/>
        </w:rPr>
        <w:t>Discussion:</w:t>
      </w:r>
    </w:p>
    <w:p w14:paraId="1F4E73A8" w14:textId="77777777" w:rsidR="002C154C" w:rsidRDefault="002C154C" w:rsidP="002C154C">
      <w:pPr>
        <w:rPr>
          <w:bCs/>
          <w:szCs w:val="22"/>
        </w:rPr>
      </w:pPr>
    </w:p>
    <w:p w14:paraId="1FB7C7A7" w14:textId="77777777" w:rsidR="002C154C" w:rsidRDefault="002C154C" w:rsidP="002C154C">
      <w:pPr>
        <w:rPr>
          <w:bCs/>
          <w:szCs w:val="22"/>
        </w:rPr>
      </w:pPr>
      <w:r>
        <w:rPr>
          <w:bCs/>
          <w:szCs w:val="22"/>
        </w:rPr>
        <w:t>The Neighbor Report Request frame (note, not “Neighbor Request”) is described in 9.6.6.6:</w:t>
      </w:r>
    </w:p>
    <w:p w14:paraId="6873206A" w14:textId="77777777" w:rsidR="002C154C" w:rsidRDefault="002C154C" w:rsidP="002C154C">
      <w:pPr>
        <w:rPr>
          <w:bCs/>
          <w:szCs w:val="22"/>
        </w:rPr>
      </w:pPr>
    </w:p>
    <w:p w14:paraId="23AF7F0A"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5CE36B0" wp14:editId="3314D84D">
            <wp:extent cx="6400800" cy="2036445"/>
            <wp:effectExtent l="0" t="0" r="0" b="19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2036445"/>
                    </a:xfrm>
                    <a:prstGeom prst="rect">
                      <a:avLst/>
                    </a:prstGeom>
                    <a:noFill/>
                    <a:ln>
                      <a:noFill/>
                    </a:ln>
                  </pic:spPr>
                </pic:pic>
              </a:graphicData>
            </a:graphic>
          </wp:inline>
        </w:drawing>
      </w:r>
    </w:p>
    <w:p w14:paraId="1EA97821" w14:textId="77777777" w:rsidR="002C154C" w:rsidRDefault="002C154C" w:rsidP="002C154C">
      <w:pPr>
        <w:rPr>
          <w:bCs/>
          <w:szCs w:val="22"/>
        </w:rPr>
      </w:pPr>
    </w:p>
    <w:p w14:paraId="66724721" w14:textId="77777777" w:rsidR="002C154C" w:rsidRDefault="002C154C" w:rsidP="002C154C">
      <w:pPr>
        <w:rPr>
          <w:bCs/>
          <w:szCs w:val="22"/>
        </w:rPr>
      </w:pPr>
      <w:r>
        <w:rPr>
          <w:bCs/>
          <w:szCs w:val="22"/>
        </w:rPr>
        <w:t>Contrast this with the Neighbor Report Response frame, described in 9.6.6.7:</w:t>
      </w:r>
    </w:p>
    <w:p w14:paraId="491F9F38" w14:textId="77777777" w:rsidR="002C154C" w:rsidRDefault="002C154C" w:rsidP="002C154C">
      <w:pPr>
        <w:rPr>
          <w:bCs/>
          <w:szCs w:val="22"/>
        </w:rPr>
      </w:pPr>
    </w:p>
    <w:p w14:paraId="5D2C063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41BADE0F" wp14:editId="38E5C85B">
            <wp:extent cx="6003290" cy="1864360"/>
            <wp:effectExtent l="0" t="0" r="0"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03290" cy="1864360"/>
                    </a:xfrm>
                    <a:prstGeom prst="rect">
                      <a:avLst/>
                    </a:prstGeom>
                    <a:noFill/>
                    <a:ln>
                      <a:noFill/>
                    </a:ln>
                  </pic:spPr>
                </pic:pic>
              </a:graphicData>
            </a:graphic>
          </wp:inline>
        </w:drawing>
      </w:r>
    </w:p>
    <w:p w14:paraId="7CF6D11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2441BE8" wp14:editId="69EF6CBE">
            <wp:extent cx="6068060" cy="332740"/>
            <wp:effectExtent l="0" t="0" r="889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68060" cy="332740"/>
                    </a:xfrm>
                    <a:prstGeom prst="rect">
                      <a:avLst/>
                    </a:prstGeom>
                    <a:noFill/>
                    <a:ln>
                      <a:noFill/>
                    </a:ln>
                  </pic:spPr>
                </pic:pic>
              </a:graphicData>
            </a:graphic>
          </wp:inline>
        </w:drawing>
      </w:r>
    </w:p>
    <w:p w14:paraId="23BFE474" w14:textId="77777777" w:rsidR="002C154C" w:rsidRDefault="002C154C" w:rsidP="002C154C">
      <w:pPr>
        <w:rPr>
          <w:bCs/>
          <w:szCs w:val="22"/>
        </w:rPr>
      </w:pPr>
    </w:p>
    <w:p w14:paraId="13ABF71B" w14:textId="77777777" w:rsidR="002C154C" w:rsidRDefault="002C154C" w:rsidP="002C154C">
      <w:pPr>
        <w:rPr>
          <w:bCs/>
          <w:szCs w:val="22"/>
        </w:rPr>
      </w:pPr>
      <w:r>
        <w:rPr>
          <w:bCs/>
          <w:szCs w:val="22"/>
        </w:rPr>
        <w:t>Unlike the Neighbor Report Response, the Neighbor Report Request does not carry “Neighbor Report Elements”.</w:t>
      </w:r>
    </w:p>
    <w:p w14:paraId="47338CCB" w14:textId="77777777" w:rsidR="002C154C" w:rsidRDefault="002C154C" w:rsidP="002C154C">
      <w:pPr>
        <w:rPr>
          <w:bCs/>
          <w:szCs w:val="22"/>
        </w:rPr>
      </w:pPr>
    </w:p>
    <w:p w14:paraId="1FAD1440" w14:textId="77777777" w:rsidR="002C154C" w:rsidRDefault="002C154C" w:rsidP="002C154C">
      <w:pPr>
        <w:rPr>
          <w:bCs/>
          <w:szCs w:val="22"/>
        </w:rPr>
      </w:pPr>
      <w:r>
        <w:rPr>
          <w:bCs/>
          <w:szCs w:val="22"/>
        </w:rPr>
        <w:t>Table 9-173 only applies to the concept “Neighbor Report Elements”.  These elements are carried in various frames from the AP to the non-AP STA, including the Neighbor Report Response, but are not carried in a Neighbor Report Request or other frames from the non-AP STA to the AP.</w:t>
      </w:r>
    </w:p>
    <w:p w14:paraId="4DEEA02F" w14:textId="77777777" w:rsidR="002C154C" w:rsidRDefault="002C154C" w:rsidP="002C154C">
      <w:pPr>
        <w:rPr>
          <w:bCs/>
          <w:szCs w:val="22"/>
        </w:rPr>
      </w:pPr>
    </w:p>
    <w:p w14:paraId="5684091C" w14:textId="77777777" w:rsidR="002C154C" w:rsidRDefault="002C154C" w:rsidP="002C154C">
      <w:pPr>
        <w:rPr>
          <w:bCs/>
          <w:szCs w:val="22"/>
        </w:rPr>
      </w:pPr>
      <w:r>
        <w:rPr>
          <w:bCs/>
          <w:szCs w:val="22"/>
        </w:rPr>
        <w:t>So, in response to the commenter, two points:</w:t>
      </w:r>
    </w:p>
    <w:p w14:paraId="225E4F71" w14:textId="77777777" w:rsidR="002C154C" w:rsidRDefault="002C154C" w:rsidP="002C154C">
      <w:pPr>
        <w:pStyle w:val="ListParagraph"/>
        <w:numPr>
          <w:ilvl w:val="0"/>
          <w:numId w:val="42"/>
        </w:numPr>
        <w:rPr>
          <w:bCs/>
          <w:szCs w:val="22"/>
        </w:rPr>
      </w:pPr>
      <w:r>
        <w:rPr>
          <w:bCs/>
          <w:szCs w:val="22"/>
        </w:rPr>
        <w:t>First, these element IDs apply to “Neighbor Reports” (per the title of Table 9-173), and in theory “Neighbor Reports” could include both the Request and Response frames.  So, there is only one table of these values</w:t>
      </w:r>
    </w:p>
    <w:p w14:paraId="171A547B" w14:textId="77777777" w:rsidR="002C154C" w:rsidRDefault="002C154C" w:rsidP="002C154C">
      <w:pPr>
        <w:pStyle w:val="ListParagraph"/>
        <w:numPr>
          <w:ilvl w:val="0"/>
          <w:numId w:val="42"/>
        </w:numPr>
        <w:rPr>
          <w:bCs/>
          <w:szCs w:val="22"/>
        </w:rPr>
      </w:pPr>
      <w:r>
        <w:rPr>
          <w:bCs/>
          <w:szCs w:val="22"/>
        </w:rPr>
        <w:t>Second, in usage, however, the Neighbor Report elements in fact only appear in the information provided by the AP to the non-AP STA, and are not present in the request from the non-AP STA.</w:t>
      </w:r>
    </w:p>
    <w:p w14:paraId="6827AF86" w14:textId="77777777" w:rsidR="002C154C" w:rsidRDefault="002C154C" w:rsidP="002C154C">
      <w:pPr>
        <w:rPr>
          <w:bCs/>
          <w:szCs w:val="22"/>
        </w:rPr>
      </w:pPr>
    </w:p>
    <w:p w14:paraId="55859466" w14:textId="77777777" w:rsidR="002C154C" w:rsidRDefault="002C154C" w:rsidP="002C154C">
      <w:pPr>
        <w:rPr>
          <w:bCs/>
          <w:szCs w:val="22"/>
        </w:rPr>
      </w:pPr>
      <w:r w:rsidRPr="002C7DB8">
        <w:rPr>
          <w:bCs/>
          <w:szCs w:val="22"/>
          <w:highlight w:val="green"/>
          <w:u w:val="single"/>
        </w:rPr>
        <w:t>Proposed Resolution:</w:t>
      </w:r>
    </w:p>
    <w:p w14:paraId="009AFC67" w14:textId="77777777" w:rsidR="002C154C" w:rsidRDefault="002C154C" w:rsidP="002C154C">
      <w:pPr>
        <w:rPr>
          <w:bCs/>
          <w:szCs w:val="22"/>
        </w:rPr>
      </w:pPr>
    </w:p>
    <w:p w14:paraId="54D1ABBF" w14:textId="77777777" w:rsidR="002C154C" w:rsidRDefault="002C154C" w:rsidP="002C154C">
      <w:pPr>
        <w:rPr>
          <w:bCs/>
          <w:szCs w:val="22"/>
        </w:rPr>
      </w:pPr>
      <w:r>
        <w:rPr>
          <w:bCs/>
          <w:szCs w:val="22"/>
        </w:rPr>
        <w:t>Revised.  Change the title of Table 9-173 to have an upper-case “R”, (“</w:t>
      </w:r>
      <w:r w:rsidRPr="002C7DB8">
        <w:rPr>
          <w:bCs/>
          <w:szCs w:val="22"/>
        </w:rPr>
        <w:t>Neighbor Report”)</w:t>
      </w:r>
      <w:r>
        <w:rPr>
          <w:bCs/>
          <w:szCs w:val="22"/>
        </w:rPr>
        <w:t xml:space="preserve">.  </w:t>
      </w:r>
    </w:p>
    <w:p w14:paraId="0AB69E4D" w14:textId="77777777" w:rsidR="002C154C" w:rsidRDefault="002C154C" w:rsidP="002C154C">
      <w:pPr>
        <w:rPr>
          <w:bCs/>
          <w:szCs w:val="22"/>
        </w:rPr>
      </w:pPr>
    </w:p>
    <w:p w14:paraId="1AE39BBC" w14:textId="77777777" w:rsidR="002C154C" w:rsidRDefault="002C154C" w:rsidP="002C154C">
      <w:pPr>
        <w:rPr>
          <w:bCs/>
          <w:szCs w:val="22"/>
        </w:rPr>
      </w:pPr>
      <w:r>
        <w:rPr>
          <w:bCs/>
          <w:szCs w:val="22"/>
        </w:rPr>
        <w:t>Note to commenter: The elements listed in Table 9-173 appear wherever “Neighbor Report elements” are called out.  Conceptually, this could be in both the Neighbor Report Response from the AP to the non-AP STA (and other informational frames from the AP) as well as in the Neighbor Report Request from the non-AP STA to the AP – which is what the commenter questioned.  However, currently the Neighbor Report elements in fact only occur in frames from the AP to the non-AP STA, anyway.</w:t>
      </w:r>
    </w:p>
    <w:p w14:paraId="28DA31C6" w14:textId="77777777" w:rsidR="002C154C" w:rsidRDefault="002C154C" w:rsidP="002C154C">
      <w:pPr>
        <w:rPr>
          <w:bCs/>
          <w:szCs w:val="22"/>
        </w:rPr>
      </w:pPr>
    </w:p>
    <w:p w14:paraId="0ACC8A60" w14:textId="77777777" w:rsidR="00B700E1" w:rsidRDefault="002C154C"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77EFF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3E54BA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6E954500"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F84F55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AC479B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E7F735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49223F1" w14:textId="77777777" w:rsidTr="00AE7C3B">
        <w:trPr>
          <w:trHeight w:val="765"/>
        </w:trPr>
        <w:tc>
          <w:tcPr>
            <w:tcW w:w="738" w:type="dxa"/>
            <w:hideMark/>
          </w:tcPr>
          <w:p w14:paraId="263D0AF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4511</w:t>
            </w:r>
          </w:p>
        </w:tc>
        <w:tc>
          <w:tcPr>
            <w:tcW w:w="990" w:type="dxa"/>
            <w:hideMark/>
          </w:tcPr>
          <w:p w14:paraId="0EDB0086"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2AFD725"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10.3.8</w:t>
            </w:r>
          </w:p>
        </w:tc>
        <w:tc>
          <w:tcPr>
            <w:tcW w:w="3600" w:type="dxa"/>
            <w:hideMark/>
          </w:tcPr>
          <w:p w14:paraId="2EDD5E5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"frames with the TXVECTOR" should be "PPDUs with the TXVECTOR"</w:t>
            </w:r>
          </w:p>
        </w:tc>
        <w:tc>
          <w:tcPr>
            <w:tcW w:w="3600" w:type="dxa"/>
            <w:hideMark/>
          </w:tcPr>
          <w:p w14:paraId="7D78F669"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as indicated in 10.3.8 (2x), 19.3.2</w:t>
            </w:r>
          </w:p>
        </w:tc>
      </w:tr>
    </w:tbl>
    <w:p w14:paraId="15798987" w14:textId="77777777" w:rsidR="00B700E1" w:rsidRDefault="00B700E1" w:rsidP="00B700E1">
      <w:pPr>
        <w:rPr>
          <w:bCs/>
          <w:szCs w:val="22"/>
        </w:rPr>
      </w:pPr>
    </w:p>
    <w:p w14:paraId="729DC3A0" w14:textId="77777777" w:rsidR="00B700E1" w:rsidRDefault="00B700E1" w:rsidP="00B700E1">
      <w:pPr>
        <w:rPr>
          <w:bCs/>
          <w:szCs w:val="22"/>
        </w:rPr>
      </w:pPr>
      <w:r>
        <w:rPr>
          <w:bCs/>
          <w:szCs w:val="22"/>
          <w:u w:val="single"/>
        </w:rPr>
        <w:t>Discussion:</w:t>
      </w:r>
    </w:p>
    <w:p w14:paraId="2966CB2F" w14:textId="77777777" w:rsidR="00B700E1" w:rsidRDefault="00B700E1" w:rsidP="00B700E1">
      <w:pPr>
        <w:rPr>
          <w:bCs/>
          <w:szCs w:val="22"/>
        </w:rPr>
      </w:pPr>
    </w:p>
    <w:p w14:paraId="678D9FDD"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0768" behindDoc="0" locked="0" layoutInCell="1" allowOverlap="1" wp14:anchorId="2692E1FA" wp14:editId="6BF3F322">
                <wp:simplePos x="0" y="0"/>
                <wp:positionH relativeFrom="column">
                  <wp:posOffset>1483207</wp:posOffset>
                </wp:positionH>
                <wp:positionV relativeFrom="paragraph">
                  <wp:posOffset>430544</wp:posOffset>
                </wp:positionV>
                <wp:extent cx="1769400" cy="55440"/>
                <wp:effectExtent l="76200" t="133350" r="97790" b="173355"/>
                <wp:wrapNone/>
                <wp:docPr id="325" name="Ink 325"/>
                <wp:cNvGraphicFramePr/>
                <a:graphic xmlns:a="http://schemas.openxmlformats.org/drawingml/2006/main">
                  <a:graphicData uri="http://schemas.microsoft.com/office/word/2010/wordprocessingInk">
                    <w14:contentPart bwMode="auto" r:id="rId70">
                      <w14:nvContentPartPr>
                        <w14:cNvContentPartPr/>
                      </w14:nvContentPartPr>
                      <w14:xfrm>
                        <a:off x="0" y="0"/>
                        <a:ext cx="1769400" cy="55440"/>
                      </w14:xfrm>
                    </w14:contentPart>
                  </a:graphicData>
                </a:graphic>
              </wp:anchor>
            </w:drawing>
          </mc:Choice>
          <mc:Fallback>
            <w:pict>
              <v:shape w14:anchorId="6802C7E2" id="Ink 325" o:spid="_x0000_s1026" type="#_x0000_t75" style="position:absolute;margin-left:112.55pt;margin-top:25.4pt;width:147.8pt;height:21.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">
                <v:imagedata r:id="rId71" o:title=""/>
              </v:shape>
            </w:pict>
          </mc:Fallback>
        </mc:AlternateContent>
      </w:r>
      <w:r w:rsidRPr="005F5CD1">
        <w:rPr>
          <w:bCs/>
          <w:noProof/>
          <w:szCs w:val="22"/>
          <w:bdr w:val="single" w:sz="8" w:space="0" w:color="auto" w:shadow="1"/>
        </w:rPr>
        <w:drawing>
          <wp:inline distT="0" distB="0" distL="0" distR="0" wp14:anchorId="08C34BDA" wp14:editId="47419E45">
            <wp:extent cx="6056630" cy="1341755"/>
            <wp:effectExtent l="0" t="0" r="127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56630" cy="1341755"/>
                    </a:xfrm>
                    <a:prstGeom prst="rect">
                      <a:avLst/>
                    </a:prstGeom>
                    <a:noFill/>
                    <a:ln>
                      <a:noFill/>
                    </a:ln>
                  </pic:spPr>
                </pic:pic>
              </a:graphicData>
            </a:graphic>
          </wp:inline>
        </w:drawing>
      </w:r>
    </w:p>
    <w:p w14:paraId="3F3AE0AA" w14:textId="77777777" w:rsidR="00B700E1" w:rsidRDefault="00B700E1" w:rsidP="00B700E1">
      <w:pPr>
        <w:rPr>
          <w:bCs/>
          <w:szCs w:val="22"/>
        </w:rPr>
      </w:pPr>
    </w:p>
    <w:p w14:paraId="50C9AB81" w14:textId="77777777" w:rsidR="00B700E1" w:rsidRDefault="00B700E1" w:rsidP="00B700E1">
      <w:pPr>
        <w:rPr>
          <w:bCs/>
          <w:szCs w:val="22"/>
        </w:rPr>
      </w:pPr>
      <w:r>
        <w:rPr>
          <w:bCs/>
          <w:szCs w:val="22"/>
        </w:rPr>
        <w:t>And in 19.3.2:</w:t>
      </w:r>
    </w:p>
    <w:p w14:paraId="63C55438" w14:textId="77777777" w:rsidR="00B700E1" w:rsidRDefault="00B700E1" w:rsidP="00B700E1">
      <w:pPr>
        <w:rPr>
          <w:bCs/>
          <w:szCs w:val="22"/>
        </w:rPr>
      </w:pPr>
    </w:p>
    <w:p w14:paraId="243CD8D0"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1792" behindDoc="0" locked="0" layoutInCell="1" allowOverlap="1" wp14:anchorId="3B61A01F" wp14:editId="2B48A40C">
                <wp:simplePos x="0" y="0"/>
                <wp:positionH relativeFrom="column">
                  <wp:posOffset>1477087</wp:posOffset>
                </wp:positionH>
                <wp:positionV relativeFrom="paragraph">
                  <wp:posOffset>158024</wp:posOffset>
                </wp:positionV>
                <wp:extent cx="1550160" cy="132120"/>
                <wp:effectExtent l="95250" t="133350" r="126365" b="172720"/>
                <wp:wrapNone/>
                <wp:docPr id="326" name="Ink 326"/>
                <wp:cNvGraphicFramePr/>
                <a:graphic xmlns:a="http://schemas.openxmlformats.org/drawingml/2006/main">
                  <a:graphicData uri="http://schemas.microsoft.com/office/word/2010/wordprocessingInk">
                    <w14:contentPart bwMode="auto" r:id="rId73">
                      <w14:nvContentPartPr>
                        <w14:cNvContentPartPr/>
                      </w14:nvContentPartPr>
                      <w14:xfrm>
                        <a:off x="0" y="0"/>
                        <a:ext cx="1550160" cy="132120"/>
                      </w14:xfrm>
                    </w14:contentPart>
                  </a:graphicData>
                </a:graphic>
              </wp:anchor>
            </w:drawing>
          </mc:Choice>
          <mc:Fallback>
            <w:pict>
              <v:shape w14:anchorId="16B893ED" id="Ink 326" o:spid="_x0000_s1026" type="#_x0000_t75" style="position:absolute;margin-left:112.05pt;margin-top:3.95pt;width:130.55pt;height:27.3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10;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">
                <v:imagedata r:id="rId74" o:title=""/>
              </v:shape>
            </w:pict>
          </mc:Fallback>
        </mc:AlternateContent>
      </w:r>
      <w:r w:rsidRPr="005F5CD1">
        <w:rPr>
          <w:bCs/>
          <w:noProof/>
          <w:szCs w:val="22"/>
          <w:bdr w:val="single" w:sz="8" w:space="0" w:color="auto" w:shadow="1"/>
        </w:rPr>
        <w:drawing>
          <wp:inline distT="0" distB="0" distL="0" distR="0" wp14:anchorId="1CCA3196" wp14:editId="13DCF713">
            <wp:extent cx="6035040" cy="548640"/>
            <wp:effectExtent l="0" t="0" r="381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35040" cy="548640"/>
                    </a:xfrm>
                    <a:prstGeom prst="rect">
                      <a:avLst/>
                    </a:prstGeom>
                    <a:noFill/>
                    <a:ln>
                      <a:noFill/>
                    </a:ln>
                  </pic:spPr>
                </pic:pic>
              </a:graphicData>
            </a:graphic>
          </wp:inline>
        </w:drawing>
      </w:r>
    </w:p>
    <w:p w14:paraId="4D566FB0" w14:textId="77777777" w:rsidR="00B700E1" w:rsidRDefault="00B700E1" w:rsidP="00B700E1">
      <w:pPr>
        <w:rPr>
          <w:bCs/>
          <w:szCs w:val="22"/>
        </w:rPr>
      </w:pPr>
    </w:p>
    <w:p w14:paraId="0807A1C3" w14:textId="77777777" w:rsidR="00B700E1" w:rsidRDefault="00B700E1" w:rsidP="00B700E1">
      <w:pPr>
        <w:rPr>
          <w:bCs/>
          <w:szCs w:val="22"/>
        </w:rPr>
      </w:pPr>
      <w:r>
        <w:rPr>
          <w:bCs/>
          <w:szCs w:val="22"/>
        </w:rPr>
        <w:t>There are also 5 occurrences of “frame with the TXVECTOR”.</w:t>
      </w:r>
    </w:p>
    <w:p w14:paraId="27D55BC1" w14:textId="77777777" w:rsidR="00B700E1" w:rsidRDefault="00B700E1" w:rsidP="00B700E1">
      <w:pPr>
        <w:rPr>
          <w:bCs/>
          <w:szCs w:val="22"/>
        </w:rPr>
      </w:pPr>
    </w:p>
    <w:p w14:paraId="3F2DD182" w14:textId="77777777" w:rsidR="00B700E1" w:rsidRDefault="00B700E1" w:rsidP="00B700E1">
      <w:pPr>
        <w:rPr>
          <w:bCs/>
          <w:szCs w:val="22"/>
        </w:rPr>
      </w:pPr>
      <w:r>
        <w:rPr>
          <w:bCs/>
          <w:szCs w:val="22"/>
        </w:rPr>
        <w:t>The vast majority of other uses of “with the TXVECTOR” are applied to PSDU(s) or PPDU(s).</w:t>
      </w:r>
    </w:p>
    <w:p w14:paraId="5BCB2C43" w14:textId="77777777" w:rsidR="00B700E1" w:rsidRDefault="00B700E1" w:rsidP="00B700E1">
      <w:pPr>
        <w:rPr>
          <w:bCs/>
          <w:szCs w:val="22"/>
        </w:rPr>
      </w:pPr>
    </w:p>
    <w:p w14:paraId="1C6DDD7C" w14:textId="77777777" w:rsidR="00B700E1" w:rsidRDefault="00B700E1" w:rsidP="00B700E1">
      <w:pPr>
        <w:rPr>
          <w:bCs/>
          <w:szCs w:val="22"/>
        </w:rPr>
      </w:pPr>
      <w:r>
        <w:rPr>
          <w:bCs/>
          <w:szCs w:val="22"/>
        </w:rPr>
        <w:t>Since the TXVECTOR is provided at the PHY SAP, along with a MPDU (== PSDU) to be transmitted, it seems that either MPDU or PSDU are most likely the best usage.  There are zero occurrences of “MPDU(s) with the TXVECTOR”, however.</w:t>
      </w:r>
    </w:p>
    <w:p w14:paraId="3DD69B0A" w14:textId="77777777" w:rsidR="00B700E1" w:rsidRDefault="00B700E1" w:rsidP="00B700E1">
      <w:pPr>
        <w:rPr>
          <w:bCs/>
          <w:szCs w:val="22"/>
        </w:rPr>
      </w:pPr>
    </w:p>
    <w:p w14:paraId="6D06A2ED" w14:textId="77777777" w:rsidR="00B700E1" w:rsidRDefault="00B700E1" w:rsidP="00B700E1">
      <w:pPr>
        <w:rPr>
          <w:bCs/>
          <w:szCs w:val="22"/>
        </w:rPr>
      </w:pPr>
      <w:r>
        <w:rPr>
          <w:bCs/>
          <w:szCs w:val="22"/>
        </w:rPr>
        <w:t>In the cases in 10.3.8, in the discussion of the Signal extension’s implication on clause 16 operation, it seems that PSDU is a logical object to reference.  Same thing in 19.3.2.</w:t>
      </w:r>
    </w:p>
    <w:p w14:paraId="32A54533" w14:textId="77777777" w:rsidR="00B700E1" w:rsidRDefault="00B700E1" w:rsidP="00B700E1">
      <w:pPr>
        <w:rPr>
          <w:bCs/>
          <w:szCs w:val="22"/>
        </w:rPr>
      </w:pPr>
    </w:p>
    <w:p w14:paraId="095C8CF9" w14:textId="77777777" w:rsidR="00B700E1" w:rsidRDefault="00B700E1" w:rsidP="00B700E1">
      <w:pPr>
        <w:rPr>
          <w:bCs/>
          <w:szCs w:val="22"/>
        </w:rPr>
      </w:pPr>
      <w:r>
        <w:rPr>
          <w:bCs/>
          <w:szCs w:val="22"/>
        </w:rPr>
        <w:t>Arguably, since these subclauses contain these details of PHY operation, they should be moved to the PHY service clause (clause 8).  But, that is way beyond the scope of this comment.  Also, the existing occurrences of “PPDU with the TXVECTOR” should be checked for whether these should be PSDU; but again, this is beyond the scope of this comment.</w:t>
      </w:r>
    </w:p>
    <w:p w14:paraId="3E98DEF6" w14:textId="77777777" w:rsidR="00B700E1" w:rsidRDefault="00B700E1" w:rsidP="00B700E1">
      <w:pPr>
        <w:rPr>
          <w:bCs/>
          <w:szCs w:val="22"/>
        </w:rPr>
      </w:pPr>
    </w:p>
    <w:p w14:paraId="09AE472E" w14:textId="77777777" w:rsidR="00B700E1" w:rsidRPr="00B700E1" w:rsidRDefault="00B700E1" w:rsidP="00B700E1">
      <w:pPr>
        <w:rPr>
          <w:bCs/>
          <w:szCs w:val="22"/>
        </w:rPr>
      </w:pPr>
      <w:r w:rsidRPr="00B700E1">
        <w:rPr>
          <w:bCs/>
          <w:szCs w:val="22"/>
        </w:rPr>
        <w:t>In the cases of “frame with the TXVECTOR” (singular “frame”), these occur in two places: rules for control response frame guard intervals, coding and format, and for S1G frame traveling pilots and preamble type.  Since the control response frame examples are in the context of a particular frame (MPDU) type, it does not make sense to reference a PSDU – we don’t talk about a PSDU “type” of (for example) “control response”.  Therefore, propose that these occurrences remain “frame with the TXVECTOR …”</w:t>
      </w:r>
    </w:p>
    <w:p w14:paraId="7DED71F2" w14:textId="77777777" w:rsidR="00B700E1" w:rsidRPr="00B700E1" w:rsidRDefault="00B700E1" w:rsidP="00B700E1">
      <w:pPr>
        <w:rPr>
          <w:bCs/>
          <w:szCs w:val="22"/>
        </w:rPr>
      </w:pPr>
    </w:p>
    <w:p w14:paraId="193940A3" w14:textId="77777777" w:rsidR="00B700E1" w:rsidRDefault="00B700E1" w:rsidP="00B700E1">
      <w:pPr>
        <w:rPr>
          <w:bCs/>
          <w:szCs w:val="22"/>
        </w:rPr>
      </w:pPr>
      <w:r w:rsidRPr="00B700E1">
        <w:rPr>
          <w:bCs/>
          <w:szCs w:val="22"/>
        </w:rPr>
        <w:t>The S1G frame traveling pilots and preamble type examples, however, are similar to the uses above that should be modified.</w:t>
      </w:r>
    </w:p>
    <w:p w14:paraId="44715A19" w14:textId="77777777" w:rsidR="00B700E1" w:rsidRDefault="00B700E1" w:rsidP="00B700E1">
      <w:pPr>
        <w:rPr>
          <w:bCs/>
          <w:szCs w:val="22"/>
        </w:rPr>
      </w:pPr>
    </w:p>
    <w:p w14:paraId="4B9A435A" w14:textId="77777777" w:rsidR="00B700E1" w:rsidRDefault="00B700E1" w:rsidP="00B700E1">
      <w:pPr>
        <w:rPr>
          <w:bCs/>
          <w:szCs w:val="22"/>
        </w:rPr>
      </w:pPr>
      <w:r w:rsidRPr="00A154DF">
        <w:rPr>
          <w:bCs/>
          <w:szCs w:val="22"/>
          <w:highlight w:val="green"/>
          <w:u w:val="single"/>
        </w:rPr>
        <w:t>Proposed Resolution:</w:t>
      </w:r>
    </w:p>
    <w:p w14:paraId="7816BE77" w14:textId="77777777" w:rsidR="00B700E1" w:rsidRDefault="00B700E1" w:rsidP="00B700E1">
      <w:pPr>
        <w:rPr>
          <w:bCs/>
          <w:szCs w:val="22"/>
        </w:rPr>
      </w:pPr>
    </w:p>
    <w:p w14:paraId="1B95D537" w14:textId="77777777" w:rsidR="00B700E1" w:rsidRDefault="00B700E1" w:rsidP="00B700E1">
      <w:pPr>
        <w:rPr>
          <w:bCs/>
          <w:szCs w:val="22"/>
        </w:rPr>
      </w:pPr>
      <w:r>
        <w:rPr>
          <w:bCs/>
          <w:szCs w:val="22"/>
        </w:rPr>
        <w:t>Revised.</w:t>
      </w:r>
    </w:p>
    <w:p w14:paraId="5E216DBB" w14:textId="77777777" w:rsidR="00B700E1" w:rsidRDefault="00B700E1" w:rsidP="00B700E1">
      <w:pPr>
        <w:rPr>
          <w:bCs/>
          <w:szCs w:val="22"/>
        </w:rPr>
      </w:pPr>
    </w:p>
    <w:p w14:paraId="437B751A" w14:textId="77777777" w:rsidR="00B700E1" w:rsidRDefault="00B700E1" w:rsidP="00B700E1">
      <w:pPr>
        <w:rPr>
          <w:bCs/>
          <w:szCs w:val="22"/>
        </w:rPr>
      </w:pPr>
      <w:r>
        <w:rPr>
          <w:bCs/>
          <w:szCs w:val="22"/>
        </w:rPr>
        <w:t xml:space="preserve">At P1769.56 and P1769.57, replace </w:t>
      </w:r>
      <w:r w:rsidRPr="00C034F6">
        <w:rPr>
          <w:bCs/>
          <w:szCs w:val="22"/>
        </w:rPr>
        <w:t xml:space="preserve">"frames with the TXVECTOR" </w:t>
      </w:r>
      <w:r>
        <w:rPr>
          <w:bCs/>
          <w:szCs w:val="22"/>
        </w:rPr>
        <w:t xml:space="preserve">with </w:t>
      </w:r>
      <w:r w:rsidRPr="00C034F6">
        <w:rPr>
          <w:bCs/>
          <w:szCs w:val="22"/>
        </w:rPr>
        <w:t>"P</w:t>
      </w:r>
      <w:r>
        <w:rPr>
          <w:bCs/>
          <w:szCs w:val="22"/>
        </w:rPr>
        <w:t>S</w:t>
      </w:r>
      <w:r w:rsidRPr="00C034F6">
        <w:rPr>
          <w:bCs/>
          <w:szCs w:val="22"/>
        </w:rPr>
        <w:t>DUs with the TXVECTOR"</w:t>
      </w:r>
      <w:r>
        <w:rPr>
          <w:bCs/>
          <w:szCs w:val="22"/>
        </w:rPr>
        <w:t>.</w:t>
      </w:r>
    </w:p>
    <w:p w14:paraId="72483BF0" w14:textId="77777777" w:rsidR="00B700E1" w:rsidRDefault="00B700E1" w:rsidP="00B700E1">
      <w:pPr>
        <w:rPr>
          <w:bCs/>
          <w:szCs w:val="22"/>
        </w:rPr>
      </w:pPr>
    </w:p>
    <w:p w14:paraId="583049B1" w14:textId="77777777" w:rsidR="00B700E1" w:rsidRPr="00B700E1" w:rsidRDefault="00B700E1" w:rsidP="00B700E1">
      <w:pPr>
        <w:rPr>
          <w:bCs/>
          <w:szCs w:val="22"/>
        </w:rPr>
      </w:pPr>
      <w:r w:rsidRPr="00B700E1">
        <w:rPr>
          <w:bCs/>
          <w:szCs w:val="22"/>
        </w:rPr>
        <w:t>At P2988.14, replace "frames with the TXVECTOR" with "PSDUs with the TXVECTOR".</w:t>
      </w:r>
    </w:p>
    <w:p w14:paraId="4F87ED88" w14:textId="77777777" w:rsidR="00B700E1" w:rsidRPr="00B700E1" w:rsidRDefault="00B700E1" w:rsidP="00B700E1">
      <w:pPr>
        <w:rPr>
          <w:bCs/>
          <w:szCs w:val="22"/>
        </w:rPr>
      </w:pPr>
    </w:p>
    <w:p w14:paraId="2CB05944" w14:textId="77777777" w:rsidR="00B700E1" w:rsidRPr="00B700E1" w:rsidRDefault="00B700E1" w:rsidP="00B700E1">
      <w:pPr>
        <w:rPr>
          <w:bCs/>
          <w:szCs w:val="22"/>
        </w:rPr>
      </w:pPr>
      <w:r w:rsidRPr="00B700E1">
        <w:rPr>
          <w:bCs/>
          <w:szCs w:val="22"/>
        </w:rPr>
        <w:t>At P2126.39, replace “frame with the TXVECTOR” with “PSDU with the TXVECTOR”.  Same thing at P2129.25.</w:t>
      </w:r>
    </w:p>
    <w:p w14:paraId="045D5DE6" w14:textId="77777777" w:rsidR="00B700E1" w:rsidRPr="00B700E1" w:rsidRDefault="00B700E1" w:rsidP="00B700E1">
      <w:pPr>
        <w:rPr>
          <w:bCs/>
          <w:szCs w:val="22"/>
        </w:rPr>
      </w:pPr>
    </w:p>
    <w:p w14:paraId="0CE7EC04" w14:textId="77777777" w:rsidR="00B700E1" w:rsidRPr="00C034F6" w:rsidRDefault="00B700E1" w:rsidP="00B700E1">
      <w:pPr>
        <w:rPr>
          <w:bCs/>
          <w:szCs w:val="22"/>
        </w:rPr>
      </w:pPr>
      <w:r w:rsidRPr="00B700E1">
        <w:rPr>
          <w:bCs/>
          <w:szCs w:val="22"/>
        </w:rPr>
        <w:t>Note to the commenter, there are also occurrences of “control response frame [singular] with the TXVECTOR”.  Coincidentally, these occurrences all involve noting the MPDU frame type of the referenced frame, and so these</w:t>
      </w:r>
      <w:r>
        <w:rPr>
          <w:bCs/>
          <w:szCs w:val="22"/>
        </w:rPr>
        <w:t xml:space="preserve"> are left using the term “frame”.  Thus, there is inherent inconsistency in the Draft around this wording, depending on the context.</w:t>
      </w:r>
    </w:p>
    <w:p w14:paraId="3856166B" w14:textId="77777777" w:rsidR="00B700E1" w:rsidRPr="00835269" w:rsidRDefault="00B700E1" w:rsidP="00B700E1">
      <w:pPr>
        <w:rPr>
          <w:bCs/>
          <w:szCs w:val="22"/>
        </w:rPr>
      </w:pPr>
    </w:p>
    <w:p w14:paraId="59A6CCD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00C5AFA"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F0DBA0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CA7BCB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A00C96C"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B3C0C9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9BB4329"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508B26C" w14:textId="77777777" w:rsidTr="00AE7C3B">
        <w:trPr>
          <w:trHeight w:val="4781"/>
        </w:trPr>
        <w:tc>
          <w:tcPr>
            <w:tcW w:w="738" w:type="dxa"/>
            <w:hideMark/>
          </w:tcPr>
          <w:p w14:paraId="050B15E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4507</w:t>
            </w:r>
          </w:p>
        </w:tc>
        <w:tc>
          <w:tcPr>
            <w:tcW w:w="990" w:type="dxa"/>
            <w:hideMark/>
          </w:tcPr>
          <w:p w14:paraId="15549DD5"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996.05</w:t>
            </w:r>
          </w:p>
        </w:tc>
        <w:tc>
          <w:tcPr>
            <w:tcW w:w="1080" w:type="dxa"/>
            <w:hideMark/>
          </w:tcPr>
          <w:p w14:paraId="6A37B67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765FD502"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"When the TIM is carried in an S1G PPDU, the traffic-indication virtual bitmap has the hierarchical structure shown in Figure 9-152 (Hierarchical structure of traffic-indication virtual bitmap carried in an S1G PPDU (11ah)), consists of 64NPNB bits and is organized into NP pages where each page consists of NB blocks, each block consists of eight subblocks, and each subblock consists of 8 bits (NP=4 and NB=32). Bit number N in the bitmap corresponds to bit number N[0:2] of the N[3:5]-th subblock of the N[6:5+n1]-th block of the N[6+n1:12]-th page, where n1 is log2NB and NB is power of 2. N[a:b] represents bits a to b inclusive of the bit number N." text duplicates figure</w:t>
            </w:r>
          </w:p>
        </w:tc>
        <w:tc>
          <w:tcPr>
            <w:tcW w:w="3600" w:type="dxa"/>
            <w:hideMark/>
          </w:tcPr>
          <w:p w14:paraId="557BAF80"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to "When the TIM is carried in an S1G PPDU, the traffic-indication virtual bitmap has the hierarchical structure shown in Figure 9-152 (Hierarchical structure of traffic-indication virtual bitmap carried in an S1G PPDU (11ah))."</w:t>
            </w:r>
          </w:p>
        </w:tc>
      </w:tr>
    </w:tbl>
    <w:p w14:paraId="39B18272" w14:textId="77777777" w:rsidR="00B700E1" w:rsidRDefault="00B700E1" w:rsidP="00B700E1">
      <w:pPr>
        <w:rPr>
          <w:bCs/>
          <w:szCs w:val="22"/>
        </w:rPr>
      </w:pPr>
    </w:p>
    <w:p w14:paraId="69E62581" w14:textId="77777777" w:rsidR="00B700E1" w:rsidRDefault="00B700E1" w:rsidP="00B700E1">
      <w:pPr>
        <w:rPr>
          <w:bCs/>
          <w:szCs w:val="22"/>
        </w:rPr>
      </w:pPr>
      <w:r>
        <w:rPr>
          <w:bCs/>
          <w:szCs w:val="22"/>
          <w:u w:val="single"/>
        </w:rPr>
        <w:t>Discussion:</w:t>
      </w:r>
    </w:p>
    <w:p w14:paraId="3D39BAC0" w14:textId="77777777" w:rsidR="00B700E1" w:rsidRDefault="00B700E1" w:rsidP="00B700E1">
      <w:pPr>
        <w:rPr>
          <w:bCs/>
          <w:szCs w:val="22"/>
        </w:rPr>
      </w:pPr>
    </w:p>
    <w:p w14:paraId="6ABE3F60"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1EFF547E" wp14:editId="44592F47">
            <wp:extent cx="6038850" cy="1769110"/>
            <wp:effectExtent l="0" t="0" r="0" b="254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38850" cy="1769110"/>
                    </a:xfrm>
                    <a:prstGeom prst="rect">
                      <a:avLst/>
                    </a:prstGeom>
                    <a:noFill/>
                    <a:ln>
                      <a:noFill/>
                    </a:ln>
                  </pic:spPr>
                </pic:pic>
              </a:graphicData>
            </a:graphic>
          </wp:inline>
        </w:drawing>
      </w:r>
    </w:p>
    <w:p w14:paraId="1F9227BC" w14:textId="77777777" w:rsidR="00B700E1" w:rsidRDefault="00B700E1" w:rsidP="00B700E1">
      <w:pPr>
        <w:rPr>
          <w:bCs/>
          <w:szCs w:val="22"/>
        </w:rPr>
      </w:pPr>
    </w:p>
    <w:p w14:paraId="450B1351"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2C7797E7" wp14:editId="030B3BFC">
            <wp:extent cx="6097905" cy="2143760"/>
            <wp:effectExtent l="0" t="0" r="0" b="889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97905" cy="2143760"/>
                    </a:xfrm>
                    <a:prstGeom prst="rect">
                      <a:avLst/>
                    </a:prstGeom>
                    <a:noFill/>
                    <a:ln>
                      <a:noFill/>
                    </a:ln>
                  </pic:spPr>
                </pic:pic>
              </a:graphicData>
            </a:graphic>
          </wp:inline>
        </w:drawing>
      </w:r>
    </w:p>
    <w:p w14:paraId="54F0D0DC" w14:textId="77777777" w:rsidR="00B700E1" w:rsidRDefault="00B700E1" w:rsidP="00B700E1">
      <w:pPr>
        <w:rPr>
          <w:bCs/>
          <w:szCs w:val="22"/>
        </w:rPr>
      </w:pPr>
    </w:p>
    <w:p w14:paraId="358957DF" w14:textId="77777777" w:rsidR="00B700E1" w:rsidRDefault="00B700E1" w:rsidP="00B700E1">
      <w:pPr>
        <w:rPr>
          <w:bCs/>
          <w:szCs w:val="22"/>
        </w:rPr>
      </w:pPr>
      <w:r>
        <w:rPr>
          <w:bCs/>
          <w:szCs w:val="22"/>
        </w:rPr>
        <w:t>Agree with the commenter, the follow-on text seems to be representing Figure 9-152 in words.</w:t>
      </w:r>
    </w:p>
    <w:p w14:paraId="70FCD894" w14:textId="77777777" w:rsidR="00B700E1" w:rsidRDefault="00B700E1" w:rsidP="00B700E1">
      <w:pPr>
        <w:rPr>
          <w:bCs/>
          <w:szCs w:val="22"/>
        </w:rPr>
      </w:pPr>
    </w:p>
    <w:p w14:paraId="2F0DAC6A" w14:textId="77777777" w:rsidR="00B700E1" w:rsidRDefault="00B700E1" w:rsidP="00B700E1">
      <w:pPr>
        <w:rPr>
          <w:bCs/>
          <w:szCs w:val="22"/>
        </w:rPr>
      </w:pPr>
      <w:r w:rsidRPr="00A154DF">
        <w:rPr>
          <w:bCs/>
          <w:szCs w:val="22"/>
          <w:highlight w:val="green"/>
          <w:u w:val="single"/>
        </w:rPr>
        <w:t>Proposed Resolution:</w:t>
      </w:r>
    </w:p>
    <w:p w14:paraId="3A9C21B8" w14:textId="77777777" w:rsidR="00B700E1" w:rsidRDefault="00B700E1" w:rsidP="00B700E1">
      <w:pPr>
        <w:rPr>
          <w:bCs/>
          <w:szCs w:val="22"/>
        </w:rPr>
      </w:pPr>
    </w:p>
    <w:p w14:paraId="12C66710" w14:textId="77777777" w:rsidR="00B700E1" w:rsidRPr="009E1118" w:rsidRDefault="00B700E1" w:rsidP="00B700E1">
      <w:pPr>
        <w:rPr>
          <w:bCs/>
          <w:szCs w:val="22"/>
        </w:rPr>
      </w:pPr>
      <w:r>
        <w:rPr>
          <w:bCs/>
          <w:szCs w:val="22"/>
        </w:rPr>
        <w:t>Accepted.</w:t>
      </w:r>
    </w:p>
    <w:p w14:paraId="606C94C5"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2F3574"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4094401A"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126C0CED"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6388DA7"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29F2A4A"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F2644E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F1A91E6" w14:textId="77777777" w:rsidTr="00AE7C3B">
        <w:trPr>
          <w:trHeight w:val="3315"/>
        </w:trPr>
        <w:tc>
          <w:tcPr>
            <w:tcW w:w="738" w:type="dxa"/>
            <w:hideMark/>
          </w:tcPr>
          <w:p w14:paraId="4022788F"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4492</w:t>
            </w:r>
          </w:p>
        </w:tc>
        <w:tc>
          <w:tcPr>
            <w:tcW w:w="990" w:type="dxa"/>
            <w:hideMark/>
          </w:tcPr>
          <w:p w14:paraId="0577E27D"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994.53</w:t>
            </w:r>
          </w:p>
        </w:tc>
        <w:tc>
          <w:tcPr>
            <w:tcW w:w="1080" w:type="dxa"/>
            <w:hideMark/>
          </w:tcPr>
          <w:p w14:paraId="63389566"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0CC8488B"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Figure 9-149--TIM element format suggests the Bitmap Control field might be absent but the Partial Virtual Bitmap field present, and there is nothing to say this is not allowed</w:t>
            </w:r>
          </w:p>
        </w:tc>
        <w:tc>
          <w:tcPr>
            <w:tcW w:w="3600" w:type="dxa"/>
            <w:hideMark/>
          </w:tcPr>
          <w:p w14:paraId="7A93B1D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After "If all bits in the virtual bitmap are 0 and all the bits of the Bitmap Control field</w:t>
            </w:r>
            <w:r w:rsidRPr="00DE7477">
              <w:rPr>
                <w:rFonts w:ascii="Arial" w:eastAsia="Times New Roman" w:hAnsi="Arial" w:cs="Arial"/>
                <w:sz w:val="20"/>
                <w:lang w:val="en-US"/>
              </w:rPr>
              <w:br/>
              <w:t>are 0, both the Partial Virtual Bitmap field and the Bitmap Control field are not present in the TIM element</w:t>
            </w:r>
            <w:r w:rsidRPr="00DE7477">
              <w:rPr>
                <w:rFonts w:ascii="Arial" w:eastAsia="Times New Roman" w:hAnsi="Arial" w:cs="Arial"/>
                <w:sz w:val="20"/>
                <w:lang w:val="en-US"/>
              </w:rPr>
              <w:br/>
              <w:t>and the Length field of the TIM element is set to 2." at 997.6 add "The Bitmap Control field is present if the Partial Virtual Bitmap field is present."</w:t>
            </w:r>
          </w:p>
        </w:tc>
      </w:tr>
    </w:tbl>
    <w:p w14:paraId="095BE3B9" w14:textId="77777777" w:rsidR="00B700E1" w:rsidRDefault="00B700E1" w:rsidP="00B700E1">
      <w:pPr>
        <w:rPr>
          <w:bCs/>
          <w:szCs w:val="22"/>
        </w:rPr>
      </w:pPr>
    </w:p>
    <w:p w14:paraId="253BE868" w14:textId="77777777" w:rsidR="00B700E1" w:rsidRDefault="00B700E1" w:rsidP="00B700E1">
      <w:pPr>
        <w:rPr>
          <w:bCs/>
          <w:szCs w:val="22"/>
        </w:rPr>
      </w:pPr>
      <w:r>
        <w:rPr>
          <w:bCs/>
          <w:szCs w:val="22"/>
          <w:u w:val="single"/>
        </w:rPr>
        <w:t>Discussion:</w:t>
      </w:r>
    </w:p>
    <w:p w14:paraId="064F9A1A" w14:textId="77777777" w:rsidR="00B700E1" w:rsidRDefault="00B700E1" w:rsidP="00B700E1">
      <w:pPr>
        <w:rPr>
          <w:bCs/>
          <w:szCs w:val="22"/>
        </w:rPr>
      </w:pPr>
    </w:p>
    <w:p w14:paraId="36D79364" w14:textId="77777777" w:rsidR="00B700E1" w:rsidRPr="00965B5F" w:rsidRDefault="00B700E1" w:rsidP="00B700E1">
      <w:pPr>
        <w:rPr>
          <w:bCs/>
          <w:noProof/>
          <w:szCs w:val="22"/>
          <w:bdr w:val="single" w:sz="8" w:space="0" w:color="auto" w:shadow="1"/>
        </w:rPr>
      </w:pPr>
      <w:r w:rsidRPr="00965B5F">
        <w:rPr>
          <w:bCs/>
          <w:noProof/>
          <w:szCs w:val="22"/>
          <w:bdr w:val="single" w:sz="8" w:space="0" w:color="auto" w:shadow="1"/>
        </w:rPr>
        <w:drawing>
          <wp:inline distT="0" distB="0" distL="0" distR="0" wp14:anchorId="6108D576" wp14:editId="2AF20270">
            <wp:extent cx="6085840" cy="1288415"/>
            <wp:effectExtent l="0" t="0" r="0" b="698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85840" cy="1288415"/>
                    </a:xfrm>
                    <a:prstGeom prst="rect">
                      <a:avLst/>
                    </a:prstGeom>
                    <a:noFill/>
                    <a:ln>
                      <a:noFill/>
                    </a:ln>
                  </pic:spPr>
                </pic:pic>
              </a:graphicData>
            </a:graphic>
          </wp:inline>
        </w:drawing>
      </w:r>
    </w:p>
    <w:p w14:paraId="073E22CC" w14:textId="77777777" w:rsidR="00B700E1" w:rsidRDefault="00B700E1" w:rsidP="00B700E1">
      <w:pPr>
        <w:rPr>
          <w:bCs/>
          <w:szCs w:val="22"/>
        </w:rPr>
      </w:pPr>
    </w:p>
    <w:p w14:paraId="75C999D0" w14:textId="77777777" w:rsidR="00B700E1" w:rsidRDefault="00B700E1" w:rsidP="00B700E1">
      <w:pPr>
        <w:rPr>
          <w:bCs/>
          <w:szCs w:val="22"/>
        </w:rPr>
      </w:pPr>
      <w:r>
        <w:rPr>
          <w:bCs/>
          <w:szCs w:val="22"/>
        </w:rPr>
        <w:t>The paragraph on P997 does cover the cases where either/both of the fields are not present due to there being no non-zero bits.  This does seem like the right place to note that if the Partial Virtual Bitmap is present, the Bitmap Control must be present.</w:t>
      </w:r>
    </w:p>
    <w:p w14:paraId="521EB91F" w14:textId="77777777" w:rsidR="00B700E1" w:rsidRDefault="00B700E1" w:rsidP="00B700E1">
      <w:pPr>
        <w:rPr>
          <w:bCs/>
          <w:szCs w:val="22"/>
        </w:rPr>
      </w:pPr>
    </w:p>
    <w:p w14:paraId="7FB0BE23" w14:textId="77777777" w:rsidR="00B700E1" w:rsidRDefault="00B700E1" w:rsidP="00B700E1">
      <w:pPr>
        <w:rPr>
          <w:bCs/>
          <w:szCs w:val="22"/>
        </w:rPr>
      </w:pPr>
      <w:r>
        <w:rPr>
          <w:bCs/>
          <w:szCs w:val="22"/>
        </w:rPr>
        <w:t>However, the line reference in the Proposed Change is incorrect (P997.6 is not after the text quoted, P997.8 is).</w:t>
      </w:r>
    </w:p>
    <w:p w14:paraId="3A7B49CA" w14:textId="77777777" w:rsidR="00B700E1" w:rsidRDefault="00B700E1" w:rsidP="00B700E1">
      <w:pPr>
        <w:rPr>
          <w:bCs/>
          <w:szCs w:val="22"/>
        </w:rPr>
      </w:pPr>
    </w:p>
    <w:p w14:paraId="26CA94A3" w14:textId="77777777" w:rsidR="00B700E1" w:rsidRDefault="00B700E1" w:rsidP="00B700E1">
      <w:pPr>
        <w:rPr>
          <w:bCs/>
          <w:szCs w:val="22"/>
        </w:rPr>
      </w:pPr>
      <w:r w:rsidRPr="00A154DF">
        <w:rPr>
          <w:bCs/>
          <w:szCs w:val="22"/>
          <w:highlight w:val="green"/>
          <w:u w:val="single"/>
        </w:rPr>
        <w:t>Proposed Resolution:</w:t>
      </w:r>
    </w:p>
    <w:p w14:paraId="44B50B47" w14:textId="77777777" w:rsidR="00B700E1" w:rsidRDefault="00B700E1" w:rsidP="00B700E1">
      <w:pPr>
        <w:rPr>
          <w:bCs/>
          <w:szCs w:val="22"/>
        </w:rPr>
      </w:pPr>
    </w:p>
    <w:p w14:paraId="707E895E" w14:textId="77777777" w:rsidR="00B700E1" w:rsidRDefault="00B700E1" w:rsidP="00B700E1">
      <w:pPr>
        <w:rPr>
          <w:bCs/>
          <w:szCs w:val="22"/>
        </w:rPr>
      </w:pPr>
      <w:r>
        <w:rPr>
          <w:bCs/>
          <w:szCs w:val="22"/>
        </w:rPr>
        <w:t>Revised.</w:t>
      </w:r>
    </w:p>
    <w:p w14:paraId="4168CE8A" w14:textId="77777777" w:rsidR="00B700E1" w:rsidRDefault="00B700E1" w:rsidP="00B700E1">
      <w:pPr>
        <w:rPr>
          <w:bCs/>
          <w:szCs w:val="22"/>
        </w:rPr>
      </w:pPr>
    </w:p>
    <w:p w14:paraId="6CC8537B" w14:textId="77777777" w:rsidR="00B700E1" w:rsidRDefault="00B700E1" w:rsidP="00B700E1">
      <w:pPr>
        <w:rPr>
          <w:bCs/>
          <w:szCs w:val="22"/>
        </w:rPr>
      </w:pPr>
      <w:r>
        <w:rPr>
          <w:bCs/>
          <w:szCs w:val="22"/>
        </w:rPr>
        <w:t>At P997.8, after “</w:t>
      </w:r>
      <w:r w:rsidRPr="0090069F">
        <w:rPr>
          <w:bCs/>
          <w:szCs w:val="22"/>
        </w:rPr>
        <w:t>the Length field of the TIM element is set to 2." add "The Bitmap Control field is present if the Partial Virtual Bitmap field is present."</w:t>
      </w:r>
    </w:p>
    <w:p w14:paraId="5C377D3C" w14:textId="77777777" w:rsidR="00B700E1" w:rsidRDefault="00B700E1" w:rsidP="00B700E1">
      <w:pPr>
        <w:rPr>
          <w:bCs/>
          <w:szCs w:val="22"/>
        </w:rPr>
      </w:pPr>
    </w:p>
    <w:p w14:paraId="57CC41D5" w14:textId="77777777" w:rsidR="00B700E1" w:rsidRPr="0090069F" w:rsidRDefault="00B700E1" w:rsidP="00B700E1">
      <w:pPr>
        <w:rPr>
          <w:bCs/>
          <w:szCs w:val="22"/>
        </w:rPr>
      </w:pPr>
      <w:r>
        <w:rPr>
          <w:bCs/>
          <w:szCs w:val="22"/>
        </w:rPr>
        <w:t>Note to the commenter, this is the requested change, with the location for the inserted text clarified.</w:t>
      </w:r>
    </w:p>
    <w:p w14:paraId="52067CD1" w14:textId="77777777" w:rsidR="00B700E1" w:rsidRPr="00762B54" w:rsidRDefault="00B700E1" w:rsidP="00B700E1">
      <w:pPr>
        <w:rPr>
          <w:bCs/>
          <w:szCs w:val="22"/>
        </w:rPr>
      </w:pPr>
    </w:p>
    <w:p w14:paraId="5DEF421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7852F9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EC7DA07"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14041EA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D19AE68"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D44CAA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E969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58F3279" w14:textId="77777777" w:rsidTr="00AE7C3B">
        <w:trPr>
          <w:trHeight w:val="2040"/>
        </w:trPr>
        <w:tc>
          <w:tcPr>
            <w:tcW w:w="738" w:type="dxa"/>
            <w:hideMark/>
          </w:tcPr>
          <w:p w14:paraId="0B7EDDC4"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4491</w:t>
            </w:r>
          </w:p>
        </w:tc>
        <w:tc>
          <w:tcPr>
            <w:tcW w:w="990" w:type="dxa"/>
            <w:hideMark/>
          </w:tcPr>
          <w:p w14:paraId="1D0E66FF"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1618.27</w:t>
            </w:r>
          </w:p>
        </w:tc>
        <w:tc>
          <w:tcPr>
            <w:tcW w:w="1080" w:type="dxa"/>
            <w:hideMark/>
          </w:tcPr>
          <w:p w14:paraId="4C92005B"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82473FC"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Figure 9-951--TIM frame Action field(#2568) format shows the TIM Element field (which contains a TIM element) as being 6-256 octets, but Figure 9-149--TIM element format shows it might only contain 4 octets</w:t>
            </w:r>
          </w:p>
        </w:tc>
        <w:tc>
          <w:tcPr>
            <w:tcW w:w="3600" w:type="dxa"/>
            <w:hideMark/>
          </w:tcPr>
          <w:p w14:paraId="4982449E"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"6-256" to "4-256"</w:t>
            </w:r>
          </w:p>
        </w:tc>
      </w:tr>
    </w:tbl>
    <w:p w14:paraId="019013F8" w14:textId="77777777" w:rsidR="00B700E1" w:rsidRDefault="00B700E1" w:rsidP="00B700E1">
      <w:pPr>
        <w:rPr>
          <w:bCs/>
          <w:szCs w:val="22"/>
        </w:rPr>
      </w:pPr>
    </w:p>
    <w:p w14:paraId="0F5AB390" w14:textId="77777777" w:rsidR="00B700E1" w:rsidRDefault="00B700E1" w:rsidP="00B700E1">
      <w:pPr>
        <w:rPr>
          <w:bCs/>
          <w:szCs w:val="22"/>
        </w:rPr>
      </w:pPr>
      <w:r>
        <w:rPr>
          <w:bCs/>
          <w:szCs w:val="22"/>
          <w:u w:val="single"/>
        </w:rPr>
        <w:t>Discussion:</w:t>
      </w:r>
    </w:p>
    <w:p w14:paraId="25A76412" w14:textId="77777777" w:rsidR="00B700E1" w:rsidRDefault="00B700E1" w:rsidP="00B700E1">
      <w:pPr>
        <w:rPr>
          <w:bCs/>
          <w:szCs w:val="22"/>
        </w:rPr>
      </w:pPr>
    </w:p>
    <w:p w14:paraId="21B6D3D4"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215442C1" wp14:editId="3891A534">
            <wp:extent cx="6035040" cy="1828800"/>
            <wp:effectExtent l="0" t="0" r="381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35040" cy="1828800"/>
                    </a:xfrm>
                    <a:prstGeom prst="rect">
                      <a:avLst/>
                    </a:prstGeom>
                    <a:noFill/>
                    <a:ln>
                      <a:noFill/>
                    </a:ln>
                  </pic:spPr>
                </pic:pic>
              </a:graphicData>
            </a:graphic>
          </wp:inline>
        </w:drawing>
      </w:r>
    </w:p>
    <w:p w14:paraId="7DE94092"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467B937B" wp14:editId="0DD5BC7D">
            <wp:extent cx="5984875" cy="374015"/>
            <wp:effectExtent l="0" t="0" r="0" b="698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84875" cy="374015"/>
                    </a:xfrm>
                    <a:prstGeom prst="rect">
                      <a:avLst/>
                    </a:prstGeom>
                    <a:noFill/>
                    <a:ln>
                      <a:noFill/>
                    </a:ln>
                  </pic:spPr>
                </pic:pic>
              </a:graphicData>
            </a:graphic>
          </wp:inline>
        </w:drawing>
      </w:r>
    </w:p>
    <w:p w14:paraId="785F0D58" w14:textId="77777777" w:rsidR="00B700E1" w:rsidRDefault="00B700E1" w:rsidP="00B700E1">
      <w:pPr>
        <w:rPr>
          <w:bCs/>
          <w:szCs w:val="22"/>
        </w:rPr>
      </w:pPr>
    </w:p>
    <w:p w14:paraId="718FEB91" w14:textId="77777777" w:rsidR="00B700E1" w:rsidRDefault="00B700E1" w:rsidP="00B700E1">
      <w:pPr>
        <w:rPr>
          <w:bCs/>
          <w:szCs w:val="22"/>
        </w:rPr>
      </w:pPr>
      <w:r>
        <w:rPr>
          <w:bCs/>
          <w:szCs w:val="22"/>
        </w:rPr>
        <w:t>As specified in 9.4.2.5, a TIM element length could be 4-256 octets:</w:t>
      </w:r>
    </w:p>
    <w:p w14:paraId="394D0A98" w14:textId="77777777" w:rsidR="00B700E1" w:rsidRDefault="00B700E1" w:rsidP="00B700E1">
      <w:pPr>
        <w:rPr>
          <w:bCs/>
          <w:szCs w:val="22"/>
        </w:rPr>
      </w:pPr>
    </w:p>
    <w:p w14:paraId="5B9C38DE" w14:textId="77777777" w:rsidR="00B700E1" w:rsidRDefault="00B700E1" w:rsidP="00B700E1">
      <w:pPr>
        <w:rPr>
          <w:bCs/>
          <w:szCs w:val="22"/>
        </w:rPr>
      </w:pPr>
      <w:r>
        <w:rPr>
          <w:bCs/>
          <w:noProof/>
          <w:szCs w:val="22"/>
        </w:rPr>
        <w:drawing>
          <wp:inline distT="0" distB="0" distL="0" distR="0" wp14:anchorId="5BACC2FA" wp14:editId="0DC0DA2C">
            <wp:extent cx="6050280" cy="1781175"/>
            <wp:effectExtent l="0" t="0" r="762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50280" cy="1781175"/>
                    </a:xfrm>
                    <a:prstGeom prst="rect">
                      <a:avLst/>
                    </a:prstGeom>
                    <a:noFill/>
                    <a:ln>
                      <a:noFill/>
                    </a:ln>
                  </pic:spPr>
                </pic:pic>
              </a:graphicData>
            </a:graphic>
          </wp:inline>
        </w:drawing>
      </w:r>
    </w:p>
    <w:p w14:paraId="133E79B6" w14:textId="77777777" w:rsidR="00B700E1" w:rsidRDefault="00B700E1" w:rsidP="00B700E1">
      <w:pPr>
        <w:rPr>
          <w:bCs/>
          <w:szCs w:val="22"/>
        </w:rPr>
      </w:pPr>
    </w:p>
    <w:p w14:paraId="5ED00585" w14:textId="77777777" w:rsidR="00B700E1" w:rsidRDefault="00B700E1" w:rsidP="00B700E1">
      <w:pPr>
        <w:rPr>
          <w:bCs/>
          <w:szCs w:val="22"/>
        </w:rPr>
      </w:pPr>
      <w:r w:rsidRPr="0006558C">
        <w:rPr>
          <w:bCs/>
          <w:szCs w:val="22"/>
          <w:highlight w:val="green"/>
          <w:u w:val="single"/>
        </w:rPr>
        <w:t>Proposed Resolution:</w:t>
      </w:r>
    </w:p>
    <w:p w14:paraId="6D70A750" w14:textId="77777777" w:rsidR="00B700E1" w:rsidRDefault="00B700E1" w:rsidP="00B700E1">
      <w:pPr>
        <w:rPr>
          <w:bCs/>
          <w:szCs w:val="22"/>
        </w:rPr>
      </w:pPr>
    </w:p>
    <w:p w14:paraId="15CFACC3" w14:textId="77777777" w:rsidR="00B700E1" w:rsidRPr="00FD4A20" w:rsidRDefault="00B700E1" w:rsidP="00B700E1">
      <w:pPr>
        <w:rPr>
          <w:bCs/>
          <w:szCs w:val="22"/>
        </w:rPr>
      </w:pPr>
      <w:r>
        <w:rPr>
          <w:bCs/>
          <w:szCs w:val="22"/>
        </w:rPr>
        <w:t>Accepted.</w:t>
      </w:r>
    </w:p>
    <w:p w14:paraId="5B2382B0"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4F38EBA"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C598F9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12E5DAFD"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70ED4A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F001196"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0AF6CF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765DB32F" w14:textId="77777777" w:rsidTr="00AE7C3B">
        <w:trPr>
          <w:trHeight w:val="2805"/>
        </w:trPr>
        <w:tc>
          <w:tcPr>
            <w:tcW w:w="738" w:type="dxa"/>
            <w:hideMark/>
          </w:tcPr>
          <w:p w14:paraId="1EB7575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4561</w:t>
            </w:r>
          </w:p>
        </w:tc>
        <w:tc>
          <w:tcPr>
            <w:tcW w:w="990" w:type="dxa"/>
            <w:hideMark/>
          </w:tcPr>
          <w:p w14:paraId="7A9EF31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838.04</w:t>
            </w:r>
          </w:p>
        </w:tc>
        <w:tc>
          <w:tcPr>
            <w:tcW w:w="1080" w:type="dxa"/>
            <w:hideMark/>
          </w:tcPr>
          <w:p w14:paraId="3EE143BA"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9.3.1.9</w:t>
            </w:r>
          </w:p>
        </w:tc>
        <w:tc>
          <w:tcPr>
            <w:tcW w:w="3600" w:type="dxa"/>
            <w:hideMark/>
          </w:tcPr>
          <w:p w14:paraId="62F00638"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"The Frame Control field is defined in 9.3.1 (Control frames). (MDR2)The subtype field is the value from</w:t>
            </w:r>
            <w:r w:rsidRPr="00DE7477">
              <w:rPr>
                <w:rFonts w:ascii="Arial" w:eastAsia="Times New Roman" w:hAnsi="Arial" w:cs="Arial"/>
                <w:sz w:val="20"/>
                <w:lang w:val="en-US"/>
              </w:rPr>
              <w:br/>
              <w:t>Table 9-1 (Valid type and subtype combinations) of 9.2.4.1.3 (Type and Subtype subfields) that corresponds</w:t>
            </w:r>
            <w:r w:rsidRPr="00DE7477">
              <w:rPr>
                <w:rFonts w:ascii="Arial" w:eastAsia="Times New Roman" w:hAnsi="Arial" w:cs="Arial"/>
                <w:sz w:val="20"/>
                <w:lang w:val="en-US"/>
              </w:rPr>
              <w:br/>
              <w:t>to Control Wrapper frame." -- we don't say this for any other frame</w:t>
            </w:r>
          </w:p>
        </w:tc>
        <w:tc>
          <w:tcPr>
            <w:tcW w:w="3600" w:type="dxa"/>
            <w:hideMark/>
          </w:tcPr>
          <w:p w14:paraId="2D2B6F68"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03AFFA14" w14:textId="77777777" w:rsidR="00B700E1" w:rsidRDefault="00B700E1" w:rsidP="00B700E1">
      <w:pPr>
        <w:rPr>
          <w:bCs/>
          <w:szCs w:val="22"/>
        </w:rPr>
      </w:pPr>
    </w:p>
    <w:p w14:paraId="1119893E" w14:textId="77777777" w:rsidR="00B700E1" w:rsidRDefault="00B700E1" w:rsidP="00B700E1">
      <w:pPr>
        <w:rPr>
          <w:bCs/>
          <w:szCs w:val="22"/>
        </w:rPr>
      </w:pPr>
      <w:r>
        <w:rPr>
          <w:bCs/>
          <w:szCs w:val="22"/>
          <w:u w:val="single"/>
        </w:rPr>
        <w:t>Discussion:</w:t>
      </w:r>
    </w:p>
    <w:p w14:paraId="1BB2B6F0" w14:textId="77777777" w:rsidR="00B700E1" w:rsidRDefault="00B700E1" w:rsidP="00B700E1">
      <w:pPr>
        <w:rPr>
          <w:bCs/>
          <w:szCs w:val="22"/>
        </w:rPr>
      </w:pPr>
    </w:p>
    <w:p w14:paraId="3220DD7F" w14:textId="77777777" w:rsidR="00B700E1" w:rsidRPr="006A5FE5" w:rsidRDefault="00B700E1" w:rsidP="00B700E1">
      <w:pPr>
        <w:rPr>
          <w:bCs/>
          <w:noProof/>
          <w:szCs w:val="22"/>
          <w:bdr w:val="single" w:sz="8" w:space="0" w:color="auto" w:shadow="1"/>
        </w:rPr>
      </w:pPr>
      <w:r w:rsidRPr="006A5FE5">
        <w:rPr>
          <w:bCs/>
          <w:noProof/>
          <w:szCs w:val="22"/>
          <w:bdr w:val="single" w:sz="8" w:space="0" w:color="auto" w:shadow="1"/>
        </w:rPr>
        <w:drawing>
          <wp:inline distT="0" distB="0" distL="0" distR="0" wp14:anchorId="3A7E8C4C" wp14:editId="23D90FEF">
            <wp:extent cx="6035040" cy="4846320"/>
            <wp:effectExtent l="0" t="0" r="381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35040" cy="4846320"/>
                    </a:xfrm>
                    <a:prstGeom prst="rect">
                      <a:avLst/>
                    </a:prstGeom>
                    <a:noFill/>
                    <a:ln>
                      <a:noFill/>
                    </a:ln>
                  </pic:spPr>
                </pic:pic>
              </a:graphicData>
            </a:graphic>
          </wp:inline>
        </w:drawing>
      </w:r>
    </w:p>
    <w:p w14:paraId="31DE0F7A" w14:textId="77777777" w:rsidR="00B700E1" w:rsidRDefault="00B700E1" w:rsidP="00B700E1">
      <w:pPr>
        <w:rPr>
          <w:bCs/>
          <w:szCs w:val="22"/>
        </w:rPr>
      </w:pPr>
    </w:p>
    <w:p w14:paraId="2F0499F5" w14:textId="77777777" w:rsidR="00B700E1" w:rsidRDefault="00B700E1" w:rsidP="00B700E1">
      <w:pPr>
        <w:rPr>
          <w:bCs/>
          <w:szCs w:val="22"/>
        </w:rPr>
      </w:pPr>
      <w:r>
        <w:rPr>
          <w:bCs/>
          <w:szCs w:val="22"/>
        </w:rPr>
        <w:t>This Control Wrapper frame does appear to be the only frame definition that explicitly says this, and it is not necessary as the Frame Control field is clearly defined in the overall Control Frame format in 9.3.1.1.</w:t>
      </w:r>
    </w:p>
    <w:p w14:paraId="5E930F4A" w14:textId="77777777" w:rsidR="00B700E1" w:rsidRDefault="00B700E1" w:rsidP="00B700E1">
      <w:pPr>
        <w:rPr>
          <w:bCs/>
          <w:szCs w:val="22"/>
        </w:rPr>
      </w:pPr>
    </w:p>
    <w:p w14:paraId="4ABE6811" w14:textId="77777777" w:rsidR="00B700E1" w:rsidRDefault="00B700E1" w:rsidP="00B700E1">
      <w:pPr>
        <w:rPr>
          <w:bCs/>
          <w:szCs w:val="22"/>
        </w:rPr>
      </w:pPr>
      <w:r w:rsidRPr="0006558C">
        <w:rPr>
          <w:bCs/>
          <w:szCs w:val="22"/>
          <w:highlight w:val="green"/>
          <w:u w:val="single"/>
        </w:rPr>
        <w:t>Proposed Resolution:</w:t>
      </w:r>
    </w:p>
    <w:p w14:paraId="05AB3A62" w14:textId="77777777" w:rsidR="00B700E1" w:rsidRDefault="00B700E1" w:rsidP="00B700E1">
      <w:pPr>
        <w:rPr>
          <w:bCs/>
          <w:szCs w:val="22"/>
        </w:rPr>
      </w:pPr>
    </w:p>
    <w:p w14:paraId="49F1E70D" w14:textId="77777777" w:rsidR="00B700E1" w:rsidRDefault="00B700E1" w:rsidP="00B700E1">
      <w:pPr>
        <w:rPr>
          <w:bCs/>
          <w:szCs w:val="22"/>
        </w:rPr>
      </w:pPr>
      <w:r>
        <w:rPr>
          <w:bCs/>
          <w:szCs w:val="22"/>
        </w:rPr>
        <w:t>Accepted.</w:t>
      </w:r>
    </w:p>
    <w:p w14:paraId="22978DC1" w14:textId="77777777" w:rsidR="004A7E1B" w:rsidRDefault="00B700E1" w:rsidP="00B700E1">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A7E1B" w14:paraId="490EEA39" w14:textId="77777777" w:rsidTr="00F474C1">
        <w:trPr>
          <w:trHeight w:val="524"/>
        </w:trPr>
        <w:tc>
          <w:tcPr>
            <w:tcW w:w="738" w:type="dxa"/>
            <w:tcBorders>
              <w:top w:val="single" w:sz="4" w:space="0" w:color="auto"/>
              <w:left w:val="single" w:sz="4" w:space="0" w:color="auto"/>
              <w:bottom w:val="single" w:sz="4" w:space="0" w:color="auto"/>
              <w:right w:val="single" w:sz="4" w:space="0" w:color="auto"/>
            </w:tcBorders>
            <w:hideMark/>
          </w:tcPr>
          <w:p w14:paraId="2B25F849" w14:textId="77777777" w:rsidR="004A7E1B" w:rsidRDefault="004A7E1B"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6AB2D3D2" w14:textId="77777777" w:rsidR="004A7E1B" w:rsidRDefault="004A7E1B"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9750E2E" w14:textId="77777777" w:rsidR="004A7E1B" w:rsidRDefault="004A7E1B"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AADF452" w14:textId="77777777" w:rsidR="004A7E1B" w:rsidRDefault="004A7E1B"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E82C010" w14:textId="77777777" w:rsidR="004A7E1B" w:rsidRDefault="004A7E1B" w:rsidP="00F474C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A7E1B" w:rsidRPr="00DE7477" w14:paraId="62960361" w14:textId="77777777" w:rsidTr="00F474C1">
        <w:trPr>
          <w:trHeight w:val="4151"/>
        </w:trPr>
        <w:tc>
          <w:tcPr>
            <w:tcW w:w="738" w:type="dxa"/>
            <w:hideMark/>
          </w:tcPr>
          <w:p w14:paraId="5C3C6053" w14:textId="77777777" w:rsidR="004A7E1B" w:rsidRPr="00DE7477" w:rsidRDefault="004A7E1B" w:rsidP="00F474C1">
            <w:pPr>
              <w:jc w:val="right"/>
              <w:rPr>
                <w:rFonts w:ascii="Arial" w:eastAsia="Times New Roman" w:hAnsi="Arial" w:cs="Arial"/>
                <w:sz w:val="20"/>
                <w:lang w:val="en-US"/>
              </w:rPr>
            </w:pPr>
            <w:r w:rsidRPr="00DE7477">
              <w:rPr>
                <w:rFonts w:ascii="Arial" w:eastAsia="Times New Roman" w:hAnsi="Arial" w:cs="Arial"/>
                <w:sz w:val="20"/>
                <w:lang w:val="en-US"/>
              </w:rPr>
              <w:t>4774</w:t>
            </w:r>
          </w:p>
        </w:tc>
        <w:tc>
          <w:tcPr>
            <w:tcW w:w="990" w:type="dxa"/>
            <w:hideMark/>
          </w:tcPr>
          <w:p w14:paraId="13484545" w14:textId="77777777" w:rsidR="004A7E1B" w:rsidRPr="00DE7477" w:rsidRDefault="004A7E1B" w:rsidP="00F474C1">
            <w:pPr>
              <w:jc w:val="right"/>
              <w:rPr>
                <w:rFonts w:ascii="Arial" w:eastAsia="Times New Roman" w:hAnsi="Arial" w:cs="Arial"/>
                <w:sz w:val="20"/>
                <w:lang w:val="en-US"/>
              </w:rPr>
            </w:pPr>
            <w:r w:rsidRPr="00DE7477">
              <w:rPr>
                <w:rFonts w:ascii="Arial" w:eastAsia="Times New Roman" w:hAnsi="Arial" w:cs="Arial"/>
                <w:sz w:val="20"/>
                <w:lang w:val="en-US"/>
              </w:rPr>
              <w:t>2187.02</w:t>
            </w:r>
          </w:p>
        </w:tc>
        <w:tc>
          <w:tcPr>
            <w:tcW w:w="1080" w:type="dxa"/>
            <w:hideMark/>
          </w:tcPr>
          <w:p w14:paraId="569617DF" w14:textId="77777777" w:rsidR="004A7E1B" w:rsidRPr="00DE7477" w:rsidRDefault="004A7E1B" w:rsidP="00F474C1">
            <w:pPr>
              <w:rPr>
                <w:rFonts w:ascii="Arial" w:eastAsia="Times New Roman" w:hAnsi="Arial" w:cs="Arial"/>
                <w:sz w:val="20"/>
                <w:lang w:val="en-US"/>
              </w:rPr>
            </w:pPr>
            <w:r w:rsidRPr="00DE7477">
              <w:rPr>
                <w:rFonts w:ascii="Arial" w:eastAsia="Times New Roman" w:hAnsi="Arial" w:cs="Arial"/>
                <w:sz w:val="20"/>
                <w:lang w:val="en-US"/>
              </w:rPr>
              <w:t>11.2.3.6</w:t>
            </w:r>
          </w:p>
        </w:tc>
        <w:tc>
          <w:tcPr>
            <w:tcW w:w="3600" w:type="dxa"/>
            <w:hideMark/>
          </w:tcPr>
          <w:p w14:paraId="571E9B81" w14:textId="77777777" w:rsidR="004A7E1B" w:rsidRPr="00DE7477" w:rsidRDefault="004A7E1B" w:rsidP="00F474C1">
            <w:pPr>
              <w:rPr>
                <w:rFonts w:ascii="Arial" w:eastAsia="Times New Roman" w:hAnsi="Arial" w:cs="Arial"/>
                <w:sz w:val="20"/>
                <w:lang w:val="en-US"/>
              </w:rPr>
            </w:pPr>
            <w:r w:rsidRPr="00DE7477">
              <w:rPr>
                <w:rFonts w:ascii="Arial" w:eastAsia="Times New Roman" w:hAnsi="Arial" w:cs="Arial"/>
                <w:sz w:val="20"/>
                <w:lang w:val="en-US"/>
              </w:rPr>
              <w:t>There is no concept of StrictlyOrdered service class, anymore.</w:t>
            </w:r>
          </w:p>
        </w:tc>
        <w:tc>
          <w:tcPr>
            <w:tcW w:w="3600" w:type="dxa"/>
            <w:hideMark/>
          </w:tcPr>
          <w:p w14:paraId="4C40875E" w14:textId="77777777" w:rsidR="004A7E1B" w:rsidRPr="00DE7477" w:rsidRDefault="004A7E1B" w:rsidP="00F474C1">
            <w:pPr>
              <w:rPr>
                <w:rFonts w:ascii="Arial" w:eastAsia="Times New Roman" w:hAnsi="Arial" w:cs="Arial"/>
                <w:sz w:val="20"/>
                <w:lang w:val="en-US"/>
              </w:rPr>
            </w:pPr>
            <w:r w:rsidRPr="00DE7477">
              <w:rPr>
                <w:rFonts w:ascii="Arial" w:eastAsia="Times New Roman" w:hAnsi="Arial" w:cs="Arial"/>
                <w:sz w:val="20"/>
                <w:lang w:val="en-US"/>
              </w:rPr>
              <w:t>Delete "except those that have the StrictlyOrdered service class".  Same thing at line 5.</w:t>
            </w:r>
            <w:r w:rsidRPr="00DE7477">
              <w:rPr>
                <w:rFonts w:ascii="Arial" w:eastAsia="Times New Roman" w:hAnsi="Arial" w:cs="Arial"/>
                <w:sz w:val="20"/>
                <w:lang w:val="en-US"/>
              </w:rPr>
              <w:br/>
            </w:r>
            <w:r w:rsidRPr="00DE7477">
              <w:rPr>
                <w:rFonts w:ascii="Arial" w:eastAsia="Times New Roman" w:hAnsi="Arial" w:cs="Arial"/>
                <w:sz w:val="20"/>
                <w:lang w:val="en-US"/>
              </w:rPr>
              <w:br/>
              <w:t>Delete the paragraph at P299.29, discussing two service classes for non-QoS STAs.</w:t>
            </w:r>
            <w:r w:rsidRPr="00DE7477">
              <w:rPr>
                <w:rFonts w:ascii="Arial" w:eastAsia="Times New Roman" w:hAnsi="Arial" w:cs="Arial"/>
                <w:sz w:val="20"/>
                <w:lang w:val="en-US"/>
              </w:rPr>
              <w:br/>
            </w:r>
            <w:r w:rsidRPr="00DE7477">
              <w:rPr>
                <w:rFonts w:ascii="Arial" w:eastAsia="Times New Roman" w:hAnsi="Arial" w:cs="Arial"/>
                <w:sz w:val="20"/>
                <w:lang w:val="en-US"/>
              </w:rPr>
              <w:br/>
              <w:t>At the start of subclause 5.1.1.4, insert a paragraph, "In Non-QoS STAs, the value of the service class parameter in invoked MAC Service Primitives (see 5.2) is ignored.  The value of the service class parameter in generated MAC Service Primitives is set to ReorderableGroupAddressed."</w:t>
            </w:r>
          </w:p>
        </w:tc>
      </w:tr>
      <w:tr w:rsidR="004A7E1B" w:rsidRPr="00DE7477" w14:paraId="02EB2C68" w14:textId="77777777" w:rsidTr="00F474C1">
        <w:trPr>
          <w:trHeight w:val="1530"/>
        </w:trPr>
        <w:tc>
          <w:tcPr>
            <w:tcW w:w="738" w:type="dxa"/>
            <w:hideMark/>
          </w:tcPr>
          <w:p w14:paraId="300C7F19" w14:textId="77777777" w:rsidR="004A7E1B" w:rsidRPr="00A64508" w:rsidRDefault="004A7E1B" w:rsidP="00F474C1">
            <w:pPr>
              <w:jc w:val="right"/>
              <w:rPr>
                <w:rFonts w:ascii="Arial" w:eastAsia="Times New Roman" w:hAnsi="Arial" w:cs="Arial"/>
                <w:sz w:val="20"/>
                <w:highlight w:val="cyan"/>
                <w:lang w:val="en-US"/>
              </w:rPr>
            </w:pPr>
            <w:r w:rsidRPr="00A64508">
              <w:rPr>
                <w:rFonts w:ascii="Arial" w:eastAsia="Times New Roman" w:hAnsi="Arial" w:cs="Arial"/>
                <w:sz w:val="20"/>
                <w:highlight w:val="cyan"/>
                <w:lang w:val="en-US"/>
              </w:rPr>
              <w:t>4392</w:t>
            </w:r>
          </w:p>
        </w:tc>
        <w:tc>
          <w:tcPr>
            <w:tcW w:w="990" w:type="dxa"/>
            <w:hideMark/>
          </w:tcPr>
          <w:p w14:paraId="6A74BA45" w14:textId="77777777" w:rsidR="004A7E1B" w:rsidRPr="00A64508" w:rsidRDefault="004A7E1B" w:rsidP="00F474C1">
            <w:pPr>
              <w:jc w:val="right"/>
              <w:rPr>
                <w:rFonts w:ascii="Arial" w:eastAsia="Times New Roman" w:hAnsi="Arial" w:cs="Arial"/>
                <w:sz w:val="20"/>
                <w:highlight w:val="cyan"/>
                <w:lang w:val="en-US"/>
              </w:rPr>
            </w:pPr>
            <w:r w:rsidRPr="00A64508">
              <w:rPr>
                <w:rFonts w:ascii="Arial" w:eastAsia="Times New Roman" w:hAnsi="Arial" w:cs="Arial"/>
                <w:sz w:val="20"/>
                <w:highlight w:val="cyan"/>
                <w:lang w:val="en-US"/>
              </w:rPr>
              <w:t>2187.02</w:t>
            </w:r>
          </w:p>
        </w:tc>
        <w:tc>
          <w:tcPr>
            <w:tcW w:w="1080" w:type="dxa"/>
            <w:hideMark/>
          </w:tcPr>
          <w:p w14:paraId="1B1AE141" w14:textId="77777777" w:rsidR="004A7E1B" w:rsidRPr="00A64508" w:rsidRDefault="004A7E1B" w:rsidP="00F474C1">
            <w:pPr>
              <w:rPr>
                <w:rFonts w:ascii="Arial" w:eastAsia="Times New Roman" w:hAnsi="Arial" w:cs="Arial"/>
                <w:sz w:val="20"/>
                <w:highlight w:val="cyan"/>
                <w:lang w:val="en-US"/>
              </w:rPr>
            </w:pPr>
            <w:r w:rsidRPr="00A64508">
              <w:rPr>
                <w:rFonts w:ascii="Arial" w:eastAsia="Times New Roman" w:hAnsi="Arial" w:cs="Arial"/>
                <w:sz w:val="20"/>
                <w:highlight w:val="cyan"/>
                <w:lang w:val="en-US"/>
              </w:rPr>
              <w:t>11.2.3.6</w:t>
            </w:r>
          </w:p>
        </w:tc>
        <w:tc>
          <w:tcPr>
            <w:tcW w:w="3600" w:type="dxa"/>
            <w:hideMark/>
          </w:tcPr>
          <w:p w14:paraId="71403B93" w14:textId="77777777" w:rsidR="004A7E1B" w:rsidRPr="00A64508" w:rsidRDefault="004A7E1B" w:rsidP="00F474C1">
            <w:pPr>
              <w:rPr>
                <w:rFonts w:ascii="Arial" w:eastAsia="Times New Roman" w:hAnsi="Arial" w:cs="Arial"/>
                <w:sz w:val="20"/>
                <w:highlight w:val="cyan"/>
                <w:lang w:val="en-US"/>
              </w:rPr>
            </w:pPr>
            <w:r w:rsidRPr="00A64508">
              <w:rPr>
                <w:rFonts w:ascii="Arial" w:eastAsia="Times New Roman" w:hAnsi="Arial" w:cs="Arial"/>
                <w:sz w:val="20"/>
                <w:highlight w:val="cyan"/>
                <w:lang w:val="en-US"/>
              </w:rPr>
              <w:t>There is no strictly ordered service class anymore</w:t>
            </w:r>
          </w:p>
        </w:tc>
        <w:tc>
          <w:tcPr>
            <w:tcW w:w="3600" w:type="dxa"/>
            <w:hideMark/>
          </w:tcPr>
          <w:p w14:paraId="483A62C0" w14:textId="77777777" w:rsidR="004A7E1B" w:rsidRPr="00DE7477" w:rsidRDefault="004A7E1B" w:rsidP="00F474C1">
            <w:pPr>
              <w:rPr>
                <w:rFonts w:ascii="Arial" w:eastAsia="Times New Roman" w:hAnsi="Arial" w:cs="Arial"/>
                <w:sz w:val="20"/>
                <w:lang w:val="en-US"/>
              </w:rPr>
            </w:pPr>
            <w:r w:rsidRPr="00A64508">
              <w:rPr>
                <w:rFonts w:ascii="Arial" w:eastAsia="Times New Roman" w:hAnsi="Arial" w:cs="Arial"/>
                <w:sz w:val="20"/>
                <w:highlight w:val="cyan"/>
                <w:lang w:val="en-US"/>
              </w:rPr>
              <w:t>In the referenced para delete ", except those that have the StrictlyOrdered service</w:t>
            </w:r>
            <w:r w:rsidRPr="00A64508">
              <w:rPr>
                <w:rFonts w:ascii="Arial" w:eastAsia="Times New Roman" w:hAnsi="Arial" w:cs="Arial"/>
                <w:sz w:val="20"/>
                <w:highlight w:val="cyan"/>
                <w:lang w:val="en-US"/>
              </w:rPr>
              <w:br/>
              <w:t>class" (2x).  In Figure 9-27 delete "/</w:t>
            </w:r>
            <w:r w:rsidRPr="00A64508">
              <w:rPr>
                <w:rFonts w:ascii="Arial" w:eastAsia="Times New Roman" w:hAnsi="Arial" w:cs="Arial"/>
                <w:sz w:val="20"/>
                <w:highlight w:val="cyan"/>
                <w:lang w:val="en-US"/>
              </w:rPr>
              <w:br/>
              <w:t>Order"</w:t>
            </w:r>
          </w:p>
        </w:tc>
      </w:tr>
    </w:tbl>
    <w:p w14:paraId="13133E4B" w14:textId="77777777" w:rsidR="004A7E1B" w:rsidRDefault="004A7E1B" w:rsidP="004A7E1B">
      <w:pPr>
        <w:rPr>
          <w:bCs/>
          <w:szCs w:val="22"/>
        </w:rPr>
      </w:pPr>
    </w:p>
    <w:p w14:paraId="644972AD" w14:textId="77777777" w:rsidR="004A7E1B" w:rsidRDefault="004A7E1B" w:rsidP="004A7E1B">
      <w:pPr>
        <w:rPr>
          <w:bCs/>
          <w:szCs w:val="22"/>
        </w:rPr>
      </w:pPr>
      <w:r>
        <w:rPr>
          <w:bCs/>
          <w:szCs w:val="22"/>
          <w:u w:val="single"/>
        </w:rPr>
        <w:t>Discussion:</w:t>
      </w:r>
    </w:p>
    <w:p w14:paraId="70C146DD" w14:textId="77777777" w:rsidR="004A7E1B" w:rsidRDefault="004A7E1B" w:rsidP="004A7E1B">
      <w:pPr>
        <w:rPr>
          <w:bCs/>
          <w:szCs w:val="22"/>
        </w:rPr>
      </w:pPr>
    </w:p>
    <w:p w14:paraId="41C87B54" w14:textId="77777777" w:rsidR="004A7E1B" w:rsidRDefault="004A7E1B" w:rsidP="004A7E1B">
      <w:pPr>
        <w:rPr>
          <w:bCs/>
          <w:szCs w:val="22"/>
        </w:rPr>
      </w:pPr>
      <w:r>
        <w:rPr>
          <w:bCs/>
          <w:szCs w:val="22"/>
        </w:rPr>
        <w:t xml:space="preserve">There are exactly two occurrences of “StrictlyOrdered” (or “strictly ordered”) in the Draft, at the P2187 locations cited in the Proposed Changes.  </w:t>
      </w:r>
    </w:p>
    <w:p w14:paraId="433026D9" w14:textId="77777777" w:rsidR="004A7E1B" w:rsidRDefault="004A7E1B" w:rsidP="004A7E1B">
      <w:pPr>
        <w:rPr>
          <w:bCs/>
          <w:szCs w:val="22"/>
        </w:rPr>
      </w:pPr>
    </w:p>
    <w:p w14:paraId="294F2ACD"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mc:AlternateContent>
          <mc:Choice Requires="wpi">
            <w:drawing>
              <wp:anchor distT="0" distB="0" distL="114300" distR="114300" simplePos="0" relativeHeight="251686912" behindDoc="0" locked="0" layoutInCell="1" allowOverlap="1" wp14:anchorId="6C91EB9C" wp14:editId="3508AECB">
                <wp:simplePos x="0" y="0"/>
                <wp:positionH relativeFrom="column">
                  <wp:posOffset>1584002</wp:posOffset>
                </wp:positionH>
                <wp:positionV relativeFrom="paragraph">
                  <wp:posOffset>743573</wp:posOffset>
                </wp:positionV>
                <wp:extent cx="795600" cy="33840"/>
                <wp:effectExtent l="57150" t="152400" r="24130" b="156845"/>
                <wp:wrapNone/>
                <wp:docPr id="31" name="Ink 31"/>
                <wp:cNvGraphicFramePr/>
                <a:graphic xmlns:a="http://schemas.openxmlformats.org/drawingml/2006/main">
                  <a:graphicData uri="http://schemas.microsoft.com/office/word/2010/wordprocessingInk">
                    <w14:contentPart bwMode="auto" r:id="rId83">
                      <w14:nvContentPartPr>
                        <w14:cNvContentPartPr/>
                      </w14:nvContentPartPr>
                      <w14:xfrm>
                        <a:off x="0" y="0"/>
                        <a:ext cx="795600" cy="33840"/>
                      </w14:xfrm>
                    </w14:contentPart>
                  </a:graphicData>
                </a:graphic>
              </wp:anchor>
            </w:drawing>
          </mc:Choice>
          <mc:Fallback>
            <w:pict>
              <v:shape w14:anchorId="07C50960" id="Ink 31" o:spid="_x0000_s1026" type="#_x0000_t75" style="position:absolute;margin-left:120.45pt;margin-top:50.05pt;width:71.2pt;height:19.6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">
                <v:imagedata r:id="rId84" o:title=""/>
              </v:shape>
            </w:pict>
          </mc:Fallback>
        </mc:AlternateContent>
      </w:r>
      <w:r w:rsidRPr="005C22F6">
        <w:rPr>
          <w:bCs/>
          <w:noProof/>
          <w:szCs w:val="22"/>
          <w:bdr w:val="single" w:sz="8" w:space="0" w:color="auto" w:shadow="1"/>
        </w:rPr>
        <mc:AlternateContent>
          <mc:Choice Requires="wpi">
            <w:drawing>
              <wp:anchor distT="0" distB="0" distL="114300" distR="114300" simplePos="0" relativeHeight="251685888" behindDoc="0" locked="0" layoutInCell="1" allowOverlap="1" wp14:anchorId="2926639C" wp14:editId="40C8248C">
                <wp:simplePos x="0" y="0"/>
                <wp:positionH relativeFrom="column">
                  <wp:posOffset>4790162</wp:posOffset>
                </wp:positionH>
                <wp:positionV relativeFrom="paragraph">
                  <wp:posOffset>251093</wp:posOffset>
                </wp:positionV>
                <wp:extent cx="724320" cy="11880"/>
                <wp:effectExtent l="95250" t="133350" r="114300" b="160020"/>
                <wp:wrapNone/>
                <wp:docPr id="224" name="Ink 224"/>
                <wp:cNvGraphicFramePr/>
                <a:graphic xmlns:a="http://schemas.openxmlformats.org/drawingml/2006/main">
                  <a:graphicData uri="http://schemas.microsoft.com/office/word/2010/wordprocessingInk">
                    <w14:contentPart bwMode="auto" r:id="rId85">
                      <w14:nvContentPartPr>
                        <w14:cNvContentPartPr/>
                      </w14:nvContentPartPr>
                      <w14:xfrm>
                        <a:off x="0" y="0"/>
                        <a:ext cx="724320" cy="11880"/>
                      </w14:xfrm>
                    </w14:contentPart>
                  </a:graphicData>
                </a:graphic>
              </wp:anchor>
            </w:drawing>
          </mc:Choice>
          <mc:Fallback>
            <w:pict>
              <v:shape w14:anchorId="53BCEEB4" id="Ink 224" o:spid="_x0000_s1026" type="#_x0000_t75" style="position:absolute;margin-left:372.95pt;margin-top:11.25pt;width:65.55pt;height:17.9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">
                <v:imagedata r:id="rId86" o:title=""/>
              </v:shape>
            </w:pict>
          </mc:Fallback>
        </mc:AlternateContent>
      </w:r>
      <w:r w:rsidRPr="005C22F6">
        <w:rPr>
          <w:bCs/>
          <w:noProof/>
          <w:szCs w:val="22"/>
          <w:bdr w:val="single" w:sz="8" w:space="0" w:color="auto" w:shadow="1"/>
        </w:rPr>
        <w:drawing>
          <wp:inline distT="0" distB="0" distL="0" distR="0" wp14:anchorId="592EF6A2" wp14:editId="79B894A4">
            <wp:extent cx="6035040" cy="1005840"/>
            <wp:effectExtent l="0" t="0" r="381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35040" cy="1005840"/>
                    </a:xfrm>
                    <a:prstGeom prst="rect">
                      <a:avLst/>
                    </a:prstGeom>
                    <a:noFill/>
                    <a:ln>
                      <a:noFill/>
                    </a:ln>
                  </pic:spPr>
                </pic:pic>
              </a:graphicData>
            </a:graphic>
          </wp:inline>
        </w:drawing>
      </w:r>
    </w:p>
    <w:p w14:paraId="5D29B763" w14:textId="77777777" w:rsidR="004A7E1B" w:rsidRDefault="004A7E1B" w:rsidP="004A7E1B">
      <w:pPr>
        <w:rPr>
          <w:bCs/>
          <w:szCs w:val="22"/>
        </w:rPr>
      </w:pPr>
    </w:p>
    <w:p w14:paraId="246D44A8" w14:textId="77777777" w:rsidR="004A7E1B" w:rsidRDefault="004A7E1B" w:rsidP="004A7E1B">
      <w:pPr>
        <w:rPr>
          <w:bCs/>
          <w:szCs w:val="22"/>
        </w:rPr>
      </w:pPr>
      <w:r>
        <w:rPr>
          <w:bCs/>
          <w:szCs w:val="22"/>
        </w:rPr>
        <w:t>The cited locations on P299 (subclause 5.1.1.1) and in 5.1.1.4 are the only locations that discuss the concept “service class” for non-QoS STAs, without a restriction that only “ReorderableGroupAddressed” is allowed.  So, these two locations are the only other places that need to be modified to complete the restriction to only “ReorderableGroupAddressed” service class for non-QoS STAs.</w:t>
      </w:r>
    </w:p>
    <w:p w14:paraId="0EEFA5E5" w14:textId="77777777" w:rsidR="004A7E1B" w:rsidRDefault="004A7E1B" w:rsidP="004A7E1B">
      <w:pPr>
        <w:rPr>
          <w:bCs/>
          <w:szCs w:val="22"/>
        </w:rPr>
      </w:pPr>
    </w:p>
    <w:p w14:paraId="1ABBF2E6" w14:textId="77777777" w:rsidR="004A7E1B" w:rsidRDefault="004A7E1B" w:rsidP="004A7E1B">
      <w:pPr>
        <w:rPr>
          <w:bCs/>
          <w:szCs w:val="22"/>
        </w:rPr>
      </w:pPr>
      <w:r>
        <w:rPr>
          <w:bCs/>
          <w:szCs w:val="22"/>
        </w:rPr>
        <w:t>The paragraph at P299.29:</w:t>
      </w:r>
    </w:p>
    <w:p w14:paraId="37621794"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392B5815" wp14:editId="4EDEE4E3">
            <wp:extent cx="5981700" cy="6667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81700" cy="666750"/>
                    </a:xfrm>
                    <a:prstGeom prst="rect">
                      <a:avLst/>
                    </a:prstGeom>
                    <a:noFill/>
                    <a:ln>
                      <a:noFill/>
                    </a:ln>
                  </pic:spPr>
                </pic:pic>
              </a:graphicData>
            </a:graphic>
          </wp:inline>
        </w:drawing>
      </w:r>
    </w:p>
    <w:p w14:paraId="492F612E" w14:textId="77777777" w:rsidR="004A7E1B" w:rsidRDefault="004A7E1B" w:rsidP="004A7E1B">
      <w:pPr>
        <w:rPr>
          <w:bCs/>
          <w:szCs w:val="22"/>
        </w:rPr>
      </w:pPr>
      <w:r>
        <w:rPr>
          <w:bCs/>
          <w:szCs w:val="22"/>
        </w:rPr>
        <w:t>Note that this paragraph says, “as discussed in more detail below”, except it is not discussed below (that has been removed already).</w:t>
      </w:r>
    </w:p>
    <w:p w14:paraId="39B00870" w14:textId="77777777" w:rsidR="004A7E1B" w:rsidRDefault="004A7E1B" w:rsidP="004A7E1B">
      <w:pPr>
        <w:rPr>
          <w:bCs/>
          <w:szCs w:val="22"/>
        </w:rPr>
      </w:pPr>
    </w:p>
    <w:p w14:paraId="31408BA7" w14:textId="77777777" w:rsidR="004A7E1B" w:rsidRDefault="004A7E1B" w:rsidP="004A7E1B">
      <w:pPr>
        <w:rPr>
          <w:bCs/>
          <w:szCs w:val="22"/>
        </w:rPr>
      </w:pPr>
      <w:r>
        <w:rPr>
          <w:bCs/>
          <w:szCs w:val="22"/>
        </w:rPr>
        <w:t>Subclause 5.1.1.4 is where the service class parameter to the MAC SAP is discussed:</w:t>
      </w:r>
    </w:p>
    <w:p w14:paraId="143A4CC7"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57FFA856" wp14:editId="05E9DD36">
            <wp:extent cx="6115685" cy="2660015"/>
            <wp:effectExtent l="0" t="0" r="0" b="698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5685" cy="2660015"/>
                    </a:xfrm>
                    <a:prstGeom prst="rect">
                      <a:avLst/>
                    </a:prstGeom>
                    <a:noFill/>
                    <a:ln>
                      <a:noFill/>
                    </a:ln>
                  </pic:spPr>
                </pic:pic>
              </a:graphicData>
            </a:graphic>
          </wp:inline>
        </w:drawing>
      </w:r>
    </w:p>
    <w:p w14:paraId="1BA0303B"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77D81EA8" wp14:editId="391CFC28">
            <wp:extent cx="5991225" cy="1840865"/>
            <wp:effectExtent l="0" t="0" r="9525" b="698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91225" cy="1840865"/>
                    </a:xfrm>
                    <a:prstGeom prst="rect">
                      <a:avLst/>
                    </a:prstGeom>
                    <a:noFill/>
                    <a:ln>
                      <a:noFill/>
                    </a:ln>
                  </pic:spPr>
                </pic:pic>
              </a:graphicData>
            </a:graphic>
          </wp:inline>
        </w:drawing>
      </w:r>
    </w:p>
    <w:p w14:paraId="6B671B47" w14:textId="77777777" w:rsidR="004A7E1B" w:rsidRDefault="004A7E1B" w:rsidP="004A7E1B">
      <w:pPr>
        <w:rPr>
          <w:bCs/>
          <w:szCs w:val="22"/>
        </w:rPr>
      </w:pPr>
    </w:p>
    <w:p w14:paraId="6D8E5672" w14:textId="77777777" w:rsidR="004A7E1B" w:rsidRDefault="004A7E1B" w:rsidP="004A7E1B">
      <w:pPr>
        <w:rPr>
          <w:bCs/>
          <w:szCs w:val="22"/>
        </w:rPr>
      </w:pPr>
      <w:r>
        <w:rPr>
          <w:bCs/>
          <w:szCs w:val="22"/>
        </w:rPr>
        <w:t xml:space="preserve">The last paragraph of this subclause deals with receiving a non-QoS Data frame.  This could be in the context of a non-QoS STA receiving the frame, or a QoS STA receiving the frame.  The current text seems correct for a QoS STA receiving the frame.  But a non-QoS STA receiving the frame needs to yield a value of service class in the indication primitive that is understood by the non-QoS upper layers.  </w:t>
      </w:r>
    </w:p>
    <w:p w14:paraId="089743BC" w14:textId="77777777" w:rsidR="004A7E1B" w:rsidRDefault="004A7E1B" w:rsidP="004A7E1B">
      <w:pPr>
        <w:rPr>
          <w:bCs/>
          <w:szCs w:val="22"/>
        </w:rPr>
      </w:pPr>
    </w:p>
    <w:p w14:paraId="2E0E4190" w14:textId="77777777" w:rsidR="004A7E1B" w:rsidRDefault="004A7E1B" w:rsidP="004A7E1B">
      <w:pPr>
        <w:rPr>
          <w:bCs/>
          <w:szCs w:val="22"/>
        </w:rPr>
      </w:pPr>
      <w:r>
        <w:rPr>
          <w:bCs/>
          <w:szCs w:val="22"/>
        </w:rPr>
        <w:t>Thus, the Proposed Changes for CID 4774 appear correct.  But, for completeness, it would be better to note in the last paragraph of 5.1.1.4 that the existing text applies if the non-QoS Data frame is received at a QoS STA.  And, then, for clarity, the new text about a non-QoS STA receiving such a frame should be located here (at the end of the subclause, not the beginning).</w:t>
      </w:r>
    </w:p>
    <w:p w14:paraId="73F608FA" w14:textId="77777777" w:rsidR="004A7E1B" w:rsidRDefault="004A7E1B" w:rsidP="004A7E1B">
      <w:pPr>
        <w:rPr>
          <w:bCs/>
          <w:szCs w:val="22"/>
        </w:rPr>
      </w:pPr>
    </w:p>
    <w:p w14:paraId="40C34C97" w14:textId="77777777" w:rsidR="004A7E1B" w:rsidRPr="00A64508" w:rsidRDefault="004A7E1B" w:rsidP="004A7E1B">
      <w:pPr>
        <w:rPr>
          <w:bCs/>
          <w:szCs w:val="22"/>
        </w:rPr>
      </w:pPr>
      <w:r w:rsidRPr="00A64508">
        <w:rPr>
          <w:bCs/>
          <w:szCs w:val="22"/>
        </w:rPr>
        <w:t>Also, one straggling vestige of strictly ordered is the +HTC/Order bit in the Frame Control header of control frames in some cases, as shown in Figure 9-27.  The use of this bit position as a “+HTC/Order” subfield, rather than just a “+HTC” subfield was removed previously, but the field in Figure 9-27 was missed.</w:t>
      </w:r>
    </w:p>
    <w:p w14:paraId="1F5E1ABE" w14:textId="77777777" w:rsidR="004A7E1B" w:rsidRPr="00A64508" w:rsidRDefault="004A7E1B" w:rsidP="004A7E1B">
      <w:pPr>
        <w:rPr>
          <w:bCs/>
          <w:szCs w:val="22"/>
        </w:rPr>
      </w:pPr>
    </w:p>
    <w:p w14:paraId="7834B559" w14:textId="77777777" w:rsidR="004A7E1B" w:rsidRPr="00A64508" w:rsidRDefault="004A7E1B" w:rsidP="004A7E1B">
      <w:pPr>
        <w:rPr>
          <w:bCs/>
          <w:szCs w:val="22"/>
        </w:rPr>
      </w:pPr>
      <w:r w:rsidRPr="004A7E1B">
        <w:rPr>
          <w:bCs/>
          <w:szCs w:val="22"/>
          <w:highlight w:val="green"/>
          <w:u w:val="single"/>
        </w:rPr>
        <w:t>Proposed Resolution:</w:t>
      </w:r>
    </w:p>
    <w:p w14:paraId="191E1EBB" w14:textId="77777777" w:rsidR="004A7E1B" w:rsidRPr="00A64508" w:rsidRDefault="004A7E1B" w:rsidP="004A7E1B">
      <w:pPr>
        <w:rPr>
          <w:bCs/>
          <w:szCs w:val="22"/>
        </w:rPr>
      </w:pPr>
    </w:p>
    <w:p w14:paraId="338DA81A" w14:textId="77777777" w:rsidR="004A7E1B" w:rsidRPr="00A64508" w:rsidRDefault="004A7E1B" w:rsidP="004A7E1B">
      <w:pPr>
        <w:rPr>
          <w:bCs/>
          <w:szCs w:val="22"/>
        </w:rPr>
      </w:pPr>
      <w:r w:rsidRPr="00A64508">
        <w:rPr>
          <w:bCs/>
          <w:szCs w:val="22"/>
        </w:rPr>
        <w:t>Revised.</w:t>
      </w:r>
    </w:p>
    <w:p w14:paraId="5C76C1D0" w14:textId="77777777" w:rsidR="004A7E1B" w:rsidRPr="00A64508" w:rsidRDefault="004A7E1B" w:rsidP="004A7E1B">
      <w:pPr>
        <w:rPr>
          <w:bCs/>
          <w:szCs w:val="22"/>
        </w:rPr>
      </w:pPr>
    </w:p>
    <w:p w14:paraId="52F636A2" w14:textId="77777777" w:rsidR="004A7E1B" w:rsidRPr="00A64508" w:rsidRDefault="004A7E1B" w:rsidP="004A7E1B">
      <w:pPr>
        <w:rPr>
          <w:bCs/>
          <w:szCs w:val="22"/>
        </w:rPr>
      </w:pPr>
      <w:r w:rsidRPr="00A64508">
        <w:rPr>
          <w:bCs/>
          <w:szCs w:val="22"/>
        </w:rPr>
        <w:t>At 2187.02, delete "except those that have the StrictlyOrdered service class".  Same thing at line 5.</w:t>
      </w:r>
    </w:p>
    <w:p w14:paraId="4A9AB82C" w14:textId="77777777" w:rsidR="004A7E1B" w:rsidRPr="00A64508" w:rsidRDefault="004A7E1B" w:rsidP="004A7E1B">
      <w:pPr>
        <w:rPr>
          <w:bCs/>
          <w:szCs w:val="22"/>
        </w:rPr>
      </w:pPr>
    </w:p>
    <w:p w14:paraId="2C98493A" w14:textId="77777777" w:rsidR="004A7E1B" w:rsidRPr="00A64508" w:rsidRDefault="004A7E1B" w:rsidP="004A7E1B">
      <w:pPr>
        <w:rPr>
          <w:bCs/>
          <w:szCs w:val="22"/>
        </w:rPr>
      </w:pPr>
      <w:r w:rsidRPr="00A64508">
        <w:rPr>
          <w:bCs/>
          <w:szCs w:val="22"/>
        </w:rPr>
        <w:t>Delete the paragraph at P299.29, discussing two service classes for non-QoS STAs.</w:t>
      </w:r>
    </w:p>
    <w:p w14:paraId="693DF65B" w14:textId="77777777" w:rsidR="004A7E1B" w:rsidRPr="00A64508" w:rsidRDefault="004A7E1B" w:rsidP="004A7E1B">
      <w:pPr>
        <w:rPr>
          <w:bCs/>
          <w:szCs w:val="22"/>
        </w:rPr>
      </w:pPr>
    </w:p>
    <w:p w14:paraId="0920FB6C" w14:textId="77777777" w:rsidR="004A7E1B" w:rsidRPr="00A64508" w:rsidRDefault="004A7E1B" w:rsidP="004A7E1B">
      <w:pPr>
        <w:rPr>
          <w:bCs/>
          <w:szCs w:val="22"/>
        </w:rPr>
      </w:pPr>
      <w:r w:rsidRPr="00A64508">
        <w:rPr>
          <w:bCs/>
          <w:szCs w:val="22"/>
        </w:rPr>
        <w:t>In the (currently) last paragraph of 5.1.1.4, change “from a STA” to “at a QoS STA from any other STA”.</w:t>
      </w:r>
    </w:p>
    <w:p w14:paraId="515A0319" w14:textId="77777777" w:rsidR="004A7E1B" w:rsidRPr="00A64508" w:rsidRDefault="004A7E1B" w:rsidP="004A7E1B">
      <w:pPr>
        <w:rPr>
          <w:bCs/>
          <w:szCs w:val="22"/>
        </w:rPr>
      </w:pPr>
    </w:p>
    <w:p w14:paraId="0535BE03" w14:textId="77777777" w:rsidR="004A7E1B" w:rsidRPr="00A64508" w:rsidRDefault="004A7E1B" w:rsidP="004A7E1B">
      <w:pPr>
        <w:rPr>
          <w:bCs/>
          <w:szCs w:val="22"/>
        </w:rPr>
      </w:pPr>
      <w:r w:rsidRPr="00A64508">
        <w:rPr>
          <w:bCs/>
          <w:szCs w:val="22"/>
        </w:rPr>
        <w:t>At the end of subclause 5.1.1.4, insert a paragraph, "In non-QoS STAs, the value of the service class parameter in invoked MAC service primitives (see 5.2) is ignored.  The value of the service class parameter in generated MAC service primitives is set to ReorderableGroupAddressed."</w:t>
      </w:r>
    </w:p>
    <w:p w14:paraId="79C72A17" w14:textId="77777777" w:rsidR="004A7E1B" w:rsidRPr="00A64508" w:rsidRDefault="004A7E1B" w:rsidP="004A7E1B">
      <w:pPr>
        <w:rPr>
          <w:bCs/>
          <w:szCs w:val="22"/>
        </w:rPr>
      </w:pPr>
    </w:p>
    <w:p w14:paraId="68A6AC9D" w14:textId="77777777" w:rsidR="004A7E1B" w:rsidRPr="00AA3B9E" w:rsidRDefault="004A7E1B" w:rsidP="004A7E1B">
      <w:pPr>
        <w:rPr>
          <w:bCs/>
          <w:szCs w:val="22"/>
        </w:rPr>
      </w:pPr>
      <w:r w:rsidRPr="00A64508">
        <w:rPr>
          <w:bCs/>
          <w:szCs w:val="22"/>
        </w:rPr>
        <w:t>In Figure 9-27, change the subfield “+HTC/Order” to be “+HTC”.</w:t>
      </w:r>
    </w:p>
    <w:p w14:paraId="5D38F167" w14:textId="77777777" w:rsidR="004A7E1B" w:rsidRDefault="004A7E1B" w:rsidP="004A7E1B">
      <w:pPr>
        <w:rPr>
          <w:bCs/>
          <w:szCs w:val="22"/>
        </w:rPr>
      </w:pPr>
      <w:r>
        <w:rPr>
          <w:bCs/>
          <w:szCs w:val="22"/>
        </w:rPr>
        <w:br w:type="page"/>
      </w:r>
    </w:p>
    <w:p w14:paraId="78BD676B" w14:textId="3300039E" w:rsidR="002C154C" w:rsidRDefault="002C154C" w:rsidP="00B700E1"/>
    <w:sectPr w:rsidR="002C154C" w:rsidSect="009E579C">
      <w:headerReference w:type="default" r:id="rId91"/>
      <w:footerReference w:type="default" r:id="rId92"/>
      <w:pgSz w:w="12240" w:h="15840" w:code="1"/>
      <w:pgMar w:top="1077" w:right="1077" w:bottom="1077" w:left="1077" w:header="431" w:footer="43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Mark Rison" w:date="2020-02-17T16:36:00Z" w:initials="MR">
    <w:p w14:paraId="099451E7" w14:textId="77777777" w:rsidR="006478EE" w:rsidRDefault="006478EE" w:rsidP="006478EE">
      <w:pPr>
        <w:pStyle w:val="CommentText"/>
      </w:pPr>
      <w:r>
        <w:rPr>
          <w:rStyle w:val="CommentReference"/>
        </w:rPr>
        <w:annotationRef/>
      </w:r>
      <w:r>
        <w:t>Consider changing to “at”</w:t>
      </w:r>
    </w:p>
  </w:comment>
  <w:comment w:id="4" w:author="Graham Smith" w:date="2020-02-20T15:43:00Z" w:initials="GS">
    <w:p w14:paraId="1A16BE65" w14:textId="77777777" w:rsidR="006478EE" w:rsidRDefault="006478EE" w:rsidP="006478EE">
      <w:pPr>
        <w:pStyle w:val="CommentText"/>
      </w:pPr>
      <w:r>
        <w:rPr>
          <w:rStyle w:val="CommentReference"/>
        </w:rPr>
        <w:annotationRef/>
      </w:r>
      <w:r>
        <w:t>Mark H is not sure about “a value of”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99451E7" w15:done="0"/>
  <w15:commentEx w15:paraId="1A16BE6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9451E7" w16cid:durableId="22750A9A"/>
  <w16cid:commentId w16cid:paraId="1A16BE65" w16cid:durableId="22750A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2AAEBE" w14:textId="77777777" w:rsidR="00146FFF" w:rsidRDefault="00146FFF">
      <w:r>
        <w:separator/>
      </w:r>
    </w:p>
  </w:endnote>
  <w:endnote w:type="continuationSeparator" w:id="0">
    <w:p w14:paraId="3D91E0C0" w14:textId="77777777" w:rsidR="00146FFF" w:rsidRDefault="00146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Cambria"/>
    <w:panose1 w:val="00000000000000000000"/>
    <w:charset w:val="00"/>
    <w:family w:val="roman"/>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655E6364" w:rsidR="00AE7C3B" w:rsidRDefault="00146FFF" w:rsidP="00070C53">
    <w:pPr>
      <w:pStyle w:val="Footer"/>
      <w:tabs>
        <w:tab w:val="clear" w:pos="6480"/>
        <w:tab w:val="center" w:pos="4680"/>
        <w:tab w:val="right" w:pos="9360"/>
      </w:tabs>
    </w:pPr>
    <w:r>
      <w:fldChar w:fldCharType="begin"/>
    </w:r>
    <w:r>
      <w:instrText xml:space="preserve"> SUBJECT  \* MERGEFORMAT </w:instrText>
    </w:r>
    <w:r>
      <w:fldChar w:fldCharType="separate"/>
    </w:r>
    <w:r w:rsidR="00AE7C3B">
      <w:t>Submission</w:t>
    </w:r>
    <w:r>
      <w:fldChar w:fldCharType="end"/>
    </w:r>
    <w:r w:rsidR="00AE7C3B">
      <w:tab/>
      <w:t xml:space="preserve">page </w:t>
    </w:r>
    <w:r w:rsidR="00AE7C3B">
      <w:fldChar w:fldCharType="begin"/>
    </w:r>
    <w:r w:rsidR="00AE7C3B">
      <w:instrText xml:space="preserve">page </w:instrText>
    </w:r>
    <w:r w:rsidR="00AE7C3B">
      <w:fldChar w:fldCharType="separate"/>
    </w:r>
    <w:r w:rsidR="00AE7C3B">
      <w:rPr>
        <w:noProof/>
      </w:rPr>
      <w:t>4</w:t>
    </w:r>
    <w:r w:rsidR="00AE7C3B">
      <w:rPr>
        <w:noProof/>
      </w:rPr>
      <w:fldChar w:fldCharType="end"/>
    </w:r>
    <w:r w:rsidR="00AE7C3B">
      <w:tab/>
      <w:t>Mark Hamilton, Ruckus/CommScope</w:t>
    </w:r>
  </w:p>
  <w:p w14:paraId="5B8624E2" w14:textId="77777777" w:rsidR="00AE7C3B" w:rsidRDefault="00AE7C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471BD7" w14:textId="77777777" w:rsidR="00146FFF" w:rsidRDefault="00146FFF">
      <w:r>
        <w:separator/>
      </w:r>
    </w:p>
  </w:footnote>
  <w:footnote w:type="continuationSeparator" w:id="0">
    <w:p w14:paraId="2288A230" w14:textId="77777777" w:rsidR="00146FFF" w:rsidRDefault="00146FFF">
      <w:r>
        <w:continuationSeparator/>
      </w:r>
    </w:p>
  </w:footnote>
  <w:footnote w:id="1">
    <w:p w14:paraId="7889704D" w14:textId="4F4D775A" w:rsidR="00E52206" w:rsidRDefault="00E52206" w:rsidP="00E5220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27FBFF89" w:rsidR="00AE7C3B" w:rsidRDefault="00D818C4" w:rsidP="005942A6">
    <w:pPr>
      <w:pStyle w:val="Header"/>
      <w:tabs>
        <w:tab w:val="clear" w:pos="6480"/>
        <w:tab w:val="center" w:pos="4680"/>
        <w:tab w:val="right" w:pos="9360"/>
      </w:tabs>
    </w:pPr>
    <w:r>
      <w:t>May</w:t>
    </w:r>
    <w:r w:rsidR="00AE7C3B">
      <w:t xml:space="preserve"> 2020</w:t>
    </w:r>
    <w:r w:rsidR="00AE7C3B">
      <w:tab/>
    </w:r>
    <w:r w:rsidR="00AE7C3B">
      <w:tab/>
    </w:r>
    <w:r w:rsidR="00146FFF">
      <w:fldChar w:fldCharType="begin"/>
    </w:r>
    <w:r w:rsidR="00146FFF">
      <w:instrText xml:space="preserve"> TITLE  \* MERGEFORMAT </w:instrText>
    </w:r>
    <w:r w:rsidR="00146FFF">
      <w:fldChar w:fldCharType="separate"/>
    </w:r>
    <w:r w:rsidR="00AE7C3B">
      <w:t>doc.: IEEE 802.11-20/0338r</w:t>
    </w:r>
    <w:r>
      <w:t>3</w:t>
    </w:r>
    <w:r w:rsidR="00146FFF">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A348D"/>
    <w:multiLevelType w:val="hybridMultilevel"/>
    <w:tmpl w:val="79C4C77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33F51"/>
    <w:multiLevelType w:val="hybridMultilevel"/>
    <w:tmpl w:val="97EA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E76B4"/>
    <w:multiLevelType w:val="hybridMultilevel"/>
    <w:tmpl w:val="6A98BD14"/>
    <w:lvl w:ilvl="0" w:tplc="BCBE553C">
      <w:start w:val="135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F2763"/>
    <w:multiLevelType w:val="hybridMultilevel"/>
    <w:tmpl w:val="3D9E283A"/>
    <w:lvl w:ilvl="0" w:tplc="58D426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8"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7"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393014"/>
    <w:multiLevelType w:val="hybridMultilevel"/>
    <w:tmpl w:val="8D823AEC"/>
    <w:lvl w:ilvl="0" w:tplc="C48EFA5E">
      <w:start w:val="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B358CA"/>
    <w:multiLevelType w:val="hybridMultilevel"/>
    <w:tmpl w:val="723ABB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0"/>
  </w:num>
  <w:num w:numId="2">
    <w:abstractNumId w:val="13"/>
  </w:num>
  <w:num w:numId="3">
    <w:abstractNumId w:val="19"/>
  </w:num>
  <w:num w:numId="4">
    <w:abstractNumId w:val="3"/>
  </w:num>
  <w:num w:numId="5">
    <w:abstractNumId w:val="36"/>
  </w:num>
  <w:num w:numId="6">
    <w:abstractNumId w:val="35"/>
  </w:num>
  <w:num w:numId="7">
    <w:abstractNumId w:val="7"/>
  </w:num>
  <w:num w:numId="8">
    <w:abstractNumId w:val="14"/>
  </w:num>
  <w:num w:numId="9">
    <w:abstractNumId w:val="18"/>
  </w:num>
  <w:num w:numId="10">
    <w:abstractNumId w:val="22"/>
  </w:num>
  <w:num w:numId="11">
    <w:abstractNumId w:val="41"/>
  </w:num>
  <w:num w:numId="12">
    <w:abstractNumId w:val="23"/>
  </w:num>
  <w:num w:numId="13">
    <w:abstractNumId w:val="9"/>
  </w:num>
  <w:num w:numId="14">
    <w:abstractNumId w:val="30"/>
  </w:num>
  <w:num w:numId="15">
    <w:abstractNumId w:val="8"/>
  </w:num>
  <w:num w:numId="16">
    <w:abstractNumId w:val="0"/>
  </w:num>
  <w:num w:numId="17">
    <w:abstractNumId w:val="32"/>
  </w:num>
  <w:num w:numId="18">
    <w:abstractNumId w:val="21"/>
  </w:num>
  <w:num w:numId="19">
    <w:abstractNumId w:val="34"/>
  </w:num>
  <w:num w:numId="20">
    <w:abstractNumId w:val="4"/>
  </w:num>
  <w:num w:numId="21">
    <w:abstractNumId w:val="1"/>
  </w:num>
  <w:num w:numId="22">
    <w:abstractNumId w:val="24"/>
  </w:num>
  <w:num w:numId="23">
    <w:abstractNumId w:val="6"/>
  </w:num>
  <w:num w:numId="24">
    <w:abstractNumId w:val="16"/>
  </w:num>
  <w:num w:numId="25">
    <w:abstractNumId w:val="31"/>
  </w:num>
  <w:num w:numId="26">
    <w:abstractNumId w:val="25"/>
  </w:num>
  <w:num w:numId="27">
    <w:abstractNumId w:val="15"/>
  </w:num>
  <w:num w:numId="28">
    <w:abstractNumId w:val="37"/>
  </w:num>
  <w:num w:numId="29">
    <w:abstractNumId w:val="38"/>
  </w:num>
  <w:num w:numId="30">
    <w:abstractNumId w:val="27"/>
  </w:num>
  <w:num w:numId="31">
    <w:abstractNumId w:val="29"/>
  </w:num>
  <w:num w:numId="32">
    <w:abstractNumId w:val="20"/>
  </w:num>
  <w:num w:numId="33">
    <w:abstractNumId w:val="39"/>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7"/>
  </w:num>
  <w:num w:numId="37">
    <w:abstractNumId w:val="28"/>
  </w:num>
  <w:num w:numId="38">
    <w:abstractNumId w:val="10"/>
  </w:num>
  <w:num w:numId="39">
    <w:abstractNumId w:val="11"/>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num>
  <w:num w:numId="43">
    <w:abstractNumId w:val="42"/>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 Rison">
    <w15:presenceInfo w15:providerId="AD" w15:userId="S-1-5-21-1253548103-113510974-3557742530-1233"/>
  </w15:person>
  <w15:person w15:author="Graham Smith">
    <w15:presenceInfo w15:providerId="Windows Live" w15:userId="f074627d275c7c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6A7"/>
    <w:rsid w:val="00000790"/>
    <w:rsid w:val="00001D5A"/>
    <w:rsid w:val="000025C9"/>
    <w:rsid w:val="000036D4"/>
    <w:rsid w:val="00004125"/>
    <w:rsid w:val="000045C4"/>
    <w:rsid w:val="00005C06"/>
    <w:rsid w:val="00006353"/>
    <w:rsid w:val="00007582"/>
    <w:rsid w:val="000076A4"/>
    <w:rsid w:val="00007BFE"/>
    <w:rsid w:val="00007DEE"/>
    <w:rsid w:val="0001063E"/>
    <w:rsid w:val="0001097F"/>
    <w:rsid w:val="000111E6"/>
    <w:rsid w:val="000114C3"/>
    <w:rsid w:val="000120B6"/>
    <w:rsid w:val="00012507"/>
    <w:rsid w:val="00012867"/>
    <w:rsid w:val="00012885"/>
    <w:rsid w:val="00016F04"/>
    <w:rsid w:val="00017769"/>
    <w:rsid w:val="00017925"/>
    <w:rsid w:val="00020D5F"/>
    <w:rsid w:val="000214BB"/>
    <w:rsid w:val="00022C73"/>
    <w:rsid w:val="000231A8"/>
    <w:rsid w:val="00023E74"/>
    <w:rsid w:val="00025050"/>
    <w:rsid w:val="00025487"/>
    <w:rsid w:val="000265DF"/>
    <w:rsid w:val="00026723"/>
    <w:rsid w:val="0002699A"/>
    <w:rsid w:val="00027371"/>
    <w:rsid w:val="00027E34"/>
    <w:rsid w:val="000306AC"/>
    <w:rsid w:val="000313D4"/>
    <w:rsid w:val="00032C91"/>
    <w:rsid w:val="00033670"/>
    <w:rsid w:val="00034627"/>
    <w:rsid w:val="00034B66"/>
    <w:rsid w:val="00035626"/>
    <w:rsid w:val="00035DE4"/>
    <w:rsid w:val="000362C7"/>
    <w:rsid w:val="0003707D"/>
    <w:rsid w:val="000371E1"/>
    <w:rsid w:val="0003791B"/>
    <w:rsid w:val="00041166"/>
    <w:rsid w:val="000435C1"/>
    <w:rsid w:val="00044A49"/>
    <w:rsid w:val="000454AF"/>
    <w:rsid w:val="00045DBC"/>
    <w:rsid w:val="000460A0"/>
    <w:rsid w:val="0004694A"/>
    <w:rsid w:val="00046B90"/>
    <w:rsid w:val="00047850"/>
    <w:rsid w:val="000478FF"/>
    <w:rsid w:val="00047AB1"/>
    <w:rsid w:val="000507CE"/>
    <w:rsid w:val="000516ED"/>
    <w:rsid w:val="00051A8F"/>
    <w:rsid w:val="000520D6"/>
    <w:rsid w:val="00054337"/>
    <w:rsid w:val="00054806"/>
    <w:rsid w:val="00054DF0"/>
    <w:rsid w:val="00055862"/>
    <w:rsid w:val="00055B88"/>
    <w:rsid w:val="000560E2"/>
    <w:rsid w:val="000561A9"/>
    <w:rsid w:val="0005621D"/>
    <w:rsid w:val="00056A24"/>
    <w:rsid w:val="00060927"/>
    <w:rsid w:val="00061F9D"/>
    <w:rsid w:val="0006302E"/>
    <w:rsid w:val="00063387"/>
    <w:rsid w:val="000640AE"/>
    <w:rsid w:val="00064B82"/>
    <w:rsid w:val="00065277"/>
    <w:rsid w:val="0006551B"/>
    <w:rsid w:val="0006558C"/>
    <w:rsid w:val="000660FC"/>
    <w:rsid w:val="00066C64"/>
    <w:rsid w:val="00067CE1"/>
    <w:rsid w:val="00070BC5"/>
    <w:rsid w:val="00070C53"/>
    <w:rsid w:val="0007105F"/>
    <w:rsid w:val="000717F8"/>
    <w:rsid w:val="00071A03"/>
    <w:rsid w:val="00071C12"/>
    <w:rsid w:val="00071D71"/>
    <w:rsid w:val="000724F5"/>
    <w:rsid w:val="00072E1B"/>
    <w:rsid w:val="0007342D"/>
    <w:rsid w:val="00073640"/>
    <w:rsid w:val="00073783"/>
    <w:rsid w:val="00073824"/>
    <w:rsid w:val="000738BE"/>
    <w:rsid w:val="00073DF6"/>
    <w:rsid w:val="0007496E"/>
    <w:rsid w:val="00075F27"/>
    <w:rsid w:val="00076AA4"/>
    <w:rsid w:val="000771F8"/>
    <w:rsid w:val="00077D72"/>
    <w:rsid w:val="00077F49"/>
    <w:rsid w:val="000809B2"/>
    <w:rsid w:val="00081403"/>
    <w:rsid w:val="0008177A"/>
    <w:rsid w:val="00081DD3"/>
    <w:rsid w:val="00083A87"/>
    <w:rsid w:val="00083C71"/>
    <w:rsid w:val="00083FE0"/>
    <w:rsid w:val="000842BC"/>
    <w:rsid w:val="000858EB"/>
    <w:rsid w:val="00086D47"/>
    <w:rsid w:val="00086E15"/>
    <w:rsid w:val="00087361"/>
    <w:rsid w:val="00087DD0"/>
    <w:rsid w:val="00090040"/>
    <w:rsid w:val="00090268"/>
    <w:rsid w:val="00090495"/>
    <w:rsid w:val="00091282"/>
    <w:rsid w:val="0009134C"/>
    <w:rsid w:val="000913E7"/>
    <w:rsid w:val="00091EDD"/>
    <w:rsid w:val="00092F2E"/>
    <w:rsid w:val="00092F75"/>
    <w:rsid w:val="000946C9"/>
    <w:rsid w:val="0009494E"/>
    <w:rsid w:val="00094D74"/>
    <w:rsid w:val="0009524A"/>
    <w:rsid w:val="000955B7"/>
    <w:rsid w:val="00095CB8"/>
    <w:rsid w:val="00095EC2"/>
    <w:rsid w:val="000961F9"/>
    <w:rsid w:val="000966F7"/>
    <w:rsid w:val="00096703"/>
    <w:rsid w:val="00097264"/>
    <w:rsid w:val="000978E7"/>
    <w:rsid w:val="000A05E8"/>
    <w:rsid w:val="000A1BC6"/>
    <w:rsid w:val="000A2C86"/>
    <w:rsid w:val="000A2EC5"/>
    <w:rsid w:val="000A64DF"/>
    <w:rsid w:val="000A6653"/>
    <w:rsid w:val="000A6728"/>
    <w:rsid w:val="000A7069"/>
    <w:rsid w:val="000A7983"/>
    <w:rsid w:val="000B236F"/>
    <w:rsid w:val="000B2985"/>
    <w:rsid w:val="000B2A39"/>
    <w:rsid w:val="000B5131"/>
    <w:rsid w:val="000B535F"/>
    <w:rsid w:val="000B57A8"/>
    <w:rsid w:val="000B5C4C"/>
    <w:rsid w:val="000B7C86"/>
    <w:rsid w:val="000C0F6F"/>
    <w:rsid w:val="000C1613"/>
    <w:rsid w:val="000C372E"/>
    <w:rsid w:val="000C3891"/>
    <w:rsid w:val="000C5BCC"/>
    <w:rsid w:val="000C6E75"/>
    <w:rsid w:val="000D077C"/>
    <w:rsid w:val="000D1E62"/>
    <w:rsid w:val="000D1E8B"/>
    <w:rsid w:val="000D2589"/>
    <w:rsid w:val="000D2B26"/>
    <w:rsid w:val="000D2D95"/>
    <w:rsid w:val="000D3071"/>
    <w:rsid w:val="000D3301"/>
    <w:rsid w:val="000D377F"/>
    <w:rsid w:val="000D3DAD"/>
    <w:rsid w:val="000D4963"/>
    <w:rsid w:val="000D4BC2"/>
    <w:rsid w:val="000D5648"/>
    <w:rsid w:val="000D62AA"/>
    <w:rsid w:val="000D6E23"/>
    <w:rsid w:val="000D6E92"/>
    <w:rsid w:val="000D712B"/>
    <w:rsid w:val="000D7C2E"/>
    <w:rsid w:val="000D7E98"/>
    <w:rsid w:val="000E00AB"/>
    <w:rsid w:val="000E0E04"/>
    <w:rsid w:val="000E0ED7"/>
    <w:rsid w:val="000E1B61"/>
    <w:rsid w:val="000E1C0A"/>
    <w:rsid w:val="000E25C2"/>
    <w:rsid w:val="000E4731"/>
    <w:rsid w:val="000E49FD"/>
    <w:rsid w:val="000E5305"/>
    <w:rsid w:val="000E5AB7"/>
    <w:rsid w:val="000E5E26"/>
    <w:rsid w:val="000E5E5A"/>
    <w:rsid w:val="000E683D"/>
    <w:rsid w:val="000E68F8"/>
    <w:rsid w:val="000E7409"/>
    <w:rsid w:val="000F0F65"/>
    <w:rsid w:val="000F1E4D"/>
    <w:rsid w:val="000F2320"/>
    <w:rsid w:val="000F25F3"/>
    <w:rsid w:val="000F33EC"/>
    <w:rsid w:val="000F3724"/>
    <w:rsid w:val="000F430A"/>
    <w:rsid w:val="000F435D"/>
    <w:rsid w:val="000F49FD"/>
    <w:rsid w:val="000F5627"/>
    <w:rsid w:val="000F5E0A"/>
    <w:rsid w:val="000F66F3"/>
    <w:rsid w:val="000F6D95"/>
    <w:rsid w:val="000F7195"/>
    <w:rsid w:val="00100FD4"/>
    <w:rsid w:val="00101081"/>
    <w:rsid w:val="00101D3C"/>
    <w:rsid w:val="00101FEA"/>
    <w:rsid w:val="00102A13"/>
    <w:rsid w:val="00102B34"/>
    <w:rsid w:val="00103D20"/>
    <w:rsid w:val="00103E96"/>
    <w:rsid w:val="00105DF1"/>
    <w:rsid w:val="00105EB4"/>
    <w:rsid w:val="00105F3F"/>
    <w:rsid w:val="00106140"/>
    <w:rsid w:val="00106D2E"/>
    <w:rsid w:val="00106D47"/>
    <w:rsid w:val="001070CD"/>
    <w:rsid w:val="001100BE"/>
    <w:rsid w:val="00111761"/>
    <w:rsid w:val="0011188F"/>
    <w:rsid w:val="001122DC"/>
    <w:rsid w:val="00112664"/>
    <w:rsid w:val="0011283D"/>
    <w:rsid w:val="00112C1A"/>
    <w:rsid w:val="00113C6C"/>
    <w:rsid w:val="001167A7"/>
    <w:rsid w:val="001170EF"/>
    <w:rsid w:val="00117536"/>
    <w:rsid w:val="0011757A"/>
    <w:rsid w:val="001179B7"/>
    <w:rsid w:val="0012072B"/>
    <w:rsid w:val="001214A4"/>
    <w:rsid w:val="00121A13"/>
    <w:rsid w:val="00121C94"/>
    <w:rsid w:val="0012217B"/>
    <w:rsid w:val="00122799"/>
    <w:rsid w:val="001234C2"/>
    <w:rsid w:val="00123658"/>
    <w:rsid w:val="00124928"/>
    <w:rsid w:val="001258FE"/>
    <w:rsid w:val="0012607C"/>
    <w:rsid w:val="00127BC6"/>
    <w:rsid w:val="00130070"/>
    <w:rsid w:val="001300A2"/>
    <w:rsid w:val="001306E6"/>
    <w:rsid w:val="001313D5"/>
    <w:rsid w:val="00131F69"/>
    <w:rsid w:val="001325F6"/>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6FFF"/>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5148"/>
    <w:rsid w:val="001553FB"/>
    <w:rsid w:val="0015600E"/>
    <w:rsid w:val="001561C6"/>
    <w:rsid w:val="0015622B"/>
    <w:rsid w:val="0015786B"/>
    <w:rsid w:val="00157BE1"/>
    <w:rsid w:val="001612F0"/>
    <w:rsid w:val="001631EA"/>
    <w:rsid w:val="001640EF"/>
    <w:rsid w:val="001641E4"/>
    <w:rsid w:val="00164628"/>
    <w:rsid w:val="001651E8"/>
    <w:rsid w:val="001658A9"/>
    <w:rsid w:val="00165A10"/>
    <w:rsid w:val="00165C1C"/>
    <w:rsid w:val="001668A6"/>
    <w:rsid w:val="00166AFB"/>
    <w:rsid w:val="00166DE9"/>
    <w:rsid w:val="001670D8"/>
    <w:rsid w:val="00167858"/>
    <w:rsid w:val="001678C2"/>
    <w:rsid w:val="001678FD"/>
    <w:rsid w:val="0016790D"/>
    <w:rsid w:val="00167931"/>
    <w:rsid w:val="001701F5"/>
    <w:rsid w:val="0017056B"/>
    <w:rsid w:val="0017281E"/>
    <w:rsid w:val="00175711"/>
    <w:rsid w:val="00175E7F"/>
    <w:rsid w:val="001768A2"/>
    <w:rsid w:val="00176D30"/>
    <w:rsid w:val="00176F36"/>
    <w:rsid w:val="001777F6"/>
    <w:rsid w:val="00177BBB"/>
    <w:rsid w:val="00180334"/>
    <w:rsid w:val="00180818"/>
    <w:rsid w:val="001819C3"/>
    <w:rsid w:val="00181DEF"/>
    <w:rsid w:val="00182A6B"/>
    <w:rsid w:val="00183B75"/>
    <w:rsid w:val="00184584"/>
    <w:rsid w:val="00184F25"/>
    <w:rsid w:val="001853F8"/>
    <w:rsid w:val="00186080"/>
    <w:rsid w:val="001861B8"/>
    <w:rsid w:val="00190C49"/>
    <w:rsid w:val="001923E0"/>
    <w:rsid w:val="00192743"/>
    <w:rsid w:val="00192BC9"/>
    <w:rsid w:val="00193C02"/>
    <w:rsid w:val="00194FBD"/>
    <w:rsid w:val="00195336"/>
    <w:rsid w:val="0019534C"/>
    <w:rsid w:val="00195354"/>
    <w:rsid w:val="00195ED7"/>
    <w:rsid w:val="00196990"/>
    <w:rsid w:val="00197BBD"/>
    <w:rsid w:val="001A09C8"/>
    <w:rsid w:val="001A0CA3"/>
    <w:rsid w:val="001A0D43"/>
    <w:rsid w:val="001A0FF2"/>
    <w:rsid w:val="001A1739"/>
    <w:rsid w:val="001A1B4F"/>
    <w:rsid w:val="001A1D16"/>
    <w:rsid w:val="001A5D0B"/>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6ECF"/>
    <w:rsid w:val="001B741F"/>
    <w:rsid w:val="001B7760"/>
    <w:rsid w:val="001B7A94"/>
    <w:rsid w:val="001C0731"/>
    <w:rsid w:val="001C12A6"/>
    <w:rsid w:val="001C1344"/>
    <w:rsid w:val="001C16A0"/>
    <w:rsid w:val="001C243C"/>
    <w:rsid w:val="001C36D5"/>
    <w:rsid w:val="001C390E"/>
    <w:rsid w:val="001C43BB"/>
    <w:rsid w:val="001C4A87"/>
    <w:rsid w:val="001C6846"/>
    <w:rsid w:val="001D078D"/>
    <w:rsid w:val="001D0C27"/>
    <w:rsid w:val="001D0C6A"/>
    <w:rsid w:val="001D0EE0"/>
    <w:rsid w:val="001D23E6"/>
    <w:rsid w:val="001D294C"/>
    <w:rsid w:val="001D3EE8"/>
    <w:rsid w:val="001D437D"/>
    <w:rsid w:val="001D49DE"/>
    <w:rsid w:val="001D588E"/>
    <w:rsid w:val="001D5A56"/>
    <w:rsid w:val="001D5AAE"/>
    <w:rsid w:val="001D6635"/>
    <w:rsid w:val="001D66B4"/>
    <w:rsid w:val="001D69D1"/>
    <w:rsid w:val="001D723B"/>
    <w:rsid w:val="001D74A0"/>
    <w:rsid w:val="001D7520"/>
    <w:rsid w:val="001D7865"/>
    <w:rsid w:val="001D78EE"/>
    <w:rsid w:val="001E0BDA"/>
    <w:rsid w:val="001E1F3F"/>
    <w:rsid w:val="001E2B50"/>
    <w:rsid w:val="001E45C4"/>
    <w:rsid w:val="001E4B80"/>
    <w:rsid w:val="001E5A63"/>
    <w:rsid w:val="001E612A"/>
    <w:rsid w:val="001E6443"/>
    <w:rsid w:val="001E6957"/>
    <w:rsid w:val="001E7789"/>
    <w:rsid w:val="001E7D05"/>
    <w:rsid w:val="001E7E1C"/>
    <w:rsid w:val="001F00EA"/>
    <w:rsid w:val="001F0B7E"/>
    <w:rsid w:val="001F2594"/>
    <w:rsid w:val="001F25DB"/>
    <w:rsid w:val="001F31E4"/>
    <w:rsid w:val="001F4985"/>
    <w:rsid w:val="001F51A6"/>
    <w:rsid w:val="001F568E"/>
    <w:rsid w:val="001F6660"/>
    <w:rsid w:val="001F729B"/>
    <w:rsid w:val="002004D1"/>
    <w:rsid w:val="00200D4B"/>
    <w:rsid w:val="00200EB8"/>
    <w:rsid w:val="0020138A"/>
    <w:rsid w:val="00201D7E"/>
    <w:rsid w:val="0020254A"/>
    <w:rsid w:val="002040C1"/>
    <w:rsid w:val="00204218"/>
    <w:rsid w:val="002043E4"/>
    <w:rsid w:val="00204E18"/>
    <w:rsid w:val="0020599D"/>
    <w:rsid w:val="002065F2"/>
    <w:rsid w:val="00206618"/>
    <w:rsid w:val="00206A9B"/>
    <w:rsid w:val="00206AC1"/>
    <w:rsid w:val="002070E8"/>
    <w:rsid w:val="0020744B"/>
    <w:rsid w:val="0020785C"/>
    <w:rsid w:val="00207E34"/>
    <w:rsid w:val="00210462"/>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3EF1"/>
    <w:rsid w:val="00235A8F"/>
    <w:rsid w:val="00235CC5"/>
    <w:rsid w:val="002364B7"/>
    <w:rsid w:val="00236B76"/>
    <w:rsid w:val="00236E6F"/>
    <w:rsid w:val="00237B05"/>
    <w:rsid w:val="00240372"/>
    <w:rsid w:val="0024042F"/>
    <w:rsid w:val="00242DC7"/>
    <w:rsid w:val="00243F76"/>
    <w:rsid w:val="00245FCE"/>
    <w:rsid w:val="002468AD"/>
    <w:rsid w:val="00247124"/>
    <w:rsid w:val="0024726B"/>
    <w:rsid w:val="00247ECB"/>
    <w:rsid w:val="00252C37"/>
    <w:rsid w:val="00254702"/>
    <w:rsid w:val="0025530E"/>
    <w:rsid w:val="0025536B"/>
    <w:rsid w:val="002558FF"/>
    <w:rsid w:val="00255BCA"/>
    <w:rsid w:val="00256B72"/>
    <w:rsid w:val="00256E50"/>
    <w:rsid w:val="00257727"/>
    <w:rsid w:val="00257CD4"/>
    <w:rsid w:val="002600B6"/>
    <w:rsid w:val="00260223"/>
    <w:rsid w:val="00260B6B"/>
    <w:rsid w:val="00260ED3"/>
    <w:rsid w:val="0026101F"/>
    <w:rsid w:val="00261EB2"/>
    <w:rsid w:val="00263BE5"/>
    <w:rsid w:val="00263E45"/>
    <w:rsid w:val="00264DA4"/>
    <w:rsid w:val="002674F3"/>
    <w:rsid w:val="00267581"/>
    <w:rsid w:val="0027037B"/>
    <w:rsid w:val="0027046F"/>
    <w:rsid w:val="00270660"/>
    <w:rsid w:val="00270FC0"/>
    <w:rsid w:val="00270FED"/>
    <w:rsid w:val="0027127C"/>
    <w:rsid w:val="00271B55"/>
    <w:rsid w:val="00272D9D"/>
    <w:rsid w:val="00273274"/>
    <w:rsid w:val="0027514D"/>
    <w:rsid w:val="002752A2"/>
    <w:rsid w:val="00275968"/>
    <w:rsid w:val="00276300"/>
    <w:rsid w:val="00276346"/>
    <w:rsid w:val="00276D9C"/>
    <w:rsid w:val="002775D0"/>
    <w:rsid w:val="00277834"/>
    <w:rsid w:val="00280BFB"/>
    <w:rsid w:val="0028193B"/>
    <w:rsid w:val="0028288D"/>
    <w:rsid w:val="00283805"/>
    <w:rsid w:val="002850F5"/>
    <w:rsid w:val="0028626F"/>
    <w:rsid w:val="002864E8"/>
    <w:rsid w:val="0028659D"/>
    <w:rsid w:val="002865C2"/>
    <w:rsid w:val="002866A4"/>
    <w:rsid w:val="0029020B"/>
    <w:rsid w:val="002912F6"/>
    <w:rsid w:val="0029241F"/>
    <w:rsid w:val="00294526"/>
    <w:rsid w:val="002946AD"/>
    <w:rsid w:val="00295BFC"/>
    <w:rsid w:val="002960C1"/>
    <w:rsid w:val="002976D8"/>
    <w:rsid w:val="00297F97"/>
    <w:rsid w:val="002A0621"/>
    <w:rsid w:val="002A0A4A"/>
    <w:rsid w:val="002A23E9"/>
    <w:rsid w:val="002A3058"/>
    <w:rsid w:val="002A3D66"/>
    <w:rsid w:val="002A4AF5"/>
    <w:rsid w:val="002A5845"/>
    <w:rsid w:val="002A64AB"/>
    <w:rsid w:val="002A690B"/>
    <w:rsid w:val="002A778A"/>
    <w:rsid w:val="002B1C16"/>
    <w:rsid w:val="002B1EDD"/>
    <w:rsid w:val="002B2D6F"/>
    <w:rsid w:val="002B2F4D"/>
    <w:rsid w:val="002B428F"/>
    <w:rsid w:val="002B434A"/>
    <w:rsid w:val="002B4DF9"/>
    <w:rsid w:val="002B55F4"/>
    <w:rsid w:val="002B588E"/>
    <w:rsid w:val="002B6321"/>
    <w:rsid w:val="002B6E65"/>
    <w:rsid w:val="002C07A5"/>
    <w:rsid w:val="002C0809"/>
    <w:rsid w:val="002C086C"/>
    <w:rsid w:val="002C154C"/>
    <w:rsid w:val="002C1619"/>
    <w:rsid w:val="002C1C40"/>
    <w:rsid w:val="002C1F67"/>
    <w:rsid w:val="002C1F7F"/>
    <w:rsid w:val="002C20C9"/>
    <w:rsid w:val="002C220C"/>
    <w:rsid w:val="002C28D7"/>
    <w:rsid w:val="002C2EAB"/>
    <w:rsid w:val="002C365B"/>
    <w:rsid w:val="002C4301"/>
    <w:rsid w:val="002C474A"/>
    <w:rsid w:val="002C4CB2"/>
    <w:rsid w:val="002C66E1"/>
    <w:rsid w:val="002C6A20"/>
    <w:rsid w:val="002C6B87"/>
    <w:rsid w:val="002C6F32"/>
    <w:rsid w:val="002C6F58"/>
    <w:rsid w:val="002C73DF"/>
    <w:rsid w:val="002C768B"/>
    <w:rsid w:val="002C7DB8"/>
    <w:rsid w:val="002C7F92"/>
    <w:rsid w:val="002D0257"/>
    <w:rsid w:val="002D035B"/>
    <w:rsid w:val="002D1B44"/>
    <w:rsid w:val="002D23D1"/>
    <w:rsid w:val="002D2601"/>
    <w:rsid w:val="002D27BC"/>
    <w:rsid w:val="002D3669"/>
    <w:rsid w:val="002D3E7C"/>
    <w:rsid w:val="002D3ED9"/>
    <w:rsid w:val="002D44BE"/>
    <w:rsid w:val="002D477A"/>
    <w:rsid w:val="002D4C7D"/>
    <w:rsid w:val="002D4DCB"/>
    <w:rsid w:val="002D6819"/>
    <w:rsid w:val="002D7F02"/>
    <w:rsid w:val="002E0292"/>
    <w:rsid w:val="002E0570"/>
    <w:rsid w:val="002E06F0"/>
    <w:rsid w:val="002E08E8"/>
    <w:rsid w:val="002E3B38"/>
    <w:rsid w:val="002E3CBC"/>
    <w:rsid w:val="002E4744"/>
    <w:rsid w:val="002E4AAF"/>
    <w:rsid w:val="002E55E7"/>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285"/>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5B2C"/>
    <w:rsid w:val="003160BC"/>
    <w:rsid w:val="00316705"/>
    <w:rsid w:val="00316787"/>
    <w:rsid w:val="00317093"/>
    <w:rsid w:val="00320576"/>
    <w:rsid w:val="003208AF"/>
    <w:rsid w:val="00320BA5"/>
    <w:rsid w:val="00320C7F"/>
    <w:rsid w:val="003230FB"/>
    <w:rsid w:val="00324311"/>
    <w:rsid w:val="00325000"/>
    <w:rsid w:val="00325B21"/>
    <w:rsid w:val="00325D8E"/>
    <w:rsid w:val="0032600F"/>
    <w:rsid w:val="0032679F"/>
    <w:rsid w:val="00327A82"/>
    <w:rsid w:val="00327D61"/>
    <w:rsid w:val="00327E9C"/>
    <w:rsid w:val="00330662"/>
    <w:rsid w:val="00330883"/>
    <w:rsid w:val="0033125C"/>
    <w:rsid w:val="003312A6"/>
    <w:rsid w:val="00332E9A"/>
    <w:rsid w:val="00333641"/>
    <w:rsid w:val="00333E50"/>
    <w:rsid w:val="00334D3A"/>
    <w:rsid w:val="003357B8"/>
    <w:rsid w:val="00335822"/>
    <w:rsid w:val="00336086"/>
    <w:rsid w:val="00336A40"/>
    <w:rsid w:val="00340120"/>
    <w:rsid w:val="00342441"/>
    <w:rsid w:val="00343012"/>
    <w:rsid w:val="003436A8"/>
    <w:rsid w:val="00343D18"/>
    <w:rsid w:val="0034412B"/>
    <w:rsid w:val="00346828"/>
    <w:rsid w:val="00346A6C"/>
    <w:rsid w:val="003479FD"/>
    <w:rsid w:val="003507C5"/>
    <w:rsid w:val="00351580"/>
    <w:rsid w:val="00351C11"/>
    <w:rsid w:val="00351CD7"/>
    <w:rsid w:val="00352422"/>
    <w:rsid w:val="003534BC"/>
    <w:rsid w:val="00353B91"/>
    <w:rsid w:val="00354453"/>
    <w:rsid w:val="00354A85"/>
    <w:rsid w:val="003550D2"/>
    <w:rsid w:val="00356E66"/>
    <w:rsid w:val="00363A7B"/>
    <w:rsid w:val="00363BD7"/>
    <w:rsid w:val="00364632"/>
    <w:rsid w:val="00364917"/>
    <w:rsid w:val="00364D00"/>
    <w:rsid w:val="003651D2"/>
    <w:rsid w:val="00365635"/>
    <w:rsid w:val="003672DE"/>
    <w:rsid w:val="003701C5"/>
    <w:rsid w:val="00370802"/>
    <w:rsid w:val="00370CA2"/>
    <w:rsid w:val="00370D07"/>
    <w:rsid w:val="003721EC"/>
    <w:rsid w:val="00372F0B"/>
    <w:rsid w:val="003739D0"/>
    <w:rsid w:val="00374309"/>
    <w:rsid w:val="00374A5C"/>
    <w:rsid w:val="003752A1"/>
    <w:rsid w:val="003760BD"/>
    <w:rsid w:val="00377940"/>
    <w:rsid w:val="00377D83"/>
    <w:rsid w:val="00382211"/>
    <w:rsid w:val="00382603"/>
    <w:rsid w:val="00382B03"/>
    <w:rsid w:val="00382F77"/>
    <w:rsid w:val="00383062"/>
    <w:rsid w:val="00383525"/>
    <w:rsid w:val="0038355C"/>
    <w:rsid w:val="00385189"/>
    <w:rsid w:val="0038543B"/>
    <w:rsid w:val="00385B13"/>
    <w:rsid w:val="00385BD3"/>
    <w:rsid w:val="003873F3"/>
    <w:rsid w:val="00391686"/>
    <w:rsid w:val="00391AEC"/>
    <w:rsid w:val="0039273E"/>
    <w:rsid w:val="00392802"/>
    <w:rsid w:val="00393367"/>
    <w:rsid w:val="003933C7"/>
    <w:rsid w:val="00393F3A"/>
    <w:rsid w:val="00394949"/>
    <w:rsid w:val="00395110"/>
    <w:rsid w:val="00395876"/>
    <w:rsid w:val="00397784"/>
    <w:rsid w:val="003979D0"/>
    <w:rsid w:val="003A03AA"/>
    <w:rsid w:val="003A0B8B"/>
    <w:rsid w:val="003A15E1"/>
    <w:rsid w:val="003A1FC7"/>
    <w:rsid w:val="003A283A"/>
    <w:rsid w:val="003A2A87"/>
    <w:rsid w:val="003A2CAF"/>
    <w:rsid w:val="003A3EF9"/>
    <w:rsid w:val="003A54C3"/>
    <w:rsid w:val="003A5854"/>
    <w:rsid w:val="003A5A41"/>
    <w:rsid w:val="003A5BE3"/>
    <w:rsid w:val="003A62F2"/>
    <w:rsid w:val="003A7791"/>
    <w:rsid w:val="003B03DD"/>
    <w:rsid w:val="003B1B6B"/>
    <w:rsid w:val="003B34EC"/>
    <w:rsid w:val="003B3533"/>
    <w:rsid w:val="003B353B"/>
    <w:rsid w:val="003B3BCC"/>
    <w:rsid w:val="003B41B4"/>
    <w:rsid w:val="003B4D61"/>
    <w:rsid w:val="003B4DC6"/>
    <w:rsid w:val="003B4F42"/>
    <w:rsid w:val="003B52E6"/>
    <w:rsid w:val="003B56C6"/>
    <w:rsid w:val="003B72BF"/>
    <w:rsid w:val="003B7386"/>
    <w:rsid w:val="003C2E87"/>
    <w:rsid w:val="003C31AC"/>
    <w:rsid w:val="003C374B"/>
    <w:rsid w:val="003C40EE"/>
    <w:rsid w:val="003C40FD"/>
    <w:rsid w:val="003C497D"/>
    <w:rsid w:val="003C5230"/>
    <w:rsid w:val="003C6372"/>
    <w:rsid w:val="003C63B2"/>
    <w:rsid w:val="003C7F5B"/>
    <w:rsid w:val="003D0632"/>
    <w:rsid w:val="003D2E47"/>
    <w:rsid w:val="003D472A"/>
    <w:rsid w:val="003D472D"/>
    <w:rsid w:val="003D47D5"/>
    <w:rsid w:val="003D4DE9"/>
    <w:rsid w:val="003D5563"/>
    <w:rsid w:val="003D5CFD"/>
    <w:rsid w:val="003D5EB5"/>
    <w:rsid w:val="003D6689"/>
    <w:rsid w:val="003D673E"/>
    <w:rsid w:val="003D74D3"/>
    <w:rsid w:val="003D75CA"/>
    <w:rsid w:val="003D7E24"/>
    <w:rsid w:val="003E02CE"/>
    <w:rsid w:val="003E0DBA"/>
    <w:rsid w:val="003E0EAE"/>
    <w:rsid w:val="003E16DE"/>
    <w:rsid w:val="003E1D9A"/>
    <w:rsid w:val="003E20C9"/>
    <w:rsid w:val="003E20CC"/>
    <w:rsid w:val="003E259D"/>
    <w:rsid w:val="003E3194"/>
    <w:rsid w:val="003E4A21"/>
    <w:rsid w:val="003E5041"/>
    <w:rsid w:val="003E509A"/>
    <w:rsid w:val="003E50EA"/>
    <w:rsid w:val="003E555F"/>
    <w:rsid w:val="003E5D07"/>
    <w:rsid w:val="003E692C"/>
    <w:rsid w:val="003E6F6E"/>
    <w:rsid w:val="003E7E62"/>
    <w:rsid w:val="003F0934"/>
    <w:rsid w:val="003F2093"/>
    <w:rsid w:val="003F22BC"/>
    <w:rsid w:val="003F26E3"/>
    <w:rsid w:val="003F2A6F"/>
    <w:rsid w:val="003F3E18"/>
    <w:rsid w:val="003F40AD"/>
    <w:rsid w:val="003F45BA"/>
    <w:rsid w:val="003F4B0A"/>
    <w:rsid w:val="003F4E53"/>
    <w:rsid w:val="003F518A"/>
    <w:rsid w:val="003F6908"/>
    <w:rsid w:val="003F75B5"/>
    <w:rsid w:val="004017D1"/>
    <w:rsid w:val="0040181D"/>
    <w:rsid w:val="00401887"/>
    <w:rsid w:val="004027B7"/>
    <w:rsid w:val="004028B3"/>
    <w:rsid w:val="00402E0C"/>
    <w:rsid w:val="00403917"/>
    <w:rsid w:val="00405020"/>
    <w:rsid w:val="00405579"/>
    <w:rsid w:val="00405804"/>
    <w:rsid w:val="004068D2"/>
    <w:rsid w:val="00407B23"/>
    <w:rsid w:val="00410044"/>
    <w:rsid w:val="004110BC"/>
    <w:rsid w:val="004112C7"/>
    <w:rsid w:val="004130CB"/>
    <w:rsid w:val="004148A5"/>
    <w:rsid w:val="00414A40"/>
    <w:rsid w:val="00415270"/>
    <w:rsid w:val="004156FF"/>
    <w:rsid w:val="00415E63"/>
    <w:rsid w:val="00417B6E"/>
    <w:rsid w:val="00420432"/>
    <w:rsid w:val="004212B3"/>
    <w:rsid w:val="00421B3E"/>
    <w:rsid w:val="00422A2B"/>
    <w:rsid w:val="00422AF3"/>
    <w:rsid w:val="00422F30"/>
    <w:rsid w:val="00423051"/>
    <w:rsid w:val="004248A8"/>
    <w:rsid w:val="004248F3"/>
    <w:rsid w:val="00425342"/>
    <w:rsid w:val="0042668A"/>
    <w:rsid w:val="00426736"/>
    <w:rsid w:val="00426CE9"/>
    <w:rsid w:val="004278BF"/>
    <w:rsid w:val="00427C32"/>
    <w:rsid w:val="00427DF3"/>
    <w:rsid w:val="004303FA"/>
    <w:rsid w:val="00430A2C"/>
    <w:rsid w:val="00432AFC"/>
    <w:rsid w:val="004333F9"/>
    <w:rsid w:val="00433924"/>
    <w:rsid w:val="00434018"/>
    <w:rsid w:val="004349A6"/>
    <w:rsid w:val="00435046"/>
    <w:rsid w:val="00435CE4"/>
    <w:rsid w:val="00435DAD"/>
    <w:rsid w:val="00436466"/>
    <w:rsid w:val="00436694"/>
    <w:rsid w:val="0043721C"/>
    <w:rsid w:val="004404B6"/>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47AE"/>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65D6"/>
    <w:rsid w:val="004674CF"/>
    <w:rsid w:val="00467855"/>
    <w:rsid w:val="00467DD3"/>
    <w:rsid w:val="00470699"/>
    <w:rsid w:val="00471347"/>
    <w:rsid w:val="004738C6"/>
    <w:rsid w:val="00474BC6"/>
    <w:rsid w:val="0047587F"/>
    <w:rsid w:val="004759E5"/>
    <w:rsid w:val="0047682B"/>
    <w:rsid w:val="00477843"/>
    <w:rsid w:val="00480551"/>
    <w:rsid w:val="0048074F"/>
    <w:rsid w:val="00481958"/>
    <w:rsid w:val="00481A27"/>
    <w:rsid w:val="00481DE9"/>
    <w:rsid w:val="00482476"/>
    <w:rsid w:val="00483ECF"/>
    <w:rsid w:val="00484571"/>
    <w:rsid w:val="004863B9"/>
    <w:rsid w:val="0048755B"/>
    <w:rsid w:val="00487832"/>
    <w:rsid w:val="0048783B"/>
    <w:rsid w:val="004924AB"/>
    <w:rsid w:val="0049287F"/>
    <w:rsid w:val="004940D6"/>
    <w:rsid w:val="004944FB"/>
    <w:rsid w:val="00494F31"/>
    <w:rsid w:val="004956B1"/>
    <w:rsid w:val="00495CAC"/>
    <w:rsid w:val="00495E7D"/>
    <w:rsid w:val="00496291"/>
    <w:rsid w:val="004964AA"/>
    <w:rsid w:val="00496849"/>
    <w:rsid w:val="00496B0A"/>
    <w:rsid w:val="00496B7A"/>
    <w:rsid w:val="004A0FFC"/>
    <w:rsid w:val="004A18AB"/>
    <w:rsid w:val="004A29FD"/>
    <w:rsid w:val="004A2E04"/>
    <w:rsid w:val="004A33F0"/>
    <w:rsid w:val="004A35EF"/>
    <w:rsid w:val="004A3A67"/>
    <w:rsid w:val="004A3EE8"/>
    <w:rsid w:val="004A43DC"/>
    <w:rsid w:val="004A46C1"/>
    <w:rsid w:val="004A4E87"/>
    <w:rsid w:val="004A5089"/>
    <w:rsid w:val="004A5556"/>
    <w:rsid w:val="004A6CE9"/>
    <w:rsid w:val="004A7807"/>
    <w:rsid w:val="004A7A5B"/>
    <w:rsid w:val="004A7E1B"/>
    <w:rsid w:val="004A7FAC"/>
    <w:rsid w:val="004B064B"/>
    <w:rsid w:val="004B0889"/>
    <w:rsid w:val="004B1139"/>
    <w:rsid w:val="004B223E"/>
    <w:rsid w:val="004B2702"/>
    <w:rsid w:val="004B49CA"/>
    <w:rsid w:val="004B518B"/>
    <w:rsid w:val="004B5982"/>
    <w:rsid w:val="004B5EB2"/>
    <w:rsid w:val="004B62A3"/>
    <w:rsid w:val="004B6694"/>
    <w:rsid w:val="004B6AB6"/>
    <w:rsid w:val="004B6BD8"/>
    <w:rsid w:val="004B7DA2"/>
    <w:rsid w:val="004C0C52"/>
    <w:rsid w:val="004C1A63"/>
    <w:rsid w:val="004C25F1"/>
    <w:rsid w:val="004C2773"/>
    <w:rsid w:val="004C2D16"/>
    <w:rsid w:val="004C2DB8"/>
    <w:rsid w:val="004C3650"/>
    <w:rsid w:val="004C3A22"/>
    <w:rsid w:val="004C3BCB"/>
    <w:rsid w:val="004C4C3F"/>
    <w:rsid w:val="004C6C0E"/>
    <w:rsid w:val="004D025F"/>
    <w:rsid w:val="004D02A8"/>
    <w:rsid w:val="004D0823"/>
    <w:rsid w:val="004D0E28"/>
    <w:rsid w:val="004D1D56"/>
    <w:rsid w:val="004D296B"/>
    <w:rsid w:val="004D35B8"/>
    <w:rsid w:val="004D3E12"/>
    <w:rsid w:val="004D4E94"/>
    <w:rsid w:val="004D540D"/>
    <w:rsid w:val="004D64AC"/>
    <w:rsid w:val="004D6887"/>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20AB"/>
    <w:rsid w:val="004F362D"/>
    <w:rsid w:val="004F3DF1"/>
    <w:rsid w:val="004F48DA"/>
    <w:rsid w:val="004F76F9"/>
    <w:rsid w:val="004F7908"/>
    <w:rsid w:val="00500859"/>
    <w:rsid w:val="005020F9"/>
    <w:rsid w:val="0050227F"/>
    <w:rsid w:val="00503BFC"/>
    <w:rsid w:val="005049C3"/>
    <w:rsid w:val="0050594E"/>
    <w:rsid w:val="00505AE4"/>
    <w:rsid w:val="00506833"/>
    <w:rsid w:val="00506F4A"/>
    <w:rsid w:val="00507CE8"/>
    <w:rsid w:val="00510EB3"/>
    <w:rsid w:val="00511C50"/>
    <w:rsid w:val="00512470"/>
    <w:rsid w:val="00513352"/>
    <w:rsid w:val="0051352E"/>
    <w:rsid w:val="0051424C"/>
    <w:rsid w:val="005147D4"/>
    <w:rsid w:val="00515773"/>
    <w:rsid w:val="00515AA4"/>
    <w:rsid w:val="0051680A"/>
    <w:rsid w:val="00516A3C"/>
    <w:rsid w:val="00516A9F"/>
    <w:rsid w:val="00516C2C"/>
    <w:rsid w:val="00517975"/>
    <w:rsid w:val="00517A37"/>
    <w:rsid w:val="00520C43"/>
    <w:rsid w:val="005216B6"/>
    <w:rsid w:val="00522288"/>
    <w:rsid w:val="00524067"/>
    <w:rsid w:val="00524859"/>
    <w:rsid w:val="00524CDB"/>
    <w:rsid w:val="00525465"/>
    <w:rsid w:val="00525487"/>
    <w:rsid w:val="00525F3D"/>
    <w:rsid w:val="005260F9"/>
    <w:rsid w:val="00526AB0"/>
    <w:rsid w:val="00526C57"/>
    <w:rsid w:val="00527B15"/>
    <w:rsid w:val="00530FAF"/>
    <w:rsid w:val="00531363"/>
    <w:rsid w:val="00531427"/>
    <w:rsid w:val="00531706"/>
    <w:rsid w:val="005336AA"/>
    <w:rsid w:val="00533738"/>
    <w:rsid w:val="00533BE4"/>
    <w:rsid w:val="005346E7"/>
    <w:rsid w:val="00534818"/>
    <w:rsid w:val="00534E07"/>
    <w:rsid w:val="00535899"/>
    <w:rsid w:val="00535B5E"/>
    <w:rsid w:val="00536522"/>
    <w:rsid w:val="00536EB4"/>
    <w:rsid w:val="00537197"/>
    <w:rsid w:val="005371C2"/>
    <w:rsid w:val="0053774D"/>
    <w:rsid w:val="00540BBA"/>
    <w:rsid w:val="00541C2D"/>
    <w:rsid w:val="0054245E"/>
    <w:rsid w:val="00542478"/>
    <w:rsid w:val="00542D89"/>
    <w:rsid w:val="00542F6A"/>
    <w:rsid w:val="00543263"/>
    <w:rsid w:val="00543554"/>
    <w:rsid w:val="0054378C"/>
    <w:rsid w:val="00543EAF"/>
    <w:rsid w:val="0054504D"/>
    <w:rsid w:val="0054552B"/>
    <w:rsid w:val="005455E6"/>
    <w:rsid w:val="00545EB2"/>
    <w:rsid w:val="00546B71"/>
    <w:rsid w:val="00547405"/>
    <w:rsid w:val="00551C2D"/>
    <w:rsid w:val="005520D7"/>
    <w:rsid w:val="0055221C"/>
    <w:rsid w:val="005527BF"/>
    <w:rsid w:val="00552932"/>
    <w:rsid w:val="005529D3"/>
    <w:rsid w:val="00552DC3"/>
    <w:rsid w:val="00553129"/>
    <w:rsid w:val="0055320E"/>
    <w:rsid w:val="005537CB"/>
    <w:rsid w:val="00554103"/>
    <w:rsid w:val="005541B3"/>
    <w:rsid w:val="00555A24"/>
    <w:rsid w:val="00555E71"/>
    <w:rsid w:val="00556719"/>
    <w:rsid w:val="00556BF6"/>
    <w:rsid w:val="005573C8"/>
    <w:rsid w:val="00557E3E"/>
    <w:rsid w:val="00560D95"/>
    <w:rsid w:val="00562E43"/>
    <w:rsid w:val="0056390D"/>
    <w:rsid w:val="0056481F"/>
    <w:rsid w:val="00565373"/>
    <w:rsid w:val="005661FB"/>
    <w:rsid w:val="00566C4F"/>
    <w:rsid w:val="00566F5D"/>
    <w:rsid w:val="00566FA2"/>
    <w:rsid w:val="00571388"/>
    <w:rsid w:val="005714B1"/>
    <w:rsid w:val="005718D6"/>
    <w:rsid w:val="00571C4B"/>
    <w:rsid w:val="00573B99"/>
    <w:rsid w:val="005741B0"/>
    <w:rsid w:val="005749CB"/>
    <w:rsid w:val="00574D84"/>
    <w:rsid w:val="00575326"/>
    <w:rsid w:val="00575703"/>
    <w:rsid w:val="00575BB3"/>
    <w:rsid w:val="00576862"/>
    <w:rsid w:val="00576DE9"/>
    <w:rsid w:val="00577046"/>
    <w:rsid w:val="00577620"/>
    <w:rsid w:val="0057788B"/>
    <w:rsid w:val="005778FB"/>
    <w:rsid w:val="0058024B"/>
    <w:rsid w:val="00580602"/>
    <w:rsid w:val="00583AA3"/>
    <w:rsid w:val="00583C4B"/>
    <w:rsid w:val="005864BD"/>
    <w:rsid w:val="0058718F"/>
    <w:rsid w:val="00587626"/>
    <w:rsid w:val="00587DE0"/>
    <w:rsid w:val="00590768"/>
    <w:rsid w:val="00591279"/>
    <w:rsid w:val="00592899"/>
    <w:rsid w:val="00593D42"/>
    <w:rsid w:val="005942A6"/>
    <w:rsid w:val="00594E50"/>
    <w:rsid w:val="005959FA"/>
    <w:rsid w:val="00595D61"/>
    <w:rsid w:val="005963F5"/>
    <w:rsid w:val="0059650F"/>
    <w:rsid w:val="00596512"/>
    <w:rsid w:val="005978A1"/>
    <w:rsid w:val="00597D09"/>
    <w:rsid w:val="005A0993"/>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61CD"/>
    <w:rsid w:val="005B7862"/>
    <w:rsid w:val="005C08B6"/>
    <w:rsid w:val="005C0AE7"/>
    <w:rsid w:val="005C1412"/>
    <w:rsid w:val="005C2102"/>
    <w:rsid w:val="005C22F6"/>
    <w:rsid w:val="005C2326"/>
    <w:rsid w:val="005C338F"/>
    <w:rsid w:val="005C3599"/>
    <w:rsid w:val="005C491B"/>
    <w:rsid w:val="005C4A53"/>
    <w:rsid w:val="005C579E"/>
    <w:rsid w:val="005C5ECA"/>
    <w:rsid w:val="005C5FB3"/>
    <w:rsid w:val="005C7145"/>
    <w:rsid w:val="005C73C6"/>
    <w:rsid w:val="005C7E4E"/>
    <w:rsid w:val="005D1210"/>
    <w:rsid w:val="005D1BBF"/>
    <w:rsid w:val="005D1DD2"/>
    <w:rsid w:val="005D24C7"/>
    <w:rsid w:val="005D2CDA"/>
    <w:rsid w:val="005D2E26"/>
    <w:rsid w:val="005D3221"/>
    <w:rsid w:val="005D35F3"/>
    <w:rsid w:val="005D460E"/>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298"/>
    <w:rsid w:val="005E6664"/>
    <w:rsid w:val="005E7908"/>
    <w:rsid w:val="005E7E8E"/>
    <w:rsid w:val="005F09AF"/>
    <w:rsid w:val="005F0E46"/>
    <w:rsid w:val="005F0EB1"/>
    <w:rsid w:val="005F1386"/>
    <w:rsid w:val="005F1CA0"/>
    <w:rsid w:val="005F2066"/>
    <w:rsid w:val="005F34E5"/>
    <w:rsid w:val="005F4164"/>
    <w:rsid w:val="005F4CCB"/>
    <w:rsid w:val="005F50AE"/>
    <w:rsid w:val="005F5CD1"/>
    <w:rsid w:val="005F73CB"/>
    <w:rsid w:val="005F750F"/>
    <w:rsid w:val="005F752F"/>
    <w:rsid w:val="006001A6"/>
    <w:rsid w:val="00600735"/>
    <w:rsid w:val="0060078B"/>
    <w:rsid w:val="00601E6A"/>
    <w:rsid w:val="00601FAD"/>
    <w:rsid w:val="00601FED"/>
    <w:rsid w:val="006020E1"/>
    <w:rsid w:val="0060231B"/>
    <w:rsid w:val="00602B39"/>
    <w:rsid w:val="006031A0"/>
    <w:rsid w:val="00603D1B"/>
    <w:rsid w:val="006041D6"/>
    <w:rsid w:val="006047E1"/>
    <w:rsid w:val="00605868"/>
    <w:rsid w:val="00606166"/>
    <w:rsid w:val="00610ADF"/>
    <w:rsid w:val="00610AF1"/>
    <w:rsid w:val="00610E62"/>
    <w:rsid w:val="00610F71"/>
    <w:rsid w:val="00612A2A"/>
    <w:rsid w:val="00613B83"/>
    <w:rsid w:val="00614370"/>
    <w:rsid w:val="006149EA"/>
    <w:rsid w:val="00614AEC"/>
    <w:rsid w:val="00614E9A"/>
    <w:rsid w:val="00615190"/>
    <w:rsid w:val="00617BB0"/>
    <w:rsid w:val="00620AC3"/>
    <w:rsid w:val="00620F09"/>
    <w:rsid w:val="00620FBE"/>
    <w:rsid w:val="0062111F"/>
    <w:rsid w:val="006219D8"/>
    <w:rsid w:val="00621DD6"/>
    <w:rsid w:val="00622013"/>
    <w:rsid w:val="00622765"/>
    <w:rsid w:val="00622BF3"/>
    <w:rsid w:val="0062320C"/>
    <w:rsid w:val="006233B4"/>
    <w:rsid w:val="00623F7C"/>
    <w:rsid w:val="00623FBC"/>
    <w:rsid w:val="0062440B"/>
    <w:rsid w:val="00624817"/>
    <w:rsid w:val="006249BC"/>
    <w:rsid w:val="00625AFD"/>
    <w:rsid w:val="00626228"/>
    <w:rsid w:val="00626891"/>
    <w:rsid w:val="006269AA"/>
    <w:rsid w:val="0062700C"/>
    <w:rsid w:val="006273D0"/>
    <w:rsid w:val="00627C61"/>
    <w:rsid w:val="00627D9A"/>
    <w:rsid w:val="0063039B"/>
    <w:rsid w:val="00630533"/>
    <w:rsid w:val="006318C4"/>
    <w:rsid w:val="006320F2"/>
    <w:rsid w:val="006324AD"/>
    <w:rsid w:val="00633A73"/>
    <w:rsid w:val="00634863"/>
    <w:rsid w:val="0063689B"/>
    <w:rsid w:val="00636FD4"/>
    <w:rsid w:val="00637372"/>
    <w:rsid w:val="00637440"/>
    <w:rsid w:val="006374B3"/>
    <w:rsid w:val="00637AB0"/>
    <w:rsid w:val="00637B25"/>
    <w:rsid w:val="006409CA"/>
    <w:rsid w:val="006419B5"/>
    <w:rsid w:val="00642D74"/>
    <w:rsid w:val="00642E40"/>
    <w:rsid w:val="00643133"/>
    <w:rsid w:val="006434C4"/>
    <w:rsid w:val="00643C84"/>
    <w:rsid w:val="00644972"/>
    <w:rsid w:val="00644CAD"/>
    <w:rsid w:val="00644D38"/>
    <w:rsid w:val="00646687"/>
    <w:rsid w:val="00646D34"/>
    <w:rsid w:val="006470C1"/>
    <w:rsid w:val="006478DE"/>
    <w:rsid w:val="006478EE"/>
    <w:rsid w:val="00647C0F"/>
    <w:rsid w:val="0065099A"/>
    <w:rsid w:val="006514A3"/>
    <w:rsid w:val="0065177F"/>
    <w:rsid w:val="006518F2"/>
    <w:rsid w:val="0065295B"/>
    <w:rsid w:val="00653551"/>
    <w:rsid w:val="00653559"/>
    <w:rsid w:val="00653C72"/>
    <w:rsid w:val="0065579B"/>
    <w:rsid w:val="0065586F"/>
    <w:rsid w:val="0065598E"/>
    <w:rsid w:val="0065599C"/>
    <w:rsid w:val="00656412"/>
    <w:rsid w:val="006565BB"/>
    <w:rsid w:val="00656ED6"/>
    <w:rsid w:val="00656F9F"/>
    <w:rsid w:val="00657F60"/>
    <w:rsid w:val="006607CB"/>
    <w:rsid w:val="00660D14"/>
    <w:rsid w:val="006615A7"/>
    <w:rsid w:val="00661941"/>
    <w:rsid w:val="00662059"/>
    <w:rsid w:val="0066224A"/>
    <w:rsid w:val="00662DB5"/>
    <w:rsid w:val="00663DF7"/>
    <w:rsid w:val="00663F12"/>
    <w:rsid w:val="00664079"/>
    <w:rsid w:val="006648CD"/>
    <w:rsid w:val="00664F48"/>
    <w:rsid w:val="00665FA0"/>
    <w:rsid w:val="00666A07"/>
    <w:rsid w:val="00666A21"/>
    <w:rsid w:val="00666DDA"/>
    <w:rsid w:val="00667D36"/>
    <w:rsid w:val="00667E7E"/>
    <w:rsid w:val="00670449"/>
    <w:rsid w:val="006705DF"/>
    <w:rsid w:val="00670821"/>
    <w:rsid w:val="00670B49"/>
    <w:rsid w:val="00671BB5"/>
    <w:rsid w:val="00672620"/>
    <w:rsid w:val="00673E19"/>
    <w:rsid w:val="00673E87"/>
    <w:rsid w:val="00674D33"/>
    <w:rsid w:val="00674F4E"/>
    <w:rsid w:val="006751FF"/>
    <w:rsid w:val="006757CF"/>
    <w:rsid w:val="00675E47"/>
    <w:rsid w:val="00680482"/>
    <w:rsid w:val="00680F5E"/>
    <w:rsid w:val="00681A75"/>
    <w:rsid w:val="006832AA"/>
    <w:rsid w:val="00684645"/>
    <w:rsid w:val="00684955"/>
    <w:rsid w:val="00684E99"/>
    <w:rsid w:val="00684EC0"/>
    <w:rsid w:val="006853DF"/>
    <w:rsid w:val="00686695"/>
    <w:rsid w:val="00686BDA"/>
    <w:rsid w:val="00690A23"/>
    <w:rsid w:val="00690E68"/>
    <w:rsid w:val="006918DA"/>
    <w:rsid w:val="00692C5F"/>
    <w:rsid w:val="0069411F"/>
    <w:rsid w:val="006959C0"/>
    <w:rsid w:val="00696254"/>
    <w:rsid w:val="0069798C"/>
    <w:rsid w:val="006A12B0"/>
    <w:rsid w:val="006A139D"/>
    <w:rsid w:val="006A1429"/>
    <w:rsid w:val="006A19A1"/>
    <w:rsid w:val="006A1F15"/>
    <w:rsid w:val="006A3791"/>
    <w:rsid w:val="006A3907"/>
    <w:rsid w:val="006A45C7"/>
    <w:rsid w:val="006A4D0A"/>
    <w:rsid w:val="006A5204"/>
    <w:rsid w:val="006A54A7"/>
    <w:rsid w:val="006A5D1A"/>
    <w:rsid w:val="006A5FE5"/>
    <w:rsid w:val="006A624C"/>
    <w:rsid w:val="006A684D"/>
    <w:rsid w:val="006A71B8"/>
    <w:rsid w:val="006B038F"/>
    <w:rsid w:val="006B2183"/>
    <w:rsid w:val="006B3BD4"/>
    <w:rsid w:val="006B3FC4"/>
    <w:rsid w:val="006B45A9"/>
    <w:rsid w:val="006B48A4"/>
    <w:rsid w:val="006B536C"/>
    <w:rsid w:val="006B55A2"/>
    <w:rsid w:val="006B643A"/>
    <w:rsid w:val="006B72F9"/>
    <w:rsid w:val="006B7EC3"/>
    <w:rsid w:val="006C0727"/>
    <w:rsid w:val="006C0D8E"/>
    <w:rsid w:val="006C1B88"/>
    <w:rsid w:val="006C20C2"/>
    <w:rsid w:val="006C3C55"/>
    <w:rsid w:val="006C720F"/>
    <w:rsid w:val="006C74BC"/>
    <w:rsid w:val="006C78F5"/>
    <w:rsid w:val="006D0350"/>
    <w:rsid w:val="006D1880"/>
    <w:rsid w:val="006D1A6A"/>
    <w:rsid w:val="006D21D4"/>
    <w:rsid w:val="006D2392"/>
    <w:rsid w:val="006D4275"/>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1F3C"/>
    <w:rsid w:val="006F2616"/>
    <w:rsid w:val="006F2822"/>
    <w:rsid w:val="006F305C"/>
    <w:rsid w:val="006F3394"/>
    <w:rsid w:val="006F37FE"/>
    <w:rsid w:val="006F4563"/>
    <w:rsid w:val="006F480A"/>
    <w:rsid w:val="006F4BEC"/>
    <w:rsid w:val="006F4E55"/>
    <w:rsid w:val="006F527A"/>
    <w:rsid w:val="006F6B4D"/>
    <w:rsid w:val="006F7072"/>
    <w:rsid w:val="006F7625"/>
    <w:rsid w:val="006F77E6"/>
    <w:rsid w:val="0070053C"/>
    <w:rsid w:val="00701E0C"/>
    <w:rsid w:val="00701E88"/>
    <w:rsid w:val="0070202C"/>
    <w:rsid w:val="00703002"/>
    <w:rsid w:val="00704B57"/>
    <w:rsid w:val="00704EE1"/>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B0D"/>
    <w:rsid w:val="00717D24"/>
    <w:rsid w:val="00720830"/>
    <w:rsid w:val="00720FAE"/>
    <w:rsid w:val="00722252"/>
    <w:rsid w:val="00722282"/>
    <w:rsid w:val="007225C0"/>
    <w:rsid w:val="00723F92"/>
    <w:rsid w:val="00724AD3"/>
    <w:rsid w:val="00724FA8"/>
    <w:rsid w:val="0072537E"/>
    <w:rsid w:val="00725D0D"/>
    <w:rsid w:val="007262A1"/>
    <w:rsid w:val="0072686C"/>
    <w:rsid w:val="007275EA"/>
    <w:rsid w:val="00727815"/>
    <w:rsid w:val="00727884"/>
    <w:rsid w:val="007300A1"/>
    <w:rsid w:val="00730307"/>
    <w:rsid w:val="007306AC"/>
    <w:rsid w:val="00730871"/>
    <w:rsid w:val="00731530"/>
    <w:rsid w:val="00731C0E"/>
    <w:rsid w:val="00731E82"/>
    <w:rsid w:val="00733155"/>
    <w:rsid w:val="00733377"/>
    <w:rsid w:val="007341E8"/>
    <w:rsid w:val="007343D4"/>
    <w:rsid w:val="00734781"/>
    <w:rsid w:val="00735926"/>
    <w:rsid w:val="007360E7"/>
    <w:rsid w:val="0073659C"/>
    <w:rsid w:val="00737870"/>
    <w:rsid w:val="00737E2B"/>
    <w:rsid w:val="0074016E"/>
    <w:rsid w:val="00740489"/>
    <w:rsid w:val="00743157"/>
    <w:rsid w:val="00743953"/>
    <w:rsid w:val="00743E42"/>
    <w:rsid w:val="00744782"/>
    <w:rsid w:val="00744AA5"/>
    <w:rsid w:val="00745423"/>
    <w:rsid w:val="00746434"/>
    <w:rsid w:val="007464B2"/>
    <w:rsid w:val="007466F1"/>
    <w:rsid w:val="007470F2"/>
    <w:rsid w:val="007471BD"/>
    <w:rsid w:val="00750F6A"/>
    <w:rsid w:val="007526C7"/>
    <w:rsid w:val="00752A5F"/>
    <w:rsid w:val="00752C82"/>
    <w:rsid w:val="007534A4"/>
    <w:rsid w:val="00753728"/>
    <w:rsid w:val="00753835"/>
    <w:rsid w:val="00753AA6"/>
    <w:rsid w:val="00753C05"/>
    <w:rsid w:val="00754932"/>
    <w:rsid w:val="00754F17"/>
    <w:rsid w:val="00755255"/>
    <w:rsid w:val="00755E6E"/>
    <w:rsid w:val="00756227"/>
    <w:rsid w:val="007569C1"/>
    <w:rsid w:val="007571A0"/>
    <w:rsid w:val="00757BB7"/>
    <w:rsid w:val="00757D45"/>
    <w:rsid w:val="007607C8"/>
    <w:rsid w:val="00760E1E"/>
    <w:rsid w:val="00760FD8"/>
    <w:rsid w:val="007611DF"/>
    <w:rsid w:val="00761653"/>
    <w:rsid w:val="0076175F"/>
    <w:rsid w:val="00762B54"/>
    <w:rsid w:val="00763B19"/>
    <w:rsid w:val="00763CDF"/>
    <w:rsid w:val="00763FA6"/>
    <w:rsid w:val="0076409D"/>
    <w:rsid w:val="0076495B"/>
    <w:rsid w:val="00764EE4"/>
    <w:rsid w:val="00766435"/>
    <w:rsid w:val="00766C52"/>
    <w:rsid w:val="00766E28"/>
    <w:rsid w:val="00766E83"/>
    <w:rsid w:val="007676D9"/>
    <w:rsid w:val="00770572"/>
    <w:rsid w:val="007706BA"/>
    <w:rsid w:val="0077080A"/>
    <w:rsid w:val="007710CD"/>
    <w:rsid w:val="00771FA6"/>
    <w:rsid w:val="00772206"/>
    <w:rsid w:val="00773933"/>
    <w:rsid w:val="00774106"/>
    <w:rsid w:val="00774631"/>
    <w:rsid w:val="007758DB"/>
    <w:rsid w:val="007762AE"/>
    <w:rsid w:val="007767F2"/>
    <w:rsid w:val="00781885"/>
    <w:rsid w:val="00781B59"/>
    <w:rsid w:val="00781FE5"/>
    <w:rsid w:val="0078215A"/>
    <w:rsid w:val="007836C1"/>
    <w:rsid w:val="007837C2"/>
    <w:rsid w:val="00783DF0"/>
    <w:rsid w:val="007846F1"/>
    <w:rsid w:val="007849AB"/>
    <w:rsid w:val="00784C52"/>
    <w:rsid w:val="0078506D"/>
    <w:rsid w:val="00785281"/>
    <w:rsid w:val="00785D2A"/>
    <w:rsid w:val="00785E71"/>
    <w:rsid w:val="00786942"/>
    <w:rsid w:val="00786B14"/>
    <w:rsid w:val="007903E7"/>
    <w:rsid w:val="00790A4B"/>
    <w:rsid w:val="00790B96"/>
    <w:rsid w:val="007912B3"/>
    <w:rsid w:val="00791A0E"/>
    <w:rsid w:val="00792294"/>
    <w:rsid w:val="007926C9"/>
    <w:rsid w:val="00792B67"/>
    <w:rsid w:val="00793864"/>
    <w:rsid w:val="00794329"/>
    <w:rsid w:val="00794DCE"/>
    <w:rsid w:val="00795BB3"/>
    <w:rsid w:val="00795C65"/>
    <w:rsid w:val="0079721C"/>
    <w:rsid w:val="00797D5C"/>
    <w:rsid w:val="007A02C8"/>
    <w:rsid w:val="007A0F4C"/>
    <w:rsid w:val="007A15C8"/>
    <w:rsid w:val="007A24D5"/>
    <w:rsid w:val="007A2824"/>
    <w:rsid w:val="007A29A7"/>
    <w:rsid w:val="007A38EA"/>
    <w:rsid w:val="007A4E0C"/>
    <w:rsid w:val="007A52B5"/>
    <w:rsid w:val="007A53C9"/>
    <w:rsid w:val="007A55AD"/>
    <w:rsid w:val="007A6701"/>
    <w:rsid w:val="007A6832"/>
    <w:rsid w:val="007A686F"/>
    <w:rsid w:val="007A69E5"/>
    <w:rsid w:val="007A7D76"/>
    <w:rsid w:val="007B0718"/>
    <w:rsid w:val="007B0F1A"/>
    <w:rsid w:val="007B1713"/>
    <w:rsid w:val="007B1E53"/>
    <w:rsid w:val="007B256C"/>
    <w:rsid w:val="007B4C46"/>
    <w:rsid w:val="007B5C46"/>
    <w:rsid w:val="007B667F"/>
    <w:rsid w:val="007B66AB"/>
    <w:rsid w:val="007B6CCA"/>
    <w:rsid w:val="007C000C"/>
    <w:rsid w:val="007C0DFA"/>
    <w:rsid w:val="007C1D02"/>
    <w:rsid w:val="007C2845"/>
    <w:rsid w:val="007C2CEF"/>
    <w:rsid w:val="007C34ED"/>
    <w:rsid w:val="007C561B"/>
    <w:rsid w:val="007C5878"/>
    <w:rsid w:val="007C5EA4"/>
    <w:rsid w:val="007C643C"/>
    <w:rsid w:val="007C69B8"/>
    <w:rsid w:val="007C6FDF"/>
    <w:rsid w:val="007D0007"/>
    <w:rsid w:val="007D03E1"/>
    <w:rsid w:val="007D0B9B"/>
    <w:rsid w:val="007D13F2"/>
    <w:rsid w:val="007D28E2"/>
    <w:rsid w:val="007D2C82"/>
    <w:rsid w:val="007D30D4"/>
    <w:rsid w:val="007D49A1"/>
    <w:rsid w:val="007D4B62"/>
    <w:rsid w:val="007D4C55"/>
    <w:rsid w:val="007D4EAD"/>
    <w:rsid w:val="007D58CD"/>
    <w:rsid w:val="007D620F"/>
    <w:rsid w:val="007E0074"/>
    <w:rsid w:val="007E13D3"/>
    <w:rsid w:val="007E1F37"/>
    <w:rsid w:val="007E21B1"/>
    <w:rsid w:val="007E23E3"/>
    <w:rsid w:val="007E2A2B"/>
    <w:rsid w:val="007E3C9C"/>
    <w:rsid w:val="007E3FA2"/>
    <w:rsid w:val="007E44C0"/>
    <w:rsid w:val="007E49E3"/>
    <w:rsid w:val="007E665F"/>
    <w:rsid w:val="007E7338"/>
    <w:rsid w:val="007E75AC"/>
    <w:rsid w:val="007E75BF"/>
    <w:rsid w:val="007E7E75"/>
    <w:rsid w:val="007F072E"/>
    <w:rsid w:val="007F078C"/>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655"/>
    <w:rsid w:val="008150D7"/>
    <w:rsid w:val="00815413"/>
    <w:rsid w:val="0081583D"/>
    <w:rsid w:val="00815996"/>
    <w:rsid w:val="00816193"/>
    <w:rsid w:val="00816C42"/>
    <w:rsid w:val="00816E01"/>
    <w:rsid w:val="00816F78"/>
    <w:rsid w:val="00817EC7"/>
    <w:rsid w:val="008201C3"/>
    <w:rsid w:val="008206CA"/>
    <w:rsid w:val="00820D51"/>
    <w:rsid w:val="00822F64"/>
    <w:rsid w:val="00822F9D"/>
    <w:rsid w:val="008231B1"/>
    <w:rsid w:val="008242CC"/>
    <w:rsid w:val="00824D1D"/>
    <w:rsid w:val="008250B2"/>
    <w:rsid w:val="008251A8"/>
    <w:rsid w:val="0082558F"/>
    <w:rsid w:val="008255C6"/>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269"/>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907"/>
    <w:rsid w:val="008470DD"/>
    <w:rsid w:val="0084737D"/>
    <w:rsid w:val="00847403"/>
    <w:rsid w:val="0084797F"/>
    <w:rsid w:val="00847D9A"/>
    <w:rsid w:val="008513C3"/>
    <w:rsid w:val="008527D1"/>
    <w:rsid w:val="00852902"/>
    <w:rsid w:val="00852E21"/>
    <w:rsid w:val="00855123"/>
    <w:rsid w:val="008559EC"/>
    <w:rsid w:val="00860E14"/>
    <w:rsid w:val="00861114"/>
    <w:rsid w:val="008624BD"/>
    <w:rsid w:val="008638C5"/>
    <w:rsid w:val="0086448F"/>
    <w:rsid w:val="00864877"/>
    <w:rsid w:val="00865409"/>
    <w:rsid w:val="0086581A"/>
    <w:rsid w:val="00865FE5"/>
    <w:rsid w:val="0086789D"/>
    <w:rsid w:val="008679BB"/>
    <w:rsid w:val="008715E6"/>
    <w:rsid w:val="0087181E"/>
    <w:rsid w:val="00871FD1"/>
    <w:rsid w:val="00872007"/>
    <w:rsid w:val="00872775"/>
    <w:rsid w:val="008737F5"/>
    <w:rsid w:val="008737F8"/>
    <w:rsid w:val="00873A2E"/>
    <w:rsid w:val="00873C4C"/>
    <w:rsid w:val="00873D4A"/>
    <w:rsid w:val="00874924"/>
    <w:rsid w:val="00874978"/>
    <w:rsid w:val="00874EC1"/>
    <w:rsid w:val="00876B8B"/>
    <w:rsid w:val="0087707D"/>
    <w:rsid w:val="0088017E"/>
    <w:rsid w:val="00880A5C"/>
    <w:rsid w:val="00881054"/>
    <w:rsid w:val="00881431"/>
    <w:rsid w:val="008815DF"/>
    <w:rsid w:val="0088266F"/>
    <w:rsid w:val="00882C64"/>
    <w:rsid w:val="00883EEA"/>
    <w:rsid w:val="00884341"/>
    <w:rsid w:val="00884A78"/>
    <w:rsid w:val="00885132"/>
    <w:rsid w:val="00885434"/>
    <w:rsid w:val="00886E5B"/>
    <w:rsid w:val="00890FE0"/>
    <w:rsid w:val="0089105B"/>
    <w:rsid w:val="008921D2"/>
    <w:rsid w:val="00893E8B"/>
    <w:rsid w:val="00893FF8"/>
    <w:rsid w:val="0089409C"/>
    <w:rsid w:val="00894852"/>
    <w:rsid w:val="00894D81"/>
    <w:rsid w:val="008963A5"/>
    <w:rsid w:val="008963B1"/>
    <w:rsid w:val="00896BBF"/>
    <w:rsid w:val="00896CEB"/>
    <w:rsid w:val="008A0A8E"/>
    <w:rsid w:val="008A162E"/>
    <w:rsid w:val="008A18B8"/>
    <w:rsid w:val="008A2409"/>
    <w:rsid w:val="008A2A76"/>
    <w:rsid w:val="008A3A2B"/>
    <w:rsid w:val="008A4486"/>
    <w:rsid w:val="008A489F"/>
    <w:rsid w:val="008A48F5"/>
    <w:rsid w:val="008A5018"/>
    <w:rsid w:val="008A5736"/>
    <w:rsid w:val="008A6435"/>
    <w:rsid w:val="008A655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3F3"/>
    <w:rsid w:val="008E553E"/>
    <w:rsid w:val="008E55C9"/>
    <w:rsid w:val="008E580D"/>
    <w:rsid w:val="008E5842"/>
    <w:rsid w:val="008E74C6"/>
    <w:rsid w:val="008E768C"/>
    <w:rsid w:val="008F1204"/>
    <w:rsid w:val="008F1606"/>
    <w:rsid w:val="008F1CD8"/>
    <w:rsid w:val="008F35A7"/>
    <w:rsid w:val="008F3CB5"/>
    <w:rsid w:val="008F4031"/>
    <w:rsid w:val="008F4594"/>
    <w:rsid w:val="008F4615"/>
    <w:rsid w:val="008F5220"/>
    <w:rsid w:val="008F6117"/>
    <w:rsid w:val="008F70F0"/>
    <w:rsid w:val="008F72C1"/>
    <w:rsid w:val="0090069F"/>
    <w:rsid w:val="009022EF"/>
    <w:rsid w:val="009046BB"/>
    <w:rsid w:val="00904BA8"/>
    <w:rsid w:val="00904E12"/>
    <w:rsid w:val="00905DF3"/>
    <w:rsid w:val="00905E8D"/>
    <w:rsid w:val="0090643A"/>
    <w:rsid w:val="00906918"/>
    <w:rsid w:val="00907291"/>
    <w:rsid w:val="009079A6"/>
    <w:rsid w:val="0091008D"/>
    <w:rsid w:val="0091182C"/>
    <w:rsid w:val="00912010"/>
    <w:rsid w:val="009124C8"/>
    <w:rsid w:val="009127AC"/>
    <w:rsid w:val="009132E0"/>
    <w:rsid w:val="009138B4"/>
    <w:rsid w:val="00914139"/>
    <w:rsid w:val="009144B2"/>
    <w:rsid w:val="0091559D"/>
    <w:rsid w:val="009170A9"/>
    <w:rsid w:val="009170F3"/>
    <w:rsid w:val="00917B11"/>
    <w:rsid w:val="009201CF"/>
    <w:rsid w:val="00920DF8"/>
    <w:rsid w:val="009211B2"/>
    <w:rsid w:val="00921781"/>
    <w:rsid w:val="00921A65"/>
    <w:rsid w:val="009224C1"/>
    <w:rsid w:val="0092263A"/>
    <w:rsid w:val="00925482"/>
    <w:rsid w:val="009257CB"/>
    <w:rsid w:val="0092604C"/>
    <w:rsid w:val="0092615C"/>
    <w:rsid w:val="00926CEC"/>
    <w:rsid w:val="00926FC2"/>
    <w:rsid w:val="00930869"/>
    <w:rsid w:val="00930E52"/>
    <w:rsid w:val="0093100C"/>
    <w:rsid w:val="00931B71"/>
    <w:rsid w:val="009327C3"/>
    <w:rsid w:val="00933615"/>
    <w:rsid w:val="00933B2F"/>
    <w:rsid w:val="009341A7"/>
    <w:rsid w:val="009347FD"/>
    <w:rsid w:val="0093481A"/>
    <w:rsid w:val="009415F5"/>
    <w:rsid w:val="00941B1C"/>
    <w:rsid w:val="00942733"/>
    <w:rsid w:val="00942DAD"/>
    <w:rsid w:val="00943F55"/>
    <w:rsid w:val="00943FE1"/>
    <w:rsid w:val="00945422"/>
    <w:rsid w:val="00947752"/>
    <w:rsid w:val="009502A3"/>
    <w:rsid w:val="00950569"/>
    <w:rsid w:val="00950B72"/>
    <w:rsid w:val="00950D9E"/>
    <w:rsid w:val="009519A2"/>
    <w:rsid w:val="00951B52"/>
    <w:rsid w:val="009525B2"/>
    <w:rsid w:val="00954254"/>
    <w:rsid w:val="00954AA1"/>
    <w:rsid w:val="00955325"/>
    <w:rsid w:val="00956112"/>
    <w:rsid w:val="0095614C"/>
    <w:rsid w:val="00956FFF"/>
    <w:rsid w:val="00957611"/>
    <w:rsid w:val="00961224"/>
    <w:rsid w:val="009618CC"/>
    <w:rsid w:val="009621B8"/>
    <w:rsid w:val="009628F4"/>
    <w:rsid w:val="0096396C"/>
    <w:rsid w:val="009640B5"/>
    <w:rsid w:val="0096499D"/>
    <w:rsid w:val="00965339"/>
    <w:rsid w:val="00965B5F"/>
    <w:rsid w:val="009678D6"/>
    <w:rsid w:val="00970446"/>
    <w:rsid w:val="009713FA"/>
    <w:rsid w:val="00971699"/>
    <w:rsid w:val="009719D5"/>
    <w:rsid w:val="00971BF1"/>
    <w:rsid w:val="00972FB9"/>
    <w:rsid w:val="009735DD"/>
    <w:rsid w:val="00973E07"/>
    <w:rsid w:val="00974B9F"/>
    <w:rsid w:val="0097683E"/>
    <w:rsid w:val="00977198"/>
    <w:rsid w:val="0097750B"/>
    <w:rsid w:val="009777ED"/>
    <w:rsid w:val="00977AC9"/>
    <w:rsid w:val="00980868"/>
    <w:rsid w:val="00980B01"/>
    <w:rsid w:val="00980C43"/>
    <w:rsid w:val="00980F1D"/>
    <w:rsid w:val="00981B20"/>
    <w:rsid w:val="00983905"/>
    <w:rsid w:val="00984254"/>
    <w:rsid w:val="00984D91"/>
    <w:rsid w:val="009865BA"/>
    <w:rsid w:val="0098669A"/>
    <w:rsid w:val="00987023"/>
    <w:rsid w:val="00987E77"/>
    <w:rsid w:val="00990EC9"/>
    <w:rsid w:val="0099109F"/>
    <w:rsid w:val="00991198"/>
    <w:rsid w:val="0099201D"/>
    <w:rsid w:val="009924FD"/>
    <w:rsid w:val="009929C6"/>
    <w:rsid w:val="0099327C"/>
    <w:rsid w:val="00993563"/>
    <w:rsid w:val="009939A4"/>
    <w:rsid w:val="00993C48"/>
    <w:rsid w:val="0099484D"/>
    <w:rsid w:val="009957E8"/>
    <w:rsid w:val="009963BA"/>
    <w:rsid w:val="009965C8"/>
    <w:rsid w:val="00996776"/>
    <w:rsid w:val="00996BE5"/>
    <w:rsid w:val="009A04FA"/>
    <w:rsid w:val="009A2D7C"/>
    <w:rsid w:val="009A3913"/>
    <w:rsid w:val="009A477C"/>
    <w:rsid w:val="009A4C66"/>
    <w:rsid w:val="009A4EC1"/>
    <w:rsid w:val="009A4F34"/>
    <w:rsid w:val="009A548B"/>
    <w:rsid w:val="009A5789"/>
    <w:rsid w:val="009A5866"/>
    <w:rsid w:val="009A5C36"/>
    <w:rsid w:val="009A60BD"/>
    <w:rsid w:val="009A6A3F"/>
    <w:rsid w:val="009A6BC1"/>
    <w:rsid w:val="009A7063"/>
    <w:rsid w:val="009B0504"/>
    <w:rsid w:val="009B0C66"/>
    <w:rsid w:val="009B1341"/>
    <w:rsid w:val="009B1D0B"/>
    <w:rsid w:val="009B21F1"/>
    <w:rsid w:val="009B2490"/>
    <w:rsid w:val="009B24F5"/>
    <w:rsid w:val="009B2AB8"/>
    <w:rsid w:val="009B5A7E"/>
    <w:rsid w:val="009B773A"/>
    <w:rsid w:val="009B787B"/>
    <w:rsid w:val="009C0632"/>
    <w:rsid w:val="009C29FF"/>
    <w:rsid w:val="009C2BD5"/>
    <w:rsid w:val="009C529F"/>
    <w:rsid w:val="009C56F1"/>
    <w:rsid w:val="009C57A1"/>
    <w:rsid w:val="009C5B00"/>
    <w:rsid w:val="009C6869"/>
    <w:rsid w:val="009C6FFD"/>
    <w:rsid w:val="009C7252"/>
    <w:rsid w:val="009C73A1"/>
    <w:rsid w:val="009D02D8"/>
    <w:rsid w:val="009D13D1"/>
    <w:rsid w:val="009D2227"/>
    <w:rsid w:val="009D3191"/>
    <w:rsid w:val="009D3E99"/>
    <w:rsid w:val="009D4292"/>
    <w:rsid w:val="009D47AC"/>
    <w:rsid w:val="009D4BF6"/>
    <w:rsid w:val="009D4C0B"/>
    <w:rsid w:val="009D4C85"/>
    <w:rsid w:val="009D6B67"/>
    <w:rsid w:val="009D73CE"/>
    <w:rsid w:val="009E1118"/>
    <w:rsid w:val="009E2D17"/>
    <w:rsid w:val="009E4004"/>
    <w:rsid w:val="009E4007"/>
    <w:rsid w:val="009E5030"/>
    <w:rsid w:val="009E579C"/>
    <w:rsid w:val="009E5A6D"/>
    <w:rsid w:val="009E5AF6"/>
    <w:rsid w:val="009E5B38"/>
    <w:rsid w:val="009E6973"/>
    <w:rsid w:val="009E6AE9"/>
    <w:rsid w:val="009E6ECA"/>
    <w:rsid w:val="009F0B43"/>
    <w:rsid w:val="009F11D2"/>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922"/>
    <w:rsid w:val="00A02EF5"/>
    <w:rsid w:val="00A0395C"/>
    <w:rsid w:val="00A03B46"/>
    <w:rsid w:val="00A03DDC"/>
    <w:rsid w:val="00A03F66"/>
    <w:rsid w:val="00A04559"/>
    <w:rsid w:val="00A04560"/>
    <w:rsid w:val="00A04586"/>
    <w:rsid w:val="00A04BCF"/>
    <w:rsid w:val="00A067FA"/>
    <w:rsid w:val="00A06C14"/>
    <w:rsid w:val="00A06EF9"/>
    <w:rsid w:val="00A0707D"/>
    <w:rsid w:val="00A0711E"/>
    <w:rsid w:val="00A07167"/>
    <w:rsid w:val="00A072BA"/>
    <w:rsid w:val="00A072D5"/>
    <w:rsid w:val="00A07566"/>
    <w:rsid w:val="00A07743"/>
    <w:rsid w:val="00A07CDE"/>
    <w:rsid w:val="00A101A0"/>
    <w:rsid w:val="00A101E2"/>
    <w:rsid w:val="00A11B31"/>
    <w:rsid w:val="00A11F36"/>
    <w:rsid w:val="00A13ED7"/>
    <w:rsid w:val="00A14025"/>
    <w:rsid w:val="00A150FD"/>
    <w:rsid w:val="00A154DF"/>
    <w:rsid w:val="00A1694C"/>
    <w:rsid w:val="00A171DD"/>
    <w:rsid w:val="00A175B0"/>
    <w:rsid w:val="00A17812"/>
    <w:rsid w:val="00A20338"/>
    <w:rsid w:val="00A215C9"/>
    <w:rsid w:val="00A216DB"/>
    <w:rsid w:val="00A22B29"/>
    <w:rsid w:val="00A22B81"/>
    <w:rsid w:val="00A233ED"/>
    <w:rsid w:val="00A23475"/>
    <w:rsid w:val="00A23DBB"/>
    <w:rsid w:val="00A24EE2"/>
    <w:rsid w:val="00A253DA"/>
    <w:rsid w:val="00A25670"/>
    <w:rsid w:val="00A25A37"/>
    <w:rsid w:val="00A25BFB"/>
    <w:rsid w:val="00A26284"/>
    <w:rsid w:val="00A26341"/>
    <w:rsid w:val="00A26A60"/>
    <w:rsid w:val="00A27DE8"/>
    <w:rsid w:val="00A27E54"/>
    <w:rsid w:val="00A30407"/>
    <w:rsid w:val="00A31612"/>
    <w:rsid w:val="00A317B8"/>
    <w:rsid w:val="00A31B9C"/>
    <w:rsid w:val="00A320B7"/>
    <w:rsid w:val="00A341D5"/>
    <w:rsid w:val="00A352D0"/>
    <w:rsid w:val="00A3546A"/>
    <w:rsid w:val="00A35DC9"/>
    <w:rsid w:val="00A36020"/>
    <w:rsid w:val="00A37D56"/>
    <w:rsid w:val="00A4172F"/>
    <w:rsid w:val="00A4210E"/>
    <w:rsid w:val="00A43B6B"/>
    <w:rsid w:val="00A441EC"/>
    <w:rsid w:val="00A448FA"/>
    <w:rsid w:val="00A44FC5"/>
    <w:rsid w:val="00A450AF"/>
    <w:rsid w:val="00A451A3"/>
    <w:rsid w:val="00A453BB"/>
    <w:rsid w:val="00A45D69"/>
    <w:rsid w:val="00A5079E"/>
    <w:rsid w:val="00A5119E"/>
    <w:rsid w:val="00A5213B"/>
    <w:rsid w:val="00A52CFF"/>
    <w:rsid w:val="00A52DC2"/>
    <w:rsid w:val="00A541AC"/>
    <w:rsid w:val="00A54512"/>
    <w:rsid w:val="00A54B5D"/>
    <w:rsid w:val="00A56110"/>
    <w:rsid w:val="00A56156"/>
    <w:rsid w:val="00A57ADA"/>
    <w:rsid w:val="00A57F88"/>
    <w:rsid w:val="00A60819"/>
    <w:rsid w:val="00A609C8"/>
    <w:rsid w:val="00A60AC8"/>
    <w:rsid w:val="00A613BA"/>
    <w:rsid w:val="00A614AD"/>
    <w:rsid w:val="00A6219D"/>
    <w:rsid w:val="00A62F91"/>
    <w:rsid w:val="00A64508"/>
    <w:rsid w:val="00A64741"/>
    <w:rsid w:val="00A64916"/>
    <w:rsid w:val="00A64B25"/>
    <w:rsid w:val="00A64DAE"/>
    <w:rsid w:val="00A65B45"/>
    <w:rsid w:val="00A66785"/>
    <w:rsid w:val="00A66941"/>
    <w:rsid w:val="00A70F57"/>
    <w:rsid w:val="00A721E3"/>
    <w:rsid w:val="00A732B7"/>
    <w:rsid w:val="00A73663"/>
    <w:rsid w:val="00A75AD1"/>
    <w:rsid w:val="00A760BC"/>
    <w:rsid w:val="00A76B79"/>
    <w:rsid w:val="00A76C52"/>
    <w:rsid w:val="00A76D83"/>
    <w:rsid w:val="00A77188"/>
    <w:rsid w:val="00A774A4"/>
    <w:rsid w:val="00A803EC"/>
    <w:rsid w:val="00A80A0D"/>
    <w:rsid w:val="00A81026"/>
    <w:rsid w:val="00A81601"/>
    <w:rsid w:val="00A8244E"/>
    <w:rsid w:val="00A82545"/>
    <w:rsid w:val="00A8342D"/>
    <w:rsid w:val="00A836BE"/>
    <w:rsid w:val="00A83747"/>
    <w:rsid w:val="00A83CB6"/>
    <w:rsid w:val="00A84233"/>
    <w:rsid w:val="00A846F2"/>
    <w:rsid w:val="00A847C7"/>
    <w:rsid w:val="00A84979"/>
    <w:rsid w:val="00A8780A"/>
    <w:rsid w:val="00A87E33"/>
    <w:rsid w:val="00A87F65"/>
    <w:rsid w:val="00A904B9"/>
    <w:rsid w:val="00A908FA"/>
    <w:rsid w:val="00A91550"/>
    <w:rsid w:val="00A91B7E"/>
    <w:rsid w:val="00A91F68"/>
    <w:rsid w:val="00A926EB"/>
    <w:rsid w:val="00A92830"/>
    <w:rsid w:val="00A93110"/>
    <w:rsid w:val="00A93189"/>
    <w:rsid w:val="00A9352B"/>
    <w:rsid w:val="00A93834"/>
    <w:rsid w:val="00A93C14"/>
    <w:rsid w:val="00A96214"/>
    <w:rsid w:val="00A964A6"/>
    <w:rsid w:val="00A97F2D"/>
    <w:rsid w:val="00AA116C"/>
    <w:rsid w:val="00AA1806"/>
    <w:rsid w:val="00AA193B"/>
    <w:rsid w:val="00AA1A0C"/>
    <w:rsid w:val="00AA2E72"/>
    <w:rsid w:val="00AA2EE4"/>
    <w:rsid w:val="00AA3B9B"/>
    <w:rsid w:val="00AA3B9E"/>
    <w:rsid w:val="00AA3EBA"/>
    <w:rsid w:val="00AA3F05"/>
    <w:rsid w:val="00AA420E"/>
    <w:rsid w:val="00AA427C"/>
    <w:rsid w:val="00AA4364"/>
    <w:rsid w:val="00AA4874"/>
    <w:rsid w:val="00AA5ACF"/>
    <w:rsid w:val="00AA6174"/>
    <w:rsid w:val="00AA674C"/>
    <w:rsid w:val="00AA695D"/>
    <w:rsid w:val="00AA6DB1"/>
    <w:rsid w:val="00AA71CC"/>
    <w:rsid w:val="00AB069B"/>
    <w:rsid w:val="00AB1BDA"/>
    <w:rsid w:val="00AB1D43"/>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BC5"/>
    <w:rsid w:val="00AD1CE4"/>
    <w:rsid w:val="00AD1E6B"/>
    <w:rsid w:val="00AD276B"/>
    <w:rsid w:val="00AD2E82"/>
    <w:rsid w:val="00AD4178"/>
    <w:rsid w:val="00AD4706"/>
    <w:rsid w:val="00AD4BDE"/>
    <w:rsid w:val="00AD4C7C"/>
    <w:rsid w:val="00AD5339"/>
    <w:rsid w:val="00AD5A2A"/>
    <w:rsid w:val="00AD614F"/>
    <w:rsid w:val="00AD6C92"/>
    <w:rsid w:val="00AD7E80"/>
    <w:rsid w:val="00AE05E3"/>
    <w:rsid w:val="00AE12E3"/>
    <w:rsid w:val="00AE133D"/>
    <w:rsid w:val="00AE40D3"/>
    <w:rsid w:val="00AE4C41"/>
    <w:rsid w:val="00AE5FF3"/>
    <w:rsid w:val="00AE611A"/>
    <w:rsid w:val="00AE7C3B"/>
    <w:rsid w:val="00AF14DE"/>
    <w:rsid w:val="00AF17E4"/>
    <w:rsid w:val="00AF2FB7"/>
    <w:rsid w:val="00AF41E3"/>
    <w:rsid w:val="00AF614A"/>
    <w:rsid w:val="00B0066D"/>
    <w:rsid w:val="00B0132E"/>
    <w:rsid w:val="00B02FFE"/>
    <w:rsid w:val="00B0310F"/>
    <w:rsid w:val="00B03DB0"/>
    <w:rsid w:val="00B041BB"/>
    <w:rsid w:val="00B041E9"/>
    <w:rsid w:val="00B051AD"/>
    <w:rsid w:val="00B10696"/>
    <w:rsid w:val="00B10CF0"/>
    <w:rsid w:val="00B11602"/>
    <w:rsid w:val="00B11B8A"/>
    <w:rsid w:val="00B12FBA"/>
    <w:rsid w:val="00B1325D"/>
    <w:rsid w:val="00B1328A"/>
    <w:rsid w:val="00B13D44"/>
    <w:rsid w:val="00B169E6"/>
    <w:rsid w:val="00B16BA8"/>
    <w:rsid w:val="00B20510"/>
    <w:rsid w:val="00B211AC"/>
    <w:rsid w:val="00B21ACD"/>
    <w:rsid w:val="00B22947"/>
    <w:rsid w:val="00B23DA8"/>
    <w:rsid w:val="00B23FCF"/>
    <w:rsid w:val="00B24E59"/>
    <w:rsid w:val="00B257C0"/>
    <w:rsid w:val="00B257C3"/>
    <w:rsid w:val="00B26EF3"/>
    <w:rsid w:val="00B30556"/>
    <w:rsid w:val="00B30BCC"/>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34B2"/>
    <w:rsid w:val="00B435A0"/>
    <w:rsid w:val="00B44896"/>
    <w:rsid w:val="00B459B8"/>
    <w:rsid w:val="00B46AA0"/>
    <w:rsid w:val="00B47DA9"/>
    <w:rsid w:val="00B5008E"/>
    <w:rsid w:val="00B5023E"/>
    <w:rsid w:val="00B50964"/>
    <w:rsid w:val="00B509E4"/>
    <w:rsid w:val="00B511C1"/>
    <w:rsid w:val="00B51A39"/>
    <w:rsid w:val="00B527CC"/>
    <w:rsid w:val="00B5334C"/>
    <w:rsid w:val="00B53573"/>
    <w:rsid w:val="00B56746"/>
    <w:rsid w:val="00B57758"/>
    <w:rsid w:val="00B57A3C"/>
    <w:rsid w:val="00B6043D"/>
    <w:rsid w:val="00B61874"/>
    <w:rsid w:val="00B624B8"/>
    <w:rsid w:val="00B62B56"/>
    <w:rsid w:val="00B6320F"/>
    <w:rsid w:val="00B635C0"/>
    <w:rsid w:val="00B63666"/>
    <w:rsid w:val="00B63751"/>
    <w:rsid w:val="00B64417"/>
    <w:rsid w:val="00B648AB"/>
    <w:rsid w:val="00B66045"/>
    <w:rsid w:val="00B674FD"/>
    <w:rsid w:val="00B6765C"/>
    <w:rsid w:val="00B700E1"/>
    <w:rsid w:val="00B70501"/>
    <w:rsid w:val="00B71846"/>
    <w:rsid w:val="00B71980"/>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E46"/>
    <w:rsid w:val="00B86145"/>
    <w:rsid w:val="00B875D8"/>
    <w:rsid w:val="00B9068B"/>
    <w:rsid w:val="00B9133A"/>
    <w:rsid w:val="00B9145F"/>
    <w:rsid w:val="00B921FA"/>
    <w:rsid w:val="00B925C8"/>
    <w:rsid w:val="00B93718"/>
    <w:rsid w:val="00B93960"/>
    <w:rsid w:val="00B93D2D"/>
    <w:rsid w:val="00B95072"/>
    <w:rsid w:val="00B97127"/>
    <w:rsid w:val="00B9761B"/>
    <w:rsid w:val="00B97D88"/>
    <w:rsid w:val="00BA0B73"/>
    <w:rsid w:val="00BA107A"/>
    <w:rsid w:val="00BA1BA2"/>
    <w:rsid w:val="00BA1DA3"/>
    <w:rsid w:val="00BA2853"/>
    <w:rsid w:val="00BA318F"/>
    <w:rsid w:val="00BA31EC"/>
    <w:rsid w:val="00BA377B"/>
    <w:rsid w:val="00BA3E02"/>
    <w:rsid w:val="00BA3F59"/>
    <w:rsid w:val="00BA517F"/>
    <w:rsid w:val="00BA5ECA"/>
    <w:rsid w:val="00BA65E4"/>
    <w:rsid w:val="00BA71CC"/>
    <w:rsid w:val="00BA75F7"/>
    <w:rsid w:val="00BB1833"/>
    <w:rsid w:val="00BB1BDA"/>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20EE"/>
    <w:rsid w:val="00BC2CE8"/>
    <w:rsid w:val="00BC38B4"/>
    <w:rsid w:val="00BC4460"/>
    <w:rsid w:val="00BC6DF6"/>
    <w:rsid w:val="00BC7255"/>
    <w:rsid w:val="00BD18E6"/>
    <w:rsid w:val="00BD1DD9"/>
    <w:rsid w:val="00BD30FA"/>
    <w:rsid w:val="00BD32E4"/>
    <w:rsid w:val="00BD35DF"/>
    <w:rsid w:val="00BD3DB3"/>
    <w:rsid w:val="00BD40C4"/>
    <w:rsid w:val="00BD4468"/>
    <w:rsid w:val="00BD7161"/>
    <w:rsid w:val="00BD772F"/>
    <w:rsid w:val="00BD79DE"/>
    <w:rsid w:val="00BE0507"/>
    <w:rsid w:val="00BE0CF0"/>
    <w:rsid w:val="00BE0E39"/>
    <w:rsid w:val="00BE186E"/>
    <w:rsid w:val="00BE195C"/>
    <w:rsid w:val="00BE1CA1"/>
    <w:rsid w:val="00BE1FB5"/>
    <w:rsid w:val="00BE2F9A"/>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250"/>
    <w:rsid w:val="00BF3998"/>
    <w:rsid w:val="00BF4664"/>
    <w:rsid w:val="00BF4A8C"/>
    <w:rsid w:val="00BF51F0"/>
    <w:rsid w:val="00BF56D6"/>
    <w:rsid w:val="00BF6F77"/>
    <w:rsid w:val="00BF77A7"/>
    <w:rsid w:val="00BF79AA"/>
    <w:rsid w:val="00C00455"/>
    <w:rsid w:val="00C00746"/>
    <w:rsid w:val="00C0158B"/>
    <w:rsid w:val="00C018C0"/>
    <w:rsid w:val="00C02E0A"/>
    <w:rsid w:val="00C034F6"/>
    <w:rsid w:val="00C03EEB"/>
    <w:rsid w:val="00C0422C"/>
    <w:rsid w:val="00C048EB"/>
    <w:rsid w:val="00C04C09"/>
    <w:rsid w:val="00C04EE8"/>
    <w:rsid w:val="00C0535A"/>
    <w:rsid w:val="00C058A1"/>
    <w:rsid w:val="00C062FD"/>
    <w:rsid w:val="00C0701A"/>
    <w:rsid w:val="00C075E2"/>
    <w:rsid w:val="00C11597"/>
    <w:rsid w:val="00C1181E"/>
    <w:rsid w:val="00C1183B"/>
    <w:rsid w:val="00C12346"/>
    <w:rsid w:val="00C129FD"/>
    <w:rsid w:val="00C12C78"/>
    <w:rsid w:val="00C12CAD"/>
    <w:rsid w:val="00C138ED"/>
    <w:rsid w:val="00C147D0"/>
    <w:rsid w:val="00C14AF5"/>
    <w:rsid w:val="00C14C72"/>
    <w:rsid w:val="00C156BB"/>
    <w:rsid w:val="00C16508"/>
    <w:rsid w:val="00C165C5"/>
    <w:rsid w:val="00C1733A"/>
    <w:rsid w:val="00C211EC"/>
    <w:rsid w:val="00C21833"/>
    <w:rsid w:val="00C21E62"/>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27EA6"/>
    <w:rsid w:val="00C303E2"/>
    <w:rsid w:val="00C30802"/>
    <w:rsid w:val="00C309C5"/>
    <w:rsid w:val="00C31519"/>
    <w:rsid w:val="00C317DA"/>
    <w:rsid w:val="00C31B00"/>
    <w:rsid w:val="00C32412"/>
    <w:rsid w:val="00C3283B"/>
    <w:rsid w:val="00C33839"/>
    <w:rsid w:val="00C33A75"/>
    <w:rsid w:val="00C34811"/>
    <w:rsid w:val="00C36923"/>
    <w:rsid w:val="00C36EF5"/>
    <w:rsid w:val="00C407F5"/>
    <w:rsid w:val="00C40BDD"/>
    <w:rsid w:val="00C418DB"/>
    <w:rsid w:val="00C41EB7"/>
    <w:rsid w:val="00C42A26"/>
    <w:rsid w:val="00C4322D"/>
    <w:rsid w:val="00C43867"/>
    <w:rsid w:val="00C43C97"/>
    <w:rsid w:val="00C4441D"/>
    <w:rsid w:val="00C44740"/>
    <w:rsid w:val="00C45154"/>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57490"/>
    <w:rsid w:val="00C61625"/>
    <w:rsid w:val="00C617FA"/>
    <w:rsid w:val="00C61AFE"/>
    <w:rsid w:val="00C63E5B"/>
    <w:rsid w:val="00C64688"/>
    <w:rsid w:val="00C64A9B"/>
    <w:rsid w:val="00C65757"/>
    <w:rsid w:val="00C6589E"/>
    <w:rsid w:val="00C66127"/>
    <w:rsid w:val="00C662D4"/>
    <w:rsid w:val="00C67A30"/>
    <w:rsid w:val="00C67A47"/>
    <w:rsid w:val="00C706A0"/>
    <w:rsid w:val="00C70E4A"/>
    <w:rsid w:val="00C716D9"/>
    <w:rsid w:val="00C718E6"/>
    <w:rsid w:val="00C71AAA"/>
    <w:rsid w:val="00C71B57"/>
    <w:rsid w:val="00C72E1C"/>
    <w:rsid w:val="00C73CD5"/>
    <w:rsid w:val="00C75EF4"/>
    <w:rsid w:val="00C7775E"/>
    <w:rsid w:val="00C802DB"/>
    <w:rsid w:val="00C80333"/>
    <w:rsid w:val="00C80609"/>
    <w:rsid w:val="00C808FB"/>
    <w:rsid w:val="00C81698"/>
    <w:rsid w:val="00C8287B"/>
    <w:rsid w:val="00C836B0"/>
    <w:rsid w:val="00C83F69"/>
    <w:rsid w:val="00C84007"/>
    <w:rsid w:val="00C848CC"/>
    <w:rsid w:val="00C84CC1"/>
    <w:rsid w:val="00C8515B"/>
    <w:rsid w:val="00C852C0"/>
    <w:rsid w:val="00C8535E"/>
    <w:rsid w:val="00C8550A"/>
    <w:rsid w:val="00C855D3"/>
    <w:rsid w:val="00C858F5"/>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4DF1"/>
    <w:rsid w:val="00C95122"/>
    <w:rsid w:val="00C9643A"/>
    <w:rsid w:val="00C965AA"/>
    <w:rsid w:val="00C96946"/>
    <w:rsid w:val="00C96E4A"/>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204"/>
    <w:rsid w:val="00CB49E7"/>
    <w:rsid w:val="00CB5174"/>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999"/>
    <w:rsid w:val="00CD4AF9"/>
    <w:rsid w:val="00CD4CAA"/>
    <w:rsid w:val="00CD4EE6"/>
    <w:rsid w:val="00CD4FC0"/>
    <w:rsid w:val="00CD53F6"/>
    <w:rsid w:val="00CD547E"/>
    <w:rsid w:val="00CD5BDF"/>
    <w:rsid w:val="00CD66FA"/>
    <w:rsid w:val="00CD7282"/>
    <w:rsid w:val="00CD778F"/>
    <w:rsid w:val="00CE1A33"/>
    <w:rsid w:val="00CE1C80"/>
    <w:rsid w:val="00CE1EF9"/>
    <w:rsid w:val="00CE2E8B"/>
    <w:rsid w:val="00CE32E1"/>
    <w:rsid w:val="00CE412A"/>
    <w:rsid w:val="00CE4420"/>
    <w:rsid w:val="00CE4F5F"/>
    <w:rsid w:val="00CE52C1"/>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179"/>
    <w:rsid w:val="00CF531A"/>
    <w:rsid w:val="00CF6A8F"/>
    <w:rsid w:val="00CF710C"/>
    <w:rsid w:val="00D001B2"/>
    <w:rsid w:val="00D0030B"/>
    <w:rsid w:val="00D00505"/>
    <w:rsid w:val="00D00A7E"/>
    <w:rsid w:val="00D00D06"/>
    <w:rsid w:val="00D00F13"/>
    <w:rsid w:val="00D0196E"/>
    <w:rsid w:val="00D02900"/>
    <w:rsid w:val="00D02A54"/>
    <w:rsid w:val="00D02CB7"/>
    <w:rsid w:val="00D03E87"/>
    <w:rsid w:val="00D0413C"/>
    <w:rsid w:val="00D04B89"/>
    <w:rsid w:val="00D05655"/>
    <w:rsid w:val="00D05901"/>
    <w:rsid w:val="00D05AA0"/>
    <w:rsid w:val="00D062BB"/>
    <w:rsid w:val="00D07873"/>
    <w:rsid w:val="00D07A65"/>
    <w:rsid w:val="00D07DA1"/>
    <w:rsid w:val="00D10B57"/>
    <w:rsid w:val="00D118F4"/>
    <w:rsid w:val="00D11DC8"/>
    <w:rsid w:val="00D11DEB"/>
    <w:rsid w:val="00D124EA"/>
    <w:rsid w:val="00D127AD"/>
    <w:rsid w:val="00D127FF"/>
    <w:rsid w:val="00D145BA"/>
    <w:rsid w:val="00D147B2"/>
    <w:rsid w:val="00D14B04"/>
    <w:rsid w:val="00D14BCD"/>
    <w:rsid w:val="00D14CAA"/>
    <w:rsid w:val="00D14D14"/>
    <w:rsid w:val="00D153C7"/>
    <w:rsid w:val="00D15BC5"/>
    <w:rsid w:val="00D15E09"/>
    <w:rsid w:val="00D163D7"/>
    <w:rsid w:val="00D16679"/>
    <w:rsid w:val="00D16896"/>
    <w:rsid w:val="00D16CC8"/>
    <w:rsid w:val="00D1704B"/>
    <w:rsid w:val="00D178E0"/>
    <w:rsid w:val="00D17C5D"/>
    <w:rsid w:val="00D207F1"/>
    <w:rsid w:val="00D20A98"/>
    <w:rsid w:val="00D2233B"/>
    <w:rsid w:val="00D2261E"/>
    <w:rsid w:val="00D2281F"/>
    <w:rsid w:val="00D22A1B"/>
    <w:rsid w:val="00D234BC"/>
    <w:rsid w:val="00D2486D"/>
    <w:rsid w:val="00D25FAB"/>
    <w:rsid w:val="00D2688A"/>
    <w:rsid w:val="00D27F97"/>
    <w:rsid w:val="00D31DB8"/>
    <w:rsid w:val="00D3207C"/>
    <w:rsid w:val="00D32A24"/>
    <w:rsid w:val="00D34B28"/>
    <w:rsid w:val="00D35BBF"/>
    <w:rsid w:val="00D35F5C"/>
    <w:rsid w:val="00D42A60"/>
    <w:rsid w:val="00D445BB"/>
    <w:rsid w:val="00D4472F"/>
    <w:rsid w:val="00D44827"/>
    <w:rsid w:val="00D44A7C"/>
    <w:rsid w:val="00D44F60"/>
    <w:rsid w:val="00D45412"/>
    <w:rsid w:val="00D4570D"/>
    <w:rsid w:val="00D4575B"/>
    <w:rsid w:val="00D45DCD"/>
    <w:rsid w:val="00D465D2"/>
    <w:rsid w:val="00D4692C"/>
    <w:rsid w:val="00D46DB8"/>
    <w:rsid w:val="00D47245"/>
    <w:rsid w:val="00D50973"/>
    <w:rsid w:val="00D526DA"/>
    <w:rsid w:val="00D5460B"/>
    <w:rsid w:val="00D54924"/>
    <w:rsid w:val="00D55EB2"/>
    <w:rsid w:val="00D566C9"/>
    <w:rsid w:val="00D570A7"/>
    <w:rsid w:val="00D61644"/>
    <w:rsid w:val="00D62F31"/>
    <w:rsid w:val="00D631D0"/>
    <w:rsid w:val="00D64025"/>
    <w:rsid w:val="00D6464F"/>
    <w:rsid w:val="00D64D1D"/>
    <w:rsid w:val="00D64FE6"/>
    <w:rsid w:val="00D65904"/>
    <w:rsid w:val="00D65A96"/>
    <w:rsid w:val="00D65BDA"/>
    <w:rsid w:val="00D65BFF"/>
    <w:rsid w:val="00D67EE9"/>
    <w:rsid w:val="00D67F69"/>
    <w:rsid w:val="00D70095"/>
    <w:rsid w:val="00D707CB"/>
    <w:rsid w:val="00D70D99"/>
    <w:rsid w:val="00D711EB"/>
    <w:rsid w:val="00D71B85"/>
    <w:rsid w:val="00D72C7A"/>
    <w:rsid w:val="00D733E9"/>
    <w:rsid w:val="00D7364F"/>
    <w:rsid w:val="00D736D7"/>
    <w:rsid w:val="00D73B3C"/>
    <w:rsid w:val="00D7492C"/>
    <w:rsid w:val="00D749F3"/>
    <w:rsid w:val="00D74A0A"/>
    <w:rsid w:val="00D76C00"/>
    <w:rsid w:val="00D77194"/>
    <w:rsid w:val="00D774AA"/>
    <w:rsid w:val="00D777B2"/>
    <w:rsid w:val="00D77C2B"/>
    <w:rsid w:val="00D77D56"/>
    <w:rsid w:val="00D818C4"/>
    <w:rsid w:val="00D81AF3"/>
    <w:rsid w:val="00D81D47"/>
    <w:rsid w:val="00D8300D"/>
    <w:rsid w:val="00D838F0"/>
    <w:rsid w:val="00D83F96"/>
    <w:rsid w:val="00D84153"/>
    <w:rsid w:val="00D85C90"/>
    <w:rsid w:val="00D8767A"/>
    <w:rsid w:val="00D8783B"/>
    <w:rsid w:val="00D90741"/>
    <w:rsid w:val="00D90F5A"/>
    <w:rsid w:val="00D91A4C"/>
    <w:rsid w:val="00D91E34"/>
    <w:rsid w:val="00D932F1"/>
    <w:rsid w:val="00D93B9E"/>
    <w:rsid w:val="00D95390"/>
    <w:rsid w:val="00D96459"/>
    <w:rsid w:val="00D9670A"/>
    <w:rsid w:val="00D96EB7"/>
    <w:rsid w:val="00D97A83"/>
    <w:rsid w:val="00D97B00"/>
    <w:rsid w:val="00D97D93"/>
    <w:rsid w:val="00DA0621"/>
    <w:rsid w:val="00DA0C75"/>
    <w:rsid w:val="00DA1B36"/>
    <w:rsid w:val="00DA3020"/>
    <w:rsid w:val="00DA3683"/>
    <w:rsid w:val="00DA3DA2"/>
    <w:rsid w:val="00DA468A"/>
    <w:rsid w:val="00DA493E"/>
    <w:rsid w:val="00DA4DB7"/>
    <w:rsid w:val="00DA5373"/>
    <w:rsid w:val="00DA5419"/>
    <w:rsid w:val="00DA5431"/>
    <w:rsid w:val="00DA5ABB"/>
    <w:rsid w:val="00DA60AA"/>
    <w:rsid w:val="00DA6337"/>
    <w:rsid w:val="00DA6487"/>
    <w:rsid w:val="00DA71C3"/>
    <w:rsid w:val="00DA7217"/>
    <w:rsid w:val="00DA7720"/>
    <w:rsid w:val="00DA7F0C"/>
    <w:rsid w:val="00DB0232"/>
    <w:rsid w:val="00DB0E6A"/>
    <w:rsid w:val="00DB19EC"/>
    <w:rsid w:val="00DB1DB7"/>
    <w:rsid w:val="00DB1F4C"/>
    <w:rsid w:val="00DB1FF9"/>
    <w:rsid w:val="00DB53AC"/>
    <w:rsid w:val="00DB5439"/>
    <w:rsid w:val="00DB63FC"/>
    <w:rsid w:val="00DB7A82"/>
    <w:rsid w:val="00DC0730"/>
    <w:rsid w:val="00DC106A"/>
    <w:rsid w:val="00DC43BC"/>
    <w:rsid w:val="00DC5469"/>
    <w:rsid w:val="00DC5A7B"/>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0B14"/>
    <w:rsid w:val="00DE104F"/>
    <w:rsid w:val="00DE1517"/>
    <w:rsid w:val="00DE170B"/>
    <w:rsid w:val="00DE19AF"/>
    <w:rsid w:val="00DE22F0"/>
    <w:rsid w:val="00DE23AD"/>
    <w:rsid w:val="00DE263D"/>
    <w:rsid w:val="00DE304F"/>
    <w:rsid w:val="00DE32ED"/>
    <w:rsid w:val="00DE4357"/>
    <w:rsid w:val="00DE4EDB"/>
    <w:rsid w:val="00DE500F"/>
    <w:rsid w:val="00DE5BEC"/>
    <w:rsid w:val="00DE7477"/>
    <w:rsid w:val="00DE754E"/>
    <w:rsid w:val="00DF0854"/>
    <w:rsid w:val="00DF2556"/>
    <w:rsid w:val="00DF3117"/>
    <w:rsid w:val="00DF6158"/>
    <w:rsid w:val="00DF6BA6"/>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0B30"/>
    <w:rsid w:val="00E116DD"/>
    <w:rsid w:val="00E121F3"/>
    <w:rsid w:val="00E12616"/>
    <w:rsid w:val="00E13352"/>
    <w:rsid w:val="00E136B8"/>
    <w:rsid w:val="00E14D18"/>
    <w:rsid w:val="00E14F86"/>
    <w:rsid w:val="00E1651A"/>
    <w:rsid w:val="00E169A5"/>
    <w:rsid w:val="00E17B91"/>
    <w:rsid w:val="00E22DDD"/>
    <w:rsid w:val="00E237E3"/>
    <w:rsid w:val="00E24110"/>
    <w:rsid w:val="00E24FB8"/>
    <w:rsid w:val="00E25439"/>
    <w:rsid w:val="00E25F76"/>
    <w:rsid w:val="00E2633B"/>
    <w:rsid w:val="00E26BA0"/>
    <w:rsid w:val="00E27CCD"/>
    <w:rsid w:val="00E27EDF"/>
    <w:rsid w:val="00E30AED"/>
    <w:rsid w:val="00E31CF0"/>
    <w:rsid w:val="00E32857"/>
    <w:rsid w:val="00E32AE7"/>
    <w:rsid w:val="00E33C6F"/>
    <w:rsid w:val="00E34520"/>
    <w:rsid w:val="00E34CC0"/>
    <w:rsid w:val="00E3508D"/>
    <w:rsid w:val="00E35DF6"/>
    <w:rsid w:val="00E370C4"/>
    <w:rsid w:val="00E37159"/>
    <w:rsid w:val="00E37872"/>
    <w:rsid w:val="00E40432"/>
    <w:rsid w:val="00E40579"/>
    <w:rsid w:val="00E41636"/>
    <w:rsid w:val="00E42A5D"/>
    <w:rsid w:val="00E42CF5"/>
    <w:rsid w:val="00E4374E"/>
    <w:rsid w:val="00E4542D"/>
    <w:rsid w:val="00E47129"/>
    <w:rsid w:val="00E47442"/>
    <w:rsid w:val="00E47C54"/>
    <w:rsid w:val="00E47D0D"/>
    <w:rsid w:val="00E50221"/>
    <w:rsid w:val="00E5023F"/>
    <w:rsid w:val="00E505A0"/>
    <w:rsid w:val="00E507EF"/>
    <w:rsid w:val="00E508E0"/>
    <w:rsid w:val="00E509FA"/>
    <w:rsid w:val="00E50D6A"/>
    <w:rsid w:val="00E51B2D"/>
    <w:rsid w:val="00E52206"/>
    <w:rsid w:val="00E525BD"/>
    <w:rsid w:val="00E55335"/>
    <w:rsid w:val="00E5562F"/>
    <w:rsid w:val="00E55C63"/>
    <w:rsid w:val="00E567CC"/>
    <w:rsid w:val="00E56839"/>
    <w:rsid w:val="00E56853"/>
    <w:rsid w:val="00E5691C"/>
    <w:rsid w:val="00E56A2A"/>
    <w:rsid w:val="00E57B1E"/>
    <w:rsid w:val="00E57C38"/>
    <w:rsid w:val="00E607A0"/>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3030"/>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2026"/>
    <w:rsid w:val="00E8348F"/>
    <w:rsid w:val="00E838FB"/>
    <w:rsid w:val="00E83D00"/>
    <w:rsid w:val="00E83DA3"/>
    <w:rsid w:val="00E840BC"/>
    <w:rsid w:val="00E85843"/>
    <w:rsid w:val="00E85FA4"/>
    <w:rsid w:val="00E8721E"/>
    <w:rsid w:val="00E87F01"/>
    <w:rsid w:val="00E91A2E"/>
    <w:rsid w:val="00E92063"/>
    <w:rsid w:val="00E925F2"/>
    <w:rsid w:val="00E92E93"/>
    <w:rsid w:val="00E937B8"/>
    <w:rsid w:val="00E9522D"/>
    <w:rsid w:val="00E959C0"/>
    <w:rsid w:val="00E96E1F"/>
    <w:rsid w:val="00E96F71"/>
    <w:rsid w:val="00E971E4"/>
    <w:rsid w:val="00E9788E"/>
    <w:rsid w:val="00E97C2E"/>
    <w:rsid w:val="00EA0945"/>
    <w:rsid w:val="00EA1374"/>
    <w:rsid w:val="00EA3C82"/>
    <w:rsid w:val="00EA3ECA"/>
    <w:rsid w:val="00EA657E"/>
    <w:rsid w:val="00EA688F"/>
    <w:rsid w:val="00EA78DD"/>
    <w:rsid w:val="00EB0845"/>
    <w:rsid w:val="00EB0D5E"/>
    <w:rsid w:val="00EB1151"/>
    <w:rsid w:val="00EB12C9"/>
    <w:rsid w:val="00EB24F6"/>
    <w:rsid w:val="00EB28DC"/>
    <w:rsid w:val="00EB2A3A"/>
    <w:rsid w:val="00EB3086"/>
    <w:rsid w:val="00EB36E4"/>
    <w:rsid w:val="00EB43FE"/>
    <w:rsid w:val="00EB4559"/>
    <w:rsid w:val="00EB4979"/>
    <w:rsid w:val="00EB4DFD"/>
    <w:rsid w:val="00EB5736"/>
    <w:rsid w:val="00EB5941"/>
    <w:rsid w:val="00EB6115"/>
    <w:rsid w:val="00EB6204"/>
    <w:rsid w:val="00EB7474"/>
    <w:rsid w:val="00EB77EA"/>
    <w:rsid w:val="00EB780F"/>
    <w:rsid w:val="00EB7AFB"/>
    <w:rsid w:val="00EC0FFF"/>
    <w:rsid w:val="00EC197B"/>
    <w:rsid w:val="00EC1F23"/>
    <w:rsid w:val="00EC223F"/>
    <w:rsid w:val="00EC4486"/>
    <w:rsid w:val="00EC498E"/>
    <w:rsid w:val="00EC5EBB"/>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6140"/>
    <w:rsid w:val="00ED6DD1"/>
    <w:rsid w:val="00ED7604"/>
    <w:rsid w:val="00ED7827"/>
    <w:rsid w:val="00EE4699"/>
    <w:rsid w:val="00EE4A6E"/>
    <w:rsid w:val="00EE4CD1"/>
    <w:rsid w:val="00EE723A"/>
    <w:rsid w:val="00EE75C5"/>
    <w:rsid w:val="00EE7DB5"/>
    <w:rsid w:val="00EF032C"/>
    <w:rsid w:val="00EF174C"/>
    <w:rsid w:val="00EF3968"/>
    <w:rsid w:val="00EF4D4B"/>
    <w:rsid w:val="00EF6040"/>
    <w:rsid w:val="00EF77D2"/>
    <w:rsid w:val="00EF78E4"/>
    <w:rsid w:val="00F003E0"/>
    <w:rsid w:val="00F00984"/>
    <w:rsid w:val="00F00AA1"/>
    <w:rsid w:val="00F00CA3"/>
    <w:rsid w:val="00F00E27"/>
    <w:rsid w:val="00F010AD"/>
    <w:rsid w:val="00F016A6"/>
    <w:rsid w:val="00F01FF8"/>
    <w:rsid w:val="00F02266"/>
    <w:rsid w:val="00F03105"/>
    <w:rsid w:val="00F03583"/>
    <w:rsid w:val="00F0371F"/>
    <w:rsid w:val="00F03AAD"/>
    <w:rsid w:val="00F0516A"/>
    <w:rsid w:val="00F053FD"/>
    <w:rsid w:val="00F06197"/>
    <w:rsid w:val="00F06768"/>
    <w:rsid w:val="00F06E0A"/>
    <w:rsid w:val="00F073F1"/>
    <w:rsid w:val="00F101F1"/>
    <w:rsid w:val="00F10351"/>
    <w:rsid w:val="00F104BC"/>
    <w:rsid w:val="00F109B0"/>
    <w:rsid w:val="00F10A1F"/>
    <w:rsid w:val="00F10FD3"/>
    <w:rsid w:val="00F12947"/>
    <w:rsid w:val="00F1367C"/>
    <w:rsid w:val="00F13906"/>
    <w:rsid w:val="00F14A2D"/>
    <w:rsid w:val="00F14F25"/>
    <w:rsid w:val="00F15372"/>
    <w:rsid w:val="00F157ED"/>
    <w:rsid w:val="00F167DB"/>
    <w:rsid w:val="00F20232"/>
    <w:rsid w:val="00F21287"/>
    <w:rsid w:val="00F21A43"/>
    <w:rsid w:val="00F24D15"/>
    <w:rsid w:val="00F251B7"/>
    <w:rsid w:val="00F25335"/>
    <w:rsid w:val="00F2692D"/>
    <w:rsid w:val="00F26B77"/>
    <w:rsid w:val="00F26D4B"/>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7DB"/>
    <w:rsid w:val="00F50817"/>
    <w:rsid w:val="00F51250"/>
    <w:rsid w:val="00F514DB"/>
    <w:rsid w:val="00F51A61"/>
    <w:rsid w:val="00F526FD"/>
    <w:rsid w:val="00F52CE3"/>
    <w:rsid w:val="00F52E36"/>
    <w:rsid w:val="00F53F01"/>
    <w:rsid w:val="00F54379"/>
    <w:rsid w:val="00F55B23"/>
    <w:rsid w:val="00F574EB"/>
    <w:rsid w:val="00F579FD"/>
    <w:rsid w:val="00F57BA4"/>
    <w:rsid w:val="00F57EDC"/>
    <w:rsid w:val="00F603CC"/>
    <w:rsid w:val="00F626E4"/>
    <w:rsid w:val="00F6322F"/>
    <w:rsid w:val="00F63608"/>
    <w:rsid w:val="00F63771"/>
    <w:rsid w:val="00F65B6E"/>
    <w:rsid w:val="00F6753D"/>
    <w:rsid w:val="00F67CC9"/>
    <w:rsid w:val="00F70084"/>
    <w:rsid w:val="00F706E6"/>
    <w:rsid w:val="00F70B97"/>
    <w:rsid w:val="00F70BA3"/>
    <w:rsid w:val="00F70BF8"/>
    <w:rsid w:val="00F70C97"/>
    <w:rsid w:val="00F711E6"/>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6EDA"/>
    <w:rsid w:val="00F77395"/>
    <w:rsid w:val="00F8004E"/>
    <w:rsid w:val="00F802FA"/>
    <w:rsid w:val="00F80568"/>
    <w:rsid w:val="00F808D8"/>
    <w:rsid w:val="00F818F9"/>
    <w:rsid w:val="00F82418"/>
    <w:rsid w:val="00F825F1"/>
    <w:rsid w:val="00F83357"/>
    <w:rsid w:val="00F83F21"/>
    <w:rsid w:val="00F84867"/>
    <w:rsid w:val="00F84B84"/>
    <w:rsid w:val="00F84FEE"/>
    <w:rsid w:val="00F86361"/>
    <w:rsid w:val="00F87190"/>
    <w:rsid w:val="00F87A43"/>
    <w:rsid w:val="00F90616"/>
    <w:rsid w:val="00F91205"/>
    <w:rsid w:val="00F91A08"/>
    <w:rsid w:val="00F921A2"/>
    <w:rsid w:val="00F950C1"/>
    <w:rsid w:val="00F95411"/>
    <w:rsid w:val="00F96DC6"/>
    <w:rsid w:val="00F97A6D"/>
    <w:rsid w:val="00F97DB5"/>
    <w:rsid w:val="00FA01C2"/>
    <w:rsid w:val="00FA0FC6"/>
    <w:rsid w:val="00FA10B0"/>
    <w:rsid w:val="00FA16A9"/>
    <w:rsid w:val="00FA27AC"/>
    <w:rsid w:val="00FA3C03"/>
    <w:rsid w:val="00FA4281"/>
    <w:rsid w:val="00FA4841"/>
    <w:rsid w:val="00FA48E5"/>
    <w:rsid w:val="00FA4DD5"/>
    <w:rsid w:val="00FA572F"/>
    <w:rsid w:val="00FA5A18"/>
    <w:rsid w:val="00FA6A6D"/>
    <w:rsid w:val="00FA6DE2"/>
    <w:rsid w:val="00FA7157"/>
    <w:rsid w:val="00FA76F2"/>
    <w:rsid w:val="00FB04C7"/>
    <w:rsid w:val="00FB2AB1"/>
    <w:rsid w:val="00FB30AA"/>
    <w:rsid w:val="00FB6677"/>
    <w:rsid w:val="00FB727F"/>
    <w:rsid w:val="00FB7604"/>
    <w:rsid w:val="00FB7B64"/>
    <w:rsid w:val="00FB7D80"/>
    <w:rsid w:val="00FC086A"/>
    <w:rsid w:val="00FC122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4A20"/>
    <w:rsid w:val="00FD5933"/>
    <w:rsid w:val="00FD6A02"/>
    <w:rsid w:val="00FD6EE6"/>
    <w:rsid w:val="00FD7BDE"/>
    <w:rsid w:val="00FD7E80"/>
    <w:rsid w:val="00FE0FF0"/>
    <w:rsid w:val="00FE16E3"/>
    <w:rsid w:val="00FE1960"/>
    <w:rsid w:val="00FE2287"/>
    <w:rsid w:val="00FE3184"/>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1BEE"/>
    <w:rsid w:val="00FF23B3"/>
    <w:rsid w:val="00FF2537"/>
    <w:rsid w:val="00FF305B"/>
    <w:rsid w:val="00FF34BB"/>
    <w:rsid w:val="00FF36A9"/>
    <w:rsid w:val="00FF37B7"/>
    <w:rsid w:val="00FF40E4"/>
    <w:rsid w:val="00FF45F2"/>
    <w:rsid w:val="00FF539C"/>
    <w:rsid w:val="00FF53AD"/>
    <w:rsid w:val="00FF58C7"/>
    <w:rsid w:val="00FF701F"/>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 w:type="paragraph" w:styleId="FootnoteText">
    <w:name w:val="footnote text"/>
    <w:basedOn w:val="Normal"/>
    <w:link w:val="FootnoteTextChar"/>
    <w:rsid w:val="00E52206"/>
    <w:rPr>
      <w:rFonts w:eastAsia="Times New Roman"/>
      <w:sz w:val="20"/>
    </w:rPr>
  </w:style>
  <w:style w:type="character" w:customStyle="1" w:styleId="FootnoteTextChar">
    <w:name w:val="Footnote Text Char"/>
    <w:basedOn w:val="DefaultParagraphFont"/>
    <w:link w:val="FootnoteText"/>
    <w:rsid w:val="00E52206"/>
    <w:rPr>
      <w:rFonts w:eastAsia="Times New Roman"/>
      <w:lang w:eastAsia="en-US"/>
    </w:rPr>
  </w:style>
  <w:style w:type="character" w:styleId="FootnoteReference">
    <w:name w:val="footnote reference"/>
    <w:rsid w:val="00E522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16102495">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55305082">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78725288">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3861766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596744898">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789229240">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3511994">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4291365">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4793506">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ustomXml" Target="ink/ink1.xml"/><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3.png"/><Relationship Id="rId34" Type="http://schemas.openxmlformats.org/officeDocument/2006/relationships/customXml" Target="ink/ink3.xm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customXml" Target="ink/ink6.xml"/><Relationship Id="rId63" Type="http://schemas.openxmlformats.org/officeDocument/2006/relationships/customXml" Target="ink/ink9.xml"/><Relationship Id="rId68" Type="http://schemas.openxmlformats.org/officeDocument/2006/relationships/image" Target="media/image49.png"/><Relationship Id="rId76" Type="http://schemas.openxmlformats.org/officeDocument/2006/relationships/image" Target="media/image55.png"/><Relationship Id="rId84" Type="http://schemas.openxmlformats.org/officeDocument/2006/relationships/image" Target="media/image62.png"/><Relationship Id="rId89"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4.png"/><Relationship Id="rId24" Type="http://schemas.microsoft.com/office/2016/09/relationships/commentsIds" Target="commentsIds.xml"/><Relationship Id="rId32" Type="http://schemas.openxmlformats.org/officeDocument/2006/relationships/customXml" Target="ink/ink2.xml"/><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2.png"/><Relationship Id="rId66" Type="http://schemas.openxmlformats.org/officeDocument/2006/relationships/image" Target="media/image47.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image" Target="media/image64.png"/><Relationship Id="rId5" Type="http://schemas.openxmlformats.org/officeDocument/2006/relationships/webSettings" Target="webSettings.xml"/><Relationship Id="rId61" Type="http://schemas.openxmlformats.org/officeDocument/2006/relationships/customXml" Target="ink/ink8.xml"/><Relationship Id="rId82" Type="http://schemas.openxmlformats.org/officeDocument/2006/relationships/image" Target="media/image61.png"/><Relationship Id="rId90" Type="http://schemas.openxmlformats.org/officeDocument/2006/relationships/image" Target="media/image67.png"/><Relationship Id="rId95"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comments" Target="comments.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2.png"/><Relationship Id="rId80" Type="http://schemas.openxmlformats.org/officeDocument/2006/relationships/image" Target="media/image59.png"/><Relationship Id="rId85" Type="http://schemas.openxmlformats.org/officeDocument/2006/relationships/customXml" Target="ink/ink13.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customXml" Target="ink/ink5.xml"/><Relationship Id="rId46" Type="http://schemas.openxmlformats.org/officeDocument/2006/relationships/image" Target="media/image31.png"/><Relationship Id="rId59" Type="http://schemas.openxmlformats.org/officeDocument/2006/relationships/customXml" Target="ink/ink7.xml"/><Relationship Id="rId67" Type="http://schemas.openxmlformats.org/officeDocument/2006/relationships/image" Target="media/image48.png"/><Relationship Id="rId20" Type="http://schemas.openxmlformats.org/officeDocument/2006/relationships/image" Target="media/image12.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4.png"/><Relationship Id="rId70" Type="http://schemas.openxmlformats.org/officeDocument/2006/relationships/customXml" Target="ink/ink10.xml"/><Relationship Id="rId75" Type="http://schemas.openxmlformats.org/officeDocument/2006/relationships/image" Target="media/image54.png"/><Relationship Id="rId83" Type="http://schemas.openxmlformats.org/officeDocument/2006/relationships/customXml" Target="ink/ink12.xml"/><Relationship Id="rId88" Type="http://schemas.openxmlformats.org/officeDocument/2006/relationships/image" Target="media/image65.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microsoft.com/office/2011/relationships/commentsExtended" Target="commentsExtended.xml"/><Relationship Id="rId28" Type="http://schemas.openxmlformats.org/officeDocument/2006/relationships/image" Target="media/image17.png"/><Relationship Id="rId36" Type="http://schemas.openxmlformats.org/officeDocument/2006/relationships/customXml" Target="ink/ink4.xml"/><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image" Target="media/image46.png"/><Relationship Id="rId73" Type="http://schemas.openxmlformats.org/officeDocument/2006/relationships/customXml" Target="ink/ink11.xml"/><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3.png"/><Relationship Id="rId9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4T18:39:17.18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51,'2'2,"1"-1,0 1,-1-1,1 0,0 1,0-1,0-1,0 1,0 0,0-1,0 1,0-1,0 0,3 0,3 0,41 3,0-2,0-3,0-2,-1-2,1-2,8-4,-21 5,1 1,0 2,10 1,117 4,-66 0,161 0,299-2,-411-8,-74 3,0 3,32 5,-64 3,-1 2,40 12,-24-5,7 4,-1 1,22 8,-69-23</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2.5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1,'425'0,"461"1,-868-1,154 3,3 7,-121-4,0 2,-1 2,0 2,-1 3,17 8,-28-6,-23-8,0-2,1 0,0-1,0 0,1-2,0-1,0 0,14 0,2029-7,-1979 0,1-4,13-5,2-1,25 3,-104 10,-4 0,0 1,1 0,-1 1,4 1,-12 3,-14 0,-18 3,-31-1,0-1,-1-3,-49-4,70 1,7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8.18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1 169,'139'-4,"47"-10,136-27,-212 26,326-36,272 7,-123 55,-67 6,75 4,-492-16,142 11,-240-15,-1-1,0 0,1 1,-1 0,0 0,0-1,0 1,0 1,0-1,0 0,0 0,0 1,0-1,0 1,-1-1,1 1,-1 0,1 0,-1 0,0 0,0 0,1 0,-1 0,-1 0,1 1,10 14,16 21,2-2,2-1,1-1,25 19,-49-47,-1-1,0 0,1-1,0 0,0 0,1 0,-1-1,1-1,-1 1,1-1,0-1,0 1,3-1,0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5T00:49:17.1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34,'28'-2,"0"0,0-2,7-3,48-6,26 7,41 6,-96 1,-34 0,-1 1,16 3,-14-1,-1-1,9-1,336-2,83 3,-426-3,0 2,0 0,0 2,0 1,0 0,-1 1,0 2,0 0,-1 1,2 2,-19-9,0 0,0-1,0 0,0 1,0-1,0 0,0-1,1 1,-1 0,0-1,1 0,-1 0,0 0,4-1,-1 0,0-1,0 1,0-1,0-1,2 0,18-7,2 1,-1 1,1 2,0 0,0 2,0 1,0 2,23 1,73 1,-110-1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5T00:49:17.1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33,'665'0,"-513"-8,-11-1,359 10,-471-3,1 0,2-3,-11 2,0 1,1 0,-1 2,18 1,52 8,76-3,-102-6,-51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50.85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18,'17'1,"0"0,0 2,10 2,15 2,623 82,-571-80,0-5,60-5,-48-1,529 1,-548-3,0-4,62-15,-76 11,-66 11,263-37,-175 29,88 3,323 8,-388-2,-106 0,-1-2,1 0,0 0,0-1,-1 0,2-2,0 1,0 0,0 1,0 1,5-1,-4 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44.01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93,'192'-7,"61"-16,-74 6,-106 14,0 4,42 6,30 1,-12-9,126-16,-55-11,-177 25,0 2,-1 1,11 1,-15 1,0-1,-1-2,1 0,0-1,7-3,-15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9.07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7,'159'-1,"166"3,-253 6,-45-4,0-2,1 0,466-2,-235 0,-215-2,39-8,-32 4,-38 4,-2-2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3.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51,'474'0,"-461"1,1 1,-1 0,0 1,0 0,12 5,-6-2,0-1,10 2,214 17,-113-13,165 14,-194-20,63-6,-55 0,73 2,188-3,-52-14,-5-1,-147 2,50-2,66-1,-223 10,55-16,-66 13,1 1,-1 3,8 1,-39 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36:57.9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70,'335'9,"1"-1,-315-8,-3-1,-1 2,1-1,-1 2,1 1,8 2,-9-2,0 0,0-1,1-1,-1-1,13-1,9 0,642-25,-604 22,235-3,4 1,367-18,-591 25,1-4,0-3,22-9,-57 8,0 3,0 2,33 4,-1-1,-76-1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45:22.94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51,'2'2,"1"-1,0 1,-1-1,1 0,0 1,0-1,0-1,0 1,0 0,0-1,0 1,0-1,0 0,3 0,3 0,41 3,0-2,0-3,0-2,-1-2,1-2,8-4,-21 5,1 1,0 2,10 1,117 4,-66 0,161 0,299-2,-411-8,-74 3,0 3,32 5,-64 3,-1 2,40 12,-24-5,7 4,-1 1,22 8,-69-23</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22.8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0 136,'611'-32,"-316"10,-128 10,96-4,-23 14,-70 2,56-11,-105 4,78 8,48-2,-213-1,-1-1,1-1,-1-2,1-2,-12 4,1 1,0 1,-1 1,1 0,12 3,10-1,49-2,104 4,-114 4,-17-1,19-2,114-5,-186 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17.5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0 101,'4'0,"730"-13,-328 8,-22 0,-172-7,99-4,19-8,42-1,177 25,-254 1,-281-1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80BF79-7984-45F1-BC44-2BC64D66C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3394</TotalTime>
  <Pages>29</Pages>
  <Words>9694</Words>
  <Characters>55261</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doc.: IEEE 802.11-19/0551r19</vt:lpstr>
    </vt:vector>
  </TitlesOfParts>
  <Company>Some Company</Company>
  <LinksUpToDate>false</LinksUpToDate>
  <CharactersWithSpaces>64826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802.11-19/0551r19</dc:title>
  <dc:subject>Submission</dc:subject>
  <dc:creator>Mark RISON</dc:creator>
  <cp:keywords>September 2019</cp:keywords>
  <cp:lastModifiedBy>Hamilton, Mark</cp:lastModifiedBy>
  <cp:revision>42</cp:revision>
  <cp:lastPrinted>1901-01-01T04:00:00Z</cp:lastPrinted>
  <dcterms:created xsi:type="dcterms:W3CDTF">2020-05-24T03:37:00Z</dcterms:created>
  <dcterms:modified xsi:type="dcterms:W3CDTF">2020-05-26T15:10:00Z</dcterms:modified>
</cp:coreProperties>
</file>