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7418E179" w:rsidR="00CA09B2" w:rsidRDefault="00C45154" w:rsidP="00083FE0">
            <w:pPr>
              <w:pStyle w:val="T2"/>
            </w:pPr>
            <w:r>
              <w:t>Initial SA ballot</w:t>
            </w:r>
            <w:r w:rsidR="0070053C">
              <w:t xml:space="preserve">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2EA969FE" w:rsidR="00CA09B2" w:rsidRDefault="00CA09B2" w:rsidP="00F03583">
            <w:pPr>
              <w:pStyle w:val="T2"/>
              <w:ind w:left="0"/>
              <w:rPr>
                <w:sz w:val="20"/>
              </w:rPr>
            </w:pPr>
            <w:r>
              <w:rPr>
                <w:sz w:val="20"/>
              </w:rPr>
              <w:t>Date:</w:t>
            </w:r>
            <w:r>
              <w:rPr>
                <w:b w:val="0"/>
                <w:sz w:val="20"/>
              </w:rPr>
              <w:t xml:space="preserve">  </w:t>
            </w:r>
            <w:r w:rsidR="007E3C9C">
              <w:rPr>
                <w:b w:val="0"/>
                <w:sz w:val="20"/>
              </w:rPr>
              <w:t>20</w:t>
            </w:r>
            <w:r w:rsidR="00C45154">
              <w:rPr>
                <w:b w:val="0"/>
                <w:sz w:val="20"/>
              </w:rPr>
              <w:t>20</w:t>
            </w:r>
            <w:r w:rsidR="007E3C9C">
              <w:rPr>
                <w:b w:val="0"/>
                <w:sz w:val="20"/>
              </w:rPr>
              <w:t>-</w:t>
            </w:r>
            <w:r w:rsidR="00D96EB7">
              <w:rPr>
                <w:b w:val="0"/>
                <w:sz w:val="20"/>
              </w:rPr>
              <w:t>0</w:t>
            </w:r>
            <w:r w:rsidR="00C45154">
              <w:rPr>
                <w:b w:val="0"/>
                <w:sz w:val="20"/>
              </w:rPr>
              <w:t>2</w:t>
            </w:r>
            <w:r w:rsidR="009F6F13">
              <w:rPr>
                <w:b w:val="0"/>
                <w:sz w:val="20"/>
              </w:rPr>
              <w:t>-</w:t>
            </w:r>
            <w:r w:rsidR="00C45154">
              <w:rPr>
                <w:b w:val="0"/>
                <w:sz w:val="20"/>
              </w:rPr>
              <w:t>1</w:t>
            </w:r>
            <w:r w:rsidR="00D749F3">
              <w:rPr>
                <w:b w:val="0"/>
                <w:sz w:val="20"/>
              </w:rPr>
              <w:t>8</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5C22F6" w:rsidRDefault="005C22F6">
                            <w:pPr>
                              <w:pStyle w:val="T1"/>
                              <w:spacing w:after="120"/>
                            </w:pPr>
                            <w:r>
                              <w:t>Abstract</w:t>
                            </w:r>
                          </w:p>
                          <w:p w14:paraId="1C3BCE3F" w14:textId="77777777" w:rsidR="005C22F6" w:rsidRDefault="005C22F6" w:rsidP="00083FE0">
                            <w:pPr>
                              <w:jc w:val="both"/>
                            </w:pPr>
                          </w:p>
                          <w:p w14:paraId="4C4DB0CB" w14:textId="645C4A0F" w:rsidR="005C22F6" w:rsidRPr="007710CD" w:rsidRDefault="005C22F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5C22F6" w:rsidRPr="007710CD" w:rsidRDefault="005C22F6" w:rsidP="00083FE0">
                            <w:pPr>
                              <w:jc w:val="both"/>
                              <w:rPr>
                                <w:sz w:val="20"/>
                              </w:rPr>
                            </w:pPr>
                          </w:p>
                          <w:p w14:paraId="3C7C8D20" w14:textId="76D5A191" w:rsidR="005C22F6" w:rsidRPr="007710CD" w:rsidRDefault="005C22F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5C22F6" w:rsidRPr="007710CD" w:rsidRDefault="005C22F6" w:rsidP="006832AA">
                            <w:pPr>
                              <w:jc w:val="both"/>
                              <w:rPr>
                                <w:sz w:val="20"/>
                              </w:rPr>
                            </w:pPr>
                          </w:p>
                          <w:p w14:paraId="366971AF" w14:textId="77777777" w:rsidR="005C22F6" w:rsidRPr="007710CD" w:rsidRDefault="005C22F6" w:rsidP="006832AA">
                            <w:pPr>
                              <w:jc w:val="both"/>
                              <w:rPr>
                                <w:sz w:val="20"/>
                              </w:rPr>
                            </w:pPr>
                          </w:p>
                          <w:p w14:paraId="38020449" w14:textId="66756B0E" w:rsidR="005C22F6" w:rsidRDefault="005C22F6"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w:t>
                            </w:r>
                            <w:r w:rsidR="00D31DB8">
                              <w:rPr>
                                <w:sz w:val="20"/>
                              </w:rPr>
                              <w:t xml:space="preserve">4642, 4555, 4652, 4534, 4528, 4524, </w:t>
                            </w:r>
                            <w:r>
                              <w:rPr>
                                <w:sz w:val="20"/>
                              </w:rPr>
                              <w:t>4585</w:t>
                            </w:r>
                            <w:r w:rsidR="00D31DB8">
                              <w:rPr>
                                <w:sz w:val="20"/>
                              </w:rPr>
                              <w:t>, 4567, 4511, 4507, 4492, 4491, 4561, 4774.</w:t>
                            </w:r>
                          </w:p>
                          <w:p w14:paraId="4198D8F8" w14:textId="534E41B3" w:rsidR="00D749F3" w:rsidRPr="00531427" w:rsidRDefault="00D749F3"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5C22F6" w:rsidRDefault="005C22F6">
                      <w:pPr>
                        <w:pStyle w:val="T1"/>
                        <w:spacing w:after="120"/>
                      </w:pPr>
                      <w:r>
                        <w:t>Abstract</w:t>
                      </w:r>
                    </w:p>
                    <w:p w14:paraId="1C3BCE3F" w14:textId="77777777" w:rsidR="005C22F6" w:rsidRDefault="005C22F6" w:rsidP="00083FE0">
                      <w:pPr>
                        <w:jc w:val="both"/>
                      </w:pPr>
                    </w:p>
                    <w:p w14:paraId="4C4DB0CB" w14:textId="645C4A0F" w:rsidR="005C22F6" w:rsidRPr="007710CD" w:rsidRDefault="005C22F6"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w:t>
                      </w:r>
                      <w:r>
                        <w:rPr>
                          <w:sz w:val="20"/>
                        </w:rPr>
                        <w:t>initial SA ballot</w:t>
                      </w:r>
                      <w:r w:rsidRPr="007710CD">
                        <w:rPr>
                          <w:sz w:val="20"/>
                        </w:rPr>
                        <w:t>, assigned to Mark Hamilton for preparation of proposed resolutions.</w:t>
                      </w:r>
                    </w:p>
                    <w:p w14:paraId="2F94801A" w14:textId="2D193E6C" w:rsidR="005C22F6" w:rsidRPr="007710CD" w:rsidRDefault="005C22F6" w:rsidP="00083FE0">
                      <w:pPr>
                        <w:jc w:val="both"/>
                        <w:rPr>
                          <w:sz w:val="20"/>
                        </w:rPr>
                      </w:pPr>
                    </w:p>
                    <w:p w14:paraId="3C7C8D20" w14:textId="76D5A191" w:rsidR="005C22F6" w:rsidRPr="007710CD" w:rsidRDefault="005C22F6"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5C22F6" w:rsidRPr="007710CD" w:rsidRDefault="005C22F6" w:rsidP="006832AA">
                      <w:pPr>
                        <w:jc w:val="both"/>
                        <w:rPr>
                          <w:sz w:val="20"/>
                        </w:rPr>
                      </w:pPr>
                    </w:p>
                    <w:p w14:paraId="366971AF" w14:textId="77777777" w:rsidR="005C22F6" w:rsidRPr="007710CD" w:rsidRDefault="005C22F6" w:rsidP="006832AA">
                      <w:pPr>
                        <w:jc w:val="both"/>
                        <w:rPr>
                          <w:sz w:val="20"/>
                        </w:rPr>
                      </w:pPr>
                    </w:p>
                    <w:p w14:paraId="38020449" w14:textId="66756B0E" w:rsidR="005C22F6" w:rsidRDefault="005C22F6" w:rsidP="00C45154">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or discussion</w:t>
                      </w:r>
                      <w:r w:rsidRPr="007710CD">
                        <w:rPr>
                          <w:sz w:val="20"/>
                        </w:rPr>
                        <w:t>:</w:t>
                      </w:r>
                      <w:r>
                        <w:rPr>
                          <w:sz w:val="20"/>
                        </w:rPr>
                        <w:t xml:space="preserve"> 4553, 4809, 4599, 4594, 4570, </w:t>
                      </w:r>
                      <w:r w:rsidR="00D31DB8">
                        <w:rPr>
                          <w:sz w:val="20"/>
                        </w:rPr>
                        <w:t xml:space="preserve">4642, 4555, 4652, 4534, 4528, 4524, </w:t>
                      </w:r>
                      <w:r>
                        <w:rPr>
                          <w:sz w:val="20"/>
                        </w:rPr>
                        <w:t>4585</w:t>
                      </w:r>
                      <w:r w:rsidR="00D31DB8">
                        <w:rPr>
                          <w:sz w:val="20"/>
                        </w:rPr>
                        <w:t>, 4567, 4511, 4507, 4492, 4491, 4561, 4774.</w:t>
                      </w:r>
                    </w:p>
                    <w:p w14:paraId="4198D8F8" w14:textId="534E41B3" w:rsidR="00D749F3" w:rsidRPr="00531427" w:rsidRDefault="00D749F3" w:rsidP="00C45154">
                      <w:pPr>
                        <w:jc w:val="both"/>
                        <w:rPr>
                          <w:sz w:val="20"/>
                        </w:rPr>
                      </w:pPr>
                      <w:r>
                        <w:rPr>
                          <w:sz w:val="20"/>
                        </w:rPr>
                        <w:t xml:space="preserve">R1 – Miscellaneous changes, marked in </w:t>
                      </w:r>
                      <w:r w:rsidRPr="00D749F3">
                        <w:rPr>
                          <w:sz w:val="20"/>
                          <w:highlight w:val="cyan"/>
                        </w:rPr>
                        <w:t>blue highlight,</w:t>
                      </w:r>
                      <w:r>
                        <w:rPr>
                          <w:sz w:val="20"/>
                        </w:rPr>
                        <w:t xml:space="preserve"> based on off-line review/discussion.</w:t>
                      </w:r>
                    </w:p>
                  </w:txbxContent>
                </v:textbox>
              </v:shape>
            </w:pict>
          </mc:Fallback>
        </mc:AlternateContent>
      </w:r>
    </w:p>
    <w:p w14:paraId="541E20A5" w14:textId="22F0E0ED" w:rsidR="00CA09B2" w:rsidRDefault="00CA09B2">
      <w:r>
        <w:br w:type="page"/>
      </w:r>
    </w:p>
    <w:p w14:paraId="269BD167" w14:textId="42844EC8" w:rsidR="00166AFB" w:rsidRDefault="000A7069">
      <w:pPr>
        <w:rPr>
          <w:b/>
          <w:sz w:val="40"/>
        </w:rPr>
      </w:pPr>
      <w:r w:rsidRPr="000A7069">
        <w:rPr>
          <w:b/>
          <w:sz w:val="40"/>
        </w:rPr>
        <w:lastRenderedPageBreak/>
        <w:t>For review by TG:</w:t>
      </w:r>
    </w:p>
    <w:p w14:paraId="68CF28F1" w14:textId="6E62A108" w:rsidR="00FF1BEE" w:rsidRDefault="00FF1BEE">
      <w:pPr>
        <w:rPr>
          <w:b/>
          <w:sz w:val="40"/>
        </w:rPr>
      </w:pPr>
    </w:p>
    <w:p w14:paraId="58C896EE" w14:textId="2FBBDB62" w:rsidR="00FF1BEE" w:rsidRPr="00FF1BEE" w:rsidRDefault="00FF1BEE">
      <w:pPr>
        <w:rPr>
          <w:b/>
          <w:sz w:val="28"/>
          <w:u w:val="single"/>
        </w:rPr>
      </w:pPr>
      <w:r w:rsidRPr="00FF1BEE">
        <w:rPr>
          <w:b/>
          <w:sz w:val="28"/>
          <w:u w:val="single"/>
        </w:rPr>
        <w:t xml:space="preserve">All page/line references are per </w:t>
      </w:r>
      <w:proofErr w:type="spellStart"/>
      <w:r w:rsidRPr="00FF1BEE">
        <w:rPr>
          <w:b/>
          <w:sz w:val="28"/>
          <w:u w:val="single"/>
        </w:rPr>
        <w:t>REVmd</w:t>
      </w:r>
      <w:proofErr w:type="spellEnd"/>
      <w:r w:rsidRPr="00FF1BEE">
        <w:rPr>
          <w:b/>
          <w:sz w:val="28"/>
          <w:u w:val="single"/>
        </w:rPr>
        <w:t xml:space="preserve"> D</w:t>
      </w:r>
      <w:r w:rsidR="00C45154">
        <w:rPr>
          <w:b/>
          <w:sz w:val="28"/>
          <w:u w:val="single"/>
        </w:rPr>
        <w:t>3</w:t>
      </w:r>
      <w:r w:rsidRPr="00FF1BEE">
        <w:rPr>
          <w:b/>
          <w:sz w:val="28"/>
          <w:u w:val="single"/>
        </w:rPr>
        <w:t>.0.</w:t>
      </w:r>
    </w:p>
    <w:p w14:paraId="694243D3" w14:textId="498A733B" w:rsidR="00FF1BEE" w:rsidRDefault="00FF1BEE">
      <w:pPr>
        <w:rPr>
          <w:b/>
          <w:sz w:val="28"/>
        </w:rPr>
      </w:pP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04EE1" w14:paraId="5CE40933"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6D275819"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196BA528"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1AB9C90"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FA22085"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9C670D9"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04EE1" w:rsidRPr="00DE7477" w14:paraId="0EBBD5A9" w14:textId="77777777" w:rsidTr="005C22F6">
        <w:trPr>
          <w:trHeight w:val="1530"/>
        </w:trPr>
        <w:tc>
          <w:tcPr>
            <w:tcW w:w="738" w:type="dxa"/>
            <w:hideMark/>
          </w:tcPr>
          <w:p w14:paraId="3341D799"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val="en-US"/>
              </w:rPr>
              <w:t>4553</w:t>
            </w:r>
          </w:p>
        </w:tc>
        <w:tc>
          <w:tcPr>
            <w:tcW w:w="990" w:type="dxa"/>
            <w:hideMark/>
          </w:tcPr>
          <w:p w14:paraId="7FF8DBE6"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rPr>
              <w:t>1748.00</w:t>
            </w:r>
          </w:p>
        </w:tc>
        <w:tc>
          <w:tcPr>
            <w:tcW w:w="1080" w:type="dxa"/>
            <w:hideMark/>
          </w:tcPr>
          <w:p w14:paraId="09190629"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10.3.2.12</w:t>
            </w:r>
          </w:p>
        </w:tc>
        <w:tc>
          <w:tcPr>
            <w:tcW w:w="3600" w:type="dxa"/>
            <w:hideMark/>
          </w:tcPr>
          <w:p w14:paraId="200E1343"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fragment</w:t>
            </w:r>
            <w:proofErr w:type="gramEnd"/>
            <w:r w:rsidRPr="00DE7477">
              <w:rPr>
                <w:rFonts w:ascii="Arial" w:eastAsia="Times New Roman" w:hAnsi="Arial" w:cs="Arial"/>
                <w:sz w:val="20"/>
                <w:lang w:val="en-US"/>
              </w:rPr>
              <w:t xml:space="preserve">  BA  procedure  described  in  this  subclause" -- there is no other fragment BA procedure than the one in this subclause</w:t>
            </w:r>
          </w:p>
        </w:tc>
        <w:tc>
          <w:tcPr>
            <w:tcW w:w="3600" w:type="dxa"/>
            <w:hideMark/>
          </w:tcPr>
          <w:p w14:paraId="5705A5F0"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 xml:space="preserve">Delete </w:t>
            </w:r>
            <w:proofErr w:type="gramStart"/>
            <w:r w:rsidRPr="00DE7477">
              <w:rPr>
                <w:rFonts w:ascii="Arial" w:eastAsia="Times New Roman" w:hAnsi="Arial" w:cs="Arial"/>
                <w:sz w:val="20"/>
                <w:lang w:val="en-US"/>
              </w:rPr>
              <w:t>"  described</w:t>
            </w:r>
            <w:proofErr w:type="gramEnd"/>
            <w:r w:rsidRPr="00DE7477">
              <w:rPr>
                <w:rFonts w:ascii="Arial" w:eastAsia="Times New Roman" w:hAnsi="Arial" w:cs="Arial"/>
                <w:sz w:val="20"/>
                <w:lang w:val="en-US"/>
              </w:rPr>
              <w:t xml:space="preserve">  in  this  subclause" (3x)</w:t>
            </w:r>
          </w:p>
        </w:tc>
      </w:tr>
    </w:tbl>
    <w:p w14:paraId="250A0689" w14:textId="7BAA7E98" w:rsidR="00704EE1" w:rsidRDefault="00704EE1"/>
    <w:p w14:paraId="56C78A93" w14:textId="141E51CF" w:rsidR="003A5BE3" w:rsidRDefault="003A5BE3">
      <w:r>
        <w:rPr>
          <w:u w:val="single"/>
        </w:rPr>
        <w:t>Discussion:</w:t>
      </w:r>
    </w:p>
    <w:p w14:paraId="6A353CE7" w14:textId="77777777" w:rsidR="003A5BE3" w:rsidRPr="003A5BE3" w:rsidRDefault="003A5BE3"/>
    <w:p w14:paraId="314BCF0D" w14:textId="2A906B68" w:rsidR="00704EE1" w:rsidRPr="001B6ECF" w:rsidRDefault="00496B7A">
      <w:pPr>
        <w:rPr>
          <w:bCs/>
          <w:noProof/>
          <w:szCs w:val="22"/>
          <w:bdr w:val="single" w:sz="8" w:space="0" w:color="auto" w:shadow="1"/>
        </w:rPr>
      </w:pPr>
      <w:r w:rsidRPr="001B6ECF">
        <w:rPr>
          <w:bCs/>
          <w:noProof/>
          <w:szCs w:val="22"/>
          <w:bdr w:val="single" w:sz="8" w:space="0" w:color="auto" w:shadow="1"/>
        </w:rPr>
        <mc:AlternateContent>
          <mc:Choice Requires="wpi">
            <w:drawing>
              <wp:anchor distT="0" distB="0" distL="114300" distR="114300" simplePos="0" relativeHeight="251599360" behindDoc="0" locked="0" layoutInCell="1" allowOverlap="1" wp14:anchorId="017546FB" wp14:editId="6CBEE3FA">
                <wp:simplePos x="0" y="0"/>
                <wp:positionH relativeFrom="column">
                  <wp:posOffset>4184647</wp:posOffset>
                </wp:positionH>
                <wp:positionV relativeFrom="paragraph">
                  <wp:posOffset>2199334</wp:posOffset>
                </wp:positionV>
                <wp:extent cx="1300320" cy="49680"/>
                <wp:effectExtent l="95250" t="133350" r="109855" b="160020"/>
                <wp:wrapNone/>
                <wp:docPr id="283" name="Ink 283"/>
                <wp:cNvGraphicFramePr/>
                <a:graphic xmlns:a="http://schemas.openxmlformats.org/drawingml/2006/main">
                  <a:graphicData uri="http://schemas.microsoft.com/office/word/2010/wordprocessingInk">
                    <w14:contentPart bwMode="auto" r:id="rId8">
                      <w14:nvContentPartPr>
                        <w14:cNvContentPartPr/>
                      </w14:nvContentPartPr>
                      <w14:xfrm>
                        <a:off x="0" y="0"/>
                        <a:ext cx="1300320" cy="49680"/>
                      </w14:xfrm>
                    </w14:contentPart>
                  </a:graphicData>
                </a:graphic>
              </wp:anchor>
            </w:drawing>
          </mc:Choice>
          <mc:Fallback>
            <w:pict>
              <v:shapetype w14:anchorId="7139DB9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3" o:spid="_x0000_s1026" type="#_x0000_t75" style="position:absolute;margin-left:325.25pt;margin-top:164.7pt;width:110.9pt;height:20.9pt;z-index:25159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">
                <v:imagedata r:id="rId9"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597312" behindDoc="0" locked="0" layoutInCell="1" allowOverlap="1" wp14:anchorId="258CB715" wp14:editId="1C5DD7C3">
                <wp:simplePos x="0" y="0"/>
                <wp:positionH relativeFrom="column">
                  <wp:posOffset>443887</wp:posOffset>
                </wp:positionH>
                <wp:positionV relativeFrom="paragraph">
                  <wp:posOffset>2196094</wp:posOffset>
                </wp:positionV>
                <wp:extent cx="682560" cy="33840"/>
                <wp:effectExtent l="95250" t="152400" r="99060" b="156845"/>
                <wp:wrapNone/>
                <wp:docPr id="282" name="Ink 282"/>
                <wp:cNvGraphicFramePr/>
                <a:graphic xmlns:a="http://schemas.openxmlformats.org/drawingml/2006/main">
                  <a:graphicData uri="http://schemas.microsoft.com/office/word/2010/wordprocessingInk">
                    <w14:contentPart bwMode="auto" r:id="rId10">
                      <w14:nvContentPartPr>
                        <w14:cNvContentPartPr/>
                      </w14:nvContentPartPr>
                      <w14:xfrm>
                        <a:off x="0" y="0"/>
                        <a:ext cx="682560" cy="33840"/>
                      </w14:xfrm>
                    </w14:contentPart>
                  </a:graphicData>
                </a:graphic>
              </wp:anchor>
            </w:drawing>
          </mc:Choice>
          <mc:Fallback>
            <w:pict>
              <v:shape w14:anchorId="7FCBE095" id="Ink 282" o:spid="_x0000_s1026" type="#_x0000_t75" style="position:absolute;margin-left:30.7pt;margin-top:164.4pt;width:62.25pt;height:19.65pt;z-index:25159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">
                <v:imagedata r:id="rId11"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596288" behindDoc="0" locked="0" layoutInCell="1" allowOverlap="1" wp14:anchorId="31802E83" wp14:editId="0075ED42">
                <wp:simplePos x="0" y="0"/>
                <wp:positionH relativeFrom="column">
                  <wp:posOffset>5336647</wp:posOffset>
                </wp:positionH>
                <wp:positionV relativeFrom="paragraph">
                  <wp:posOffset>2060734</wp:posOffset>
                </wp:positionV>
                <wp:extent cx="573480" cy="9000"/>
                <wp:effectExtent l="95250" t="152400" r="112395" b="162560"/>
                <wp:wrapNone/>
                <wp:docPr id="281" name="Ink 281"/>
                <wp:cNvGraphicFramePr/>
                <a:graphic xmlns:a="http://schemas.openxmlformats.org/drawingml/2006/main">
                  <a:graphicData uri="http://schemas.microsoft.com/office/word/2010/wordprocessingInk">
                    <w14:contentPart bwMode="auto" r:id="rId12">
                      <w14:nvContentPartPr>
                        <w14:cNvContentPartPr/>
                      </w14:nvContentPartPr>
                      <w14:xfrm>
                        <a:off x="0" y="0"/>
                        <a:ext cx="573480" cy="9000"/>
                      </w14:xfrm>
                    </w14:contentPart>
                  </a:graphicData>
                </a:graphic>
              </wp:anchor>
            </w:drawing>
          </mc:Choice>
          <mc:Fallback>
            <w:pict>
              <v:shape w14:anchorId="3D641039" id="Ink 281" o:spid="_x0000_s1026" type="#_x0000_t75" style="position:absolute;margin-left:415.95pt;margin-top:153.75pt;width:53.65pt;height:17.7pt;z-index:25159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">
                <v:imagedata r:id="rId13" o:title=""/>
              </v:shape>
            </w:pict>
          </mc:Fallback>
        </mc:AlternateContent>
      </w:r>
      <w:r w:rsidRPr="001B6ECF">
        <w:rPr>
          <w:bCs/>
          <w:noProof/>
          <w:szCs w:val="22"/>
          <w:bdr w:val="single" w:sz="8" w:space="0" w:color="auto" w:shadow="1"/>
        </w:rPr>
        <mc:AlternateContent>
          <mc:Choice Requires="wpi">
            <w:drawing>
              <wp:anchor distT="0" distB="0" distL="114300" distR="114300" simplePos="0" relativeHeight="251595264" behindDoc="0" locked="0" layoutInCell="1" allowOverlap="1" wp14:anchorId="78FB1C20" wp14:editId="62D67119">
                <wp:simplePos x="0" y="0"/>
                <wp:positionH relativeFrom="column">
                  <wp:posOffset>2783527</wp:posOffset>
                </wp:positionH>
                <wp:positionV relativeFrom="paragraph">
                  <wp:posOffset>1724134</wp:posOffset>
                </wp:positionV>
                <wp:extent cx="1408680" cy="55440"/>
                <wp:effectExtent l="57150" t="133350" r="115570" b="173355"/>
                <wp:wrapNone/>
                <wp:docPr id="280" name="Ink 280"/>
                <wp:cNvGraphicFramePr/>
                <a:graphic xmlns:a="http://schemas.openxmlformats.org/drawingml/2006/main">
                  <a:graphicData uri="http://schemas.microsoft.com/office/word/2010/wordprocessingInk">
                    <w14:contentPart bwMode="auto" r:id="rId14">
                      <w14:nvContentPartPr>
                        <w14:cNvContentPartPr/>
                      </w14:nvContentPartPr>
                      <w14:xfrm>
                        <a:off x="0" y="0"/>
                        <a:ext cx="1408680" cy="55440"/>
                      </w14:xfrm>
                    </w14:contentPart>
                  </a:graphicData>
                </a:graphic>
              </wp:anchor>
            </w:drawing>
          </mc:Choice>
          <mc:Fallback>
            <w:pict>
              <v:shape w14:anchorId="45C96BA3" id="Ink 280" o:spid="_x0000_s1026" type="#_x0000_t75" style="position:absolute;margin-left:214.95pt;margin-top:127.25pt;width:119.4pt;height:21.35pt;z-index:25159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">
                <v:imagedata r:id="rId15" o:title=""/>
              </v:shape>
            </w:pict>
          </mc:Fallback>
        </mc:AlternateContent>
      </w:r>
      <w:r w:rsidR="003A5BE3" w:rsidRPr="001B6ECF">
        <w:rPr>
          <w:bCs/>
          <w:noProof/>
          <w:szCs w:val="22"/>
          <w:bdr w:val="single" w:sz="8" w:space="0" w:color="auto" w:shadow="1"/>
        </w:rPr>
        <w:drawing>
          <wp:inline distT="0" distB="0" distL="0" distR="0" wp14:anchorId="6F3471BE" wp14:editId="3952E290">
            <wp:extent cx="6009005" cy="2333625"/>
            <wp:effectExtent l="0" t="0" r="0"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9005" cy="2333625"/>
                    </a:xfrm>
                    <a:prstGeom prst="rect">
                      <a:avLst/>
                    </a:prstGeom>
                    <a:noFill/>
                    <a:ln>
                      <a:noFill/>
                    </a:ln>
                  </pic:spPr>
                </pic:pic>
              </a:graphicData>
            </a:graphic>
          </wp:inline>
        </w:drawing>
      </w:r>
    </w:p>
    <w:p w14:paraId="2B698DE5" w14:textId="0B7543AA" w:rsidR="003A5BE3" w:rsidRDefault="003A5BE3"/>
    <w:p w14:paraId="412B193D" w14:textId="77777777" w:rsidR="00496B7A" w:rsidRDefault="003A5BE3">
      <w:r>
        <w:t xml:space="preserve">Arguably, it is helpful to be very clear that an S1G STA uses the procedure described in this subclause, and not the procedure described in 10.4, given the mention of partitioning MSDUs/MMPDUs per 10.4 in the prior paragraph.  </w:t>
      </w:r>
    </w:p>
    <w:p w14:paraId="5B3FFF31" w14:textId="77777777" w:rsidR="00496B7A" w:rsidRDefault="00496B7A"/>
    <w:p w14:paraId="5CE026DA" w14:textId="3FD186B6" w:rsidR="003A5BE3" w:rsidRDefault="003A5BE3">
      <w:r>
        <w:t xml:space="preserve">“described in this subclause” could </w:t>
      </w:r>
      <w:r w:rsidR="00496B7A">
        <w:t>perhaps be parenthetical “(described in this subclause)” since saying “shall use the fragment BA procedure” is a complete specification.  However, this is not the usual style in the Draft.  The repetition of this information three times is excessive, however.</w:t>
      </w:r>
    </w:p>
    <w:p w14:paraId="003636E0" w14:textId="3AE3DDE8" w:rsidR="00496B7A" w:rsidRDefault="00496B7A"/>
    <w:p w14:paraId="25C000BD" w14:textId="01AB7A0B" w:rsidR="00496B7A" w:rsidRDefault="00496B7A">
      <w:r w:rsidRPr="00F24D15">
        <w:rPr>
          <w:highlight w:val="yellow"/>
          <w:u w:val="single"/>
        </w:rPr>
        <w:t>Proposed Resolution:</w:t>
      </w:r>
    </w:p>
    <w:p w14:paraId="2A75AAB9" w14:textId="79B818CE" w:rsidR="00496B7A" w:rsidRDefault="00496B7A"/>
    <w:p w14:paraId="269C91CC" w14:textId="66C97968" w:rsidR="00496B7A" w:rsidRDefault="00496B7A">
      <w:r>
        <w:t>Revised.</w:t>
      </w:r>
    </w:p>
    <w:p w14:paraId="5A436D16" w14:textId="77777777" w:rsidR="00496B7A" w:rsidRDefault="00496B7A"/>
    <w:p w14:paraId="095777FA" w14:textId="7A65C562" w:rsidR="00496B7A" w:rsidRDefault="00496B7A">
      <w:r>
        <w:t xml:space="preserve">At P1748.17, delete “described in this subclause”.  Same thing at P1748.18.  </w:t>
      </w:r>
    </w:p>
    <w:p w14:paraId="2D52339E" w14:textId="45930758" w:rsidR="00496B7A" w:rsidRDefault="00496B7A"/>
    <w:p w14:paraId="348D97BB" w14:textId="0A9B0FC1" w:rsidR="00496B7A" w:rsidRPr="00496B7A" w:rsidRDefault="00496B7A">
      <w:r>
        <w:t>Note to Editor: Retain the “described in this subclause” at P1748.14.</w:t>
      </w:r>
    </w:p>
    <w:p w14:paraId="033DF9F3" w14:textId="77777777" w:rsidR="003A5BE3" w:rsidRPr="003A5BE3" w:rsidRDefault="003A5BE3">
      <w:pPr>
        <w:rPr>
          <w:u w:val="single"/>
        </w:rPr>
      </w:pPr>
    </w:p>
    <w:p w14:paraId="3B463579" w14:textId="0F7E3A8D" w:rsidR="00704EE1" w:rsidRDefault="00704EE1">
      <w:r>
        <w:br w:type="page"/>
      </w:r>
    </w:p>
    <w:p w14:paraId="7898F3A8" w14:textId="77777777" w:rsidR="00704EE1" w:rsidRDefault="00704EE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04EE1" w14:paraId="1FF4DA5C"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7D0BEBC"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5E320983"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40A3D0EA"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792712E"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80CD92F"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04EE1" w:rsidRPr="00DE7477" w14:paraId="02B13346" w14:textId="77777777" w:rsidTr="005C22F6">
        <w:trPr>
          <w:trHeight w:val="1530"/>
        </w:trPr>
        <w:tc>
          <w:tcPr>
            <w:tcW w:w="738" w:type="dxa"/>
            <w:hideMark/>
          </w:tcPr>
          <w:p w14:paraId="57007655"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val="en-US"/>
              </w:rPr>
              <w:t>4809</w:t>
            </w:r>
          </w:p>
        </w:tc>
        <w:tc>
          <w:tcPr>
            <w:tcW w:w="990" w:type="dxa"/>
            <w:hideMark/>
          </w:tcPr>
          <w:p w14:paraId="47C86EB9"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rPr>
              <w:t>1589.40</w:t>
            </w:r>
          </w:p>
        </w:tc>
        <w:tc>
          <w:tcPr>
            <w:tcW w:w="1080" w:type="dxa"/>
            <w:hideMark/>
          </w:tcPr>
          <w:p w14:paraId="6F4C92DC"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9.6.12.3</w:t>
            </w:r>
          </w:p>
        </w:tc>
        <w:tc>
          <w:tcPr>
            <w:tcW w:w="3600" w:type="dxa"/>
            <w:hideMark/>
          </w:tcPr>
          <w:p w14:paraId="67AAF216"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Change 6 occurrences of "in response to a received", to be simpler and match the majority language in the draft.</w:t>
            </w:r>
          </w:p>
        </w:tc>
        <w:tc>
          <w:tcPr>
            <w:tcW w:w="3600" w:type="dxa"/>
            <w:hideMark/>
          </w:tcPr>
          <w:p w14:paraId="2416330D"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Delete "received" (and change "a" to "an" as appropriate) at P1589L40, P1590L53, P1592L56, P2180L1, P2482L30, and P2482L39.</w:t>
            </w:r>
          </w:p>
        </w:tc>
      </w:tr>
    </w:tbl>
    <w:p w14:paraId="0CA97B9B" w14:textId="7518AE63" w:rsidR="00704EE1" w:rsidRDefault="00704EE1"/>
    <w:p w14:paraId="4EE70C64" w14:textId="505B3723" w:rsidR="00F24D15" w:rsidRDefault="00F24D15">
      <w:r>
        <w:rPr>
          <w:u w:val="single"/>
        </w:rPr>
        <w:t>Discussion:</w:t>
      </w:r>
    </w:p>
    <w:p w14:paraId="565F095D" w14:textId="16F711D9" w:rsidR="00F24D15" w:rsidRDefault="00F24D15"/>
    <w:p w14:paraId="1F747C3D" w14:textId="10F03A38" w:rsidR="00F24D15" w:rsidRPr="001B6ECF" w:rsidRDefault="00F24D15">
      <w:pPr>
        <w:rPr>
          <w:bCs/>
          <w:noProof/>
          <w:szCs w:val="22"/>
          <w:bdr w:val="single" w:sz="8" w:space="0" w:color="auto" w:shadow="1"/>
        </w:rPr>
      </w:pPr>
      <w:r w:rsidRPr="001B6ECF">
        <w:rPr>
          <w:bCs/>
          <w:noProof/>
          <w:szCs w:val="22"/>
          <w:bdr w:val="single" w:sz="8" w:space="0" w:color="auto" w:shadow="1"/>
        </w:rPr>
        <w:drawing>
          <wp:inline distT="0" distB="0" distL="0" distR="0" wp14:anchorId="755D2EC7" wp14:editId="310BF7B7">
            <wp:extent cx="6009005" cy="659130"/>
            <wp:effectExtent l="0" t="0" r="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9005" cy="659130"/>
                    </a:xfrm>
                    <a:prstGeom prst="rect">
                      <a:avLst/>
                    </a:prstGeom>
                    <a:noFill/>
                    <a:ln>
                      <a:noFill/>
                    </a:ln>
                  </pic:spPr>
                </pic:pic>
              </a:graphicData>
            </a:graphic>
          </wp:inline>
        </w:drawing>
      </w:r>
    </w:p>
    <w:p w14:paraId="6AF62ACB" w14:textId="15D1565F" w:rsidR="00F24D15" w:rsidRDefault="00F24D15"/>
    <w:p w14:paraId="1AEB467E" w14:textId="27CFAD69" w:rsidR="00F24D15" w:rsidRDefault="00F24D15">
      <w:r>
        <w:t>Agree with the comment, “in response to a TDLS Setup Request Action field” is simpler, and consistent with style elsewhere in the Draft.</w:t>
      </w:r>
    </w:p>
    <w:p w14:paraId="653C5069" w14:textId="55E5BFFC" w:rsidR="00F24D15" w:rsidRDefault="00F24D15"/>
    <w:p w14:paraId="6A02F957" w14:textId="28EF6592" w:rsidR="00F24D15" w:rsidRDefault="00F24D15">
      <w:r>
        <w:t>The other locations are similar.</w:t>
      </w:r>
    </w:p>
    <w:p w14:paraId="031849B7" w14:textId="55D0A362" w:rsidR="00F24D15" w:rsidRDefault="00F24D15"/>
    <w:p w14:paraId="4018BF65" w14:textId="4EDAAD39" w:rsidR="00F24D15" w:rsidRDefault="00F24D15">
      <w:r w:rsidRPr="00F24D15">
        <w:rPr>
          <w:highlight w:val="yellow"/>
          <w:u w:val="single"/>
        </w:rPr>
        <w:t>Proposed Resolution:</w:t>
      </w:r>
    </w:p>
    <w:p w14:paraId="36344EEE" w14:textId="0FC4D788" w:rsidR="00F24D15" w:rsidRDefault="00F24D15"/>
    <w:p w14:paraId="0D8D326F" w14:textId="50F4367D" w:rsidR="00F24D15" w:rsidRDefault="00F24D15">
      <w:r>
        <w:t>Accepted.</w:t>
      </w:r>
    </w:p>
    <w:p w14:paraId="43DB2A8F" w14:textId="77777777" w:rsidR="00F24D15" w:rsidRPr="00F24D15" w:rsidRDefault="00F24D15"/>
    <w:p w14:paraId="0C566594" w14:textId="6983A80B" w:rsidR="00704EE1" w:rsidRDefault="00704EE1">
      <w:r>
        <w:br w:type="page"/>
      </w:r>
    </w:p>
    <w:p w14:paraId="7AD2A08F" w14:textId="77777777" w:rsidR="00704EE1" w:rsidRDefault="00704EE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04EE1" w14:paraId="5E7252FA"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0F69BFAF"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66EB6241"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F2554F7"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6398384"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7771520" w14:textId="77777777" w:rsidR="00704EE1" w:rsidRDefault="00704EE1"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04EE1" w:rsidRPr="00DE7477" w14:paraId="6970BCDB" w14:textId="77777777" w:rsidTr="005C22F6">
        <w:trPr>
          <w:trHeight w:val="2550"/>
        </w:trPr>
        <w:tc>
          <w:tcPr>
            <w:tcW w:w="738" w:type="dxa"/>
            <w:hideMark/>
          </w:tcPr>
          <w:p w14:paraId="6308A4B9"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val="en-US"/>
              </w:rPr>
              <w:t>4599</w:t>
            </w:r>
          </w:p>
        </w:tc>
        <w:tc>
          <w:tcPr>
            <w:tcW w:w="990" w:type="dxa"/>
            <w:hideMark/>
          </w:tcPr>
          <w:p w14:paraId="5DA43210" w14:textId="77777777" w:rsidR="00704EE1" w:rsidRPr="00DE7477" w:rsidRDefault="00704EE1" w:rsidP="005C22F6">
            <w:pPr>
              <w:jc w:val="right"/>
              <w:rPr>
                <w:rFonts w:ascii="Arial" w:eastAsia="Times New Roman" w:hAnsi="Arial" w:cs="Arial"/>
                <w:sz w:val="20"/>
                <w:lang w:val="en-US"/>
              </w:rPr>
            </w:pPr>
            <w:r w:rsidRPr="00DE7477">
              <w:rPr>
                <w:rFonts w:ascii="Arial" w:eastAsia="Times New Roman" w:hAnsi="Arial" w:cs="Arial"/>
                <w:sz w:val="20"/>
                <w:lang w:eastAsia="ja-JP" w:bidi="he-IL"/>
              </w:rPr>
              <w:t>2487.52</w:t>
            </w:r>
          </w:p>
        </w:tc>
        <w:tc>
          <w:tcPr>
            <w:tcW w:w="1080" w:type="dxa"/>
            <w:hideMark/>
          </w:tcPr>
          <w:p w14:paraId="7F216D05"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eastAsia="ja-JP" w:bidi="he-IL"/>
              </w:rPr>
              <w:t>11.32.5</w:t>
            </w:r>
          </w:p>
        </w:tc>
        <w:tc>
          <w:tcPr>
            <w:tcW w:w="3600" w:type="dxa"/>
            <w:hideMark/>
          </w:tcPr>
          <w:p w14:paraId="40605785"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 -- it has no choice but to ignore it.  Also "with" should be "as"</w:t>
            </w:r>
          </w:p>
        </w:tc>
        <w:tc>
          <w:tcPr>
            <w:tcW w:w="3600" w:type="dxa"/>
            <w:hideMark/>
          </w:tcPr>
          <w:p w14:paraId="4B0A6926" w14:textId="77777777" w:rsidR="00704EE1" w:rsidRPr="00DE7477" w:rsidRDefault="00704EE1" w:rsidP="005C22F6">
            <w:pPr>
              <w:rPr>
                <w:rFonts w:ascii="Arial" w:eastAsia="Times New Roman" w:hAnsi="Arial" w:cs="Arial"/>
                <w:sz w:val="20"/>
                <w:lang w:val="en-US"/>
              </w:rPr>
            </w:pPr>
            <w:r w:rsidRPr="00DE7477">
              <w:rPr>
                <w:rFonts w:ascii="Arial" w:eastAsia="Times New Roman" w:hAnsi="Arial" w:cs="Arial"/>
                <w:sz w:val="20"/>
                <w:lang w:val="en-US"/>
              </w:rPr>
              <w:t>Change to "A receiving TR-MLME shall silently ignore the received On-channel Tunnel Request frame if</w:t>
            </w:r>
            <w:r w:rsidRPr="00DE7477">
              <w:rPr>
                <w:rFonts w:ascii="Arial" w:eastAsia="Times New Roman" w:hAnsi="Arial" w:cs="Arial"/>
                <w:sz w:val="20"/>
                <w:lang w:val="en-US"/>
              </w:rPr>
              <w:br/>
              <w:t>that frame is not targeting an NT-MLME in the same multi-band capable device as the TR-MLME."</w:t>
            </w:r>
          </w:p>
        </w:tc>
      </w:tr>
    </w:tbl>
    <w:p w14:paraId="5F7380F6" w14:textId="49FC7EEC" w:rsidR="00704EE1" w:rsidRPr="00F24D15" w:rsidRDefault="00704EE1">
      <w:pPr>
        <w:rPr>
          <w:bCs/>
          <w:szCs w:val="22"/>
        </w:rPr>
      </w:pPr>
    </w:p>
    <w:p w14:paraId="769E0ECE" w14:textId="241172F8" w:rsidR="00F24D15" w:rsidRPr="00F24D15" w:rsidRDefault="00F24D15">
      <w:pPr>
        <w:rPr>
          <w:bCs/>
          <w:szCs w:val="22"/>
        </w:rPr>
      </w:pPr>
      <w:r w:rsidRPr="00F24D15">
        <w:rPr>
          <w:bCs/>
          <w:szCs w:val="22"/>
          <w:u w:val="single"/>
        </w:rPr>
        <w:t>Discussion:</w:t>
      </w:r>
    </w:p>
    <w:p w14:paraId="4C7468FD" w14:textId="28EC8409" w:rsidR="00F24D15" w:rsidRPr="00F24D15" w:rsidRDefault="00F24D15">
      <w:pPr>
        <w:rPr>
          <w:bCs/>
          <w:szCs w:val="22"/>
        </w:rPr>
      </w:pPr>
    </w:p>
    <w:p w14:paraId="149203BF" w14:textId="2E5EA435" w:rsidR="00F24D15" w:rsidRPr="001B6ECF" w:rsidRDefault="00BD4468">
      <w:pPr>
        <w:rPr>
          <w:bCs/>
          <w:noProof/>
          <w:szCs w:val="22"/>
          <w:bdr w:val="single" w:sz="8" w:space="0" w:color="auto" w:shadow="1"/>
        </w:rPr>
      </w:pPr>
      <w:r w:rsidRPr="001B6ECF">
        <w:rPr>
          <w:bCs/>
          <w:noProof/>
          <w:szCs w:val="22"/>
          <w:bdr w:val="single" w:sz="8" w:space="0" w:color="auto" w:shadow="1"/>
        </w:rPr>
        <w:drawing>
          <wp:inline distT="0" distB="0" distL="0" distR="0" wp14:anchorId="028C71CF" wp14:editId="5ADB6412">
            <wp:extent cx="6026785" cy="42164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6785" cy="421640"/>
                    </a:xfrm>
                    <a:prstGeom prst="rect">
                      <a:avLst/>
                    </a:prstGeom>
                    <a:noFill/>
                    <a:ln>
                      <a:noFill/>
                    </a:ln>
                  </pic:spPr>
                </pic:pic>
              </a:graphicData>
            </a:graphic>
          </wp:inline>
        </w:drawing>
      </w:r>
    </w:p>
    <w:p w14:paraId="7FCE4DC8" w14:textId="288AEB44" w:rsidR="00BD4468" w:rsidRDefault="00BD4468">
      <w:pPr>
        <w:rPr>
          <w:bCs/>
          <w:szCs w:val="22"/>
        </w:rPr>
      </w:pPr>
    </w:p>
    <w:p w14:paraId="7470620C" w14:textId="4EBF08A7" w:rsidR="00BD4468" w:rsidRDefault="00BD4468">
      <w:pPr>
        <w:rPr>
          <w:bCs/>
          <w:szCs w:val="22"/>
        </w:rPr>
      </w:pPr>
      <w:r>
        <w:rPr>
          <w:bCs/>
          <w:szCs w:val="22"/>
        </w:rPr>
        <w:t>Agree with the commenter (on both points).</w:t>
      </w:r>
    </w:p>
    <w:p w14:paraId="11BBDAA5" w14:textId="6EBF9599" w:rsidR="00BD4468" w:rsidRDefault="00BD4468">
      <w:pPr>
        <w:rPr>
          <w:bCs/>
          <w:szCs w:val="22"/>
        </w:rPr>
      </w:pPr>
    </w:p>
    <w:p w14:paraId="46DB0E7C" w14:textId="557FD41C" w:rsidR="00BD4468" w:rsidRDefault="00BD4468">
      <w:pPr>
        <w:rPr>
          <w:bCs/>
          <w:szCs w:val="22"/>
        </w:rPr>
      </w:pPr>
      <w:r>
        <w:rPr>
          <w:bCs/>
          <w:szCs w:val="22"/>
        </w:rPr>
        <w:t>Also, “silently ignore” is duplicative; what other way can something be “ignored”?</w:t>
      </w:r>
    </w:p>
    <w:p w14:paraId="23F927D7" w14:textId="287A2BA3" w:rsidR="00BD4468" w:rsidRDefault="00BD4468">
      <w:pPr>
        <w:rPr>
          <w:bCs/>
          <w:szCs w:val="22"/>
        </w:rPr>
      </w:pPr>
    </w:p>
    <w:p w14:paraId="5B9E9C6D" w14:textId="3A823A07" w:rsidR="00BD4468" w:rsidRDefault="00BD4468">
      <w:pPr>
        <w:rPr>
          <w:bCs/>
          <w:szCs w:val="22"/>
        </w:rPr>
      </w:pPr>
      <w:r w:rsidRPr="00DB0E6A">
        <w:rPr>
          <w:bCs/>
          <w:szCs w:val="22"/>
          <w:highlight w:val="yellow"/>
          <w:u w:val="single"/>
        </w:rPr>
        <w:t>Proposed Resolution:</w:t>
      </w:r>
    </w:p>
    <w:p w14:paraId="30F8EBCC" w14:textId="587AAF00" w:rsidR="00BD4468" w:rsidRDefault="00BD4468">
      <w:pPr>
        <w:rPr>
          <w:bCs/>
          <w:szCs w:val="22"/>
        </w:rPr>
      </w:pPr>
    </w:p>
    <w:p w14:paraId="75986E2F" w14:textId="4831425E" w:rsidR="00BD4468" w:rsidRDefault="00BD4468">
      <w:pPr>
        <w:rPr>
          <w:bCs/>
          <w:szCs w:val="22"/>
        </w:rPr>
      </w:pPr>
      <w:r>
        <w:rPr>
          <w:bCs/>
          <w:szCs w:val="22"/>
        </w:rPr>
        <w:t>Revised.</w:t>
      </w:r>
    </w:p>
    <w:p w14:paraId="24CBF30E" w14:textId="3F3830EF" w:rsidR="00BD4468" w:rsidRDefault="00BD4468">
      <w:pPr>
        <w:rPr>
          <w:bCs/>
          <w:szCs w:val="22"/>
        </w:rPr>
      </w:pPr>
    </w:p>
    <w:p w14:paraId="69BA1A49" w14:textId="53DE7C59" w:rsidR="00BD4468" w:rsidRDefault="00BD4468">
      <w:pPr>
        <w:rPr>
          <w:bCs/>
          <w:szCs w:val="22"/>
        </w:rPr>
      </w:pPr>
      <w:r>
        <w:rPr>
          <w:bCs/>
          <w:szCs w:val="22"/>
        </w:rPr>
        <w:t>Replace</w:t>
      </w:r>
    </w:p>
    <w:p w14:paraId="19554B4F" w14:textId="639163B5" w:rsidR="00BD4468" w:rsidRDefault="00BD4468" w:rsidP="00BD4468">
      <w:pPr>
        <w:ind w:left="720"/>
        <w:rPr>
          <w:bCs/>
          <w:szCs w:val="22"/>
        </w:rPr>
      </w:pPr>
      <w:r w:rsidRPr="00DE7477">
        <w:rPr>
          <w:rFonts w:ascii="Arial" w:eastAsia="Times New Roman" w:hAnsi="Arial" w:cs="Arial"/>
          <w:sz w:val="20"/>
          <w:lang w:val="en-US"/>
        </w:rPr>
        <w:t>A receiving TR-MLME may silently ignore the received On-channel Tunnel Request frame if</w:t>
      </w:r>
      <w:r w:rsidRPr="00DE7477">
        <w:rPr>
          <w:rFonts w:ascii="Arial" w:eastAsia="Times New Roman" w:hAnsi="Arial" w:cs="Arial"/>
          <w:sz w:val="20"/>
          <w:lang w:val="en-US"/>
        </w:rPr>
        <w:br/>
        <w:t>that frame is not targeting an NT-MLME in the same multi-band capable device with the TR-MLME</w:t>
      </w:r>
      <w:r>
        <w:rPr>
          <w:rFonts w:ascii="Arial" w:eastAsia="Times New Roman" w:hAnsi="Arial" w:cs="Arial"/>
          <w:sz w:val="20"/>
          <w:lang w:val="en-US"/>
        </w:rPr>
        <w:t>.</w:t>
      </w:r>
    </w:p>
    <w:p w14:paraId="0A570E9B" w14:textId="4CDF0273" w:rsidR="00BD4468" w:rsidRDefault="00BD4468">
      <w:pPr>
        <w:rPr>
          <w:bCs/>
          <w:szCs w:val="22"/>
        </w:rPr>
      </w:pPr>
      <w:r>
        <w:rPr>
          <w:bCs/>
          <w:szCs w:val="22"/>
        </w:rPr>
        <w:t>with</w:t>
      </w:r>
    </w:p>
    <w:p w14:paraId="72BBF3E4" w14:textId="6E7C6E34" w:rsidR="00BD4468" w:rsidRDefault="00BD4468" w:rsidP="00BD4468">
      <w:pPr>
        <w:ind w:left="720"/>
        <w:rPr>
          <w:rFonts w:ascii="Arial" w:eastAsia="Times New Roman" w:hAnsi="Arial" w:cs="Arial"/>
          <w:sz w:val="20"/>
          <w:lang w:val="en-US"/>
        </w:rPr>
      </w:pPr>
      <w:r w:rsidRPr="00DE7477">
        <w:rPr>
          <w:rFonts w:ascii="Arial" w:eastAsia="Times New Roman" w:hAnsi="Arial" w:cs="Arial"/>
          <w:sz w:val="20"/>
          <w:lang w:val="en-US"/>
        </w:rPr>
        <w:t xml:space="preserve">A receiving TR-MLME </w:t>
      </w:r>
      <w:r w:rsidRPr="00BD4468">
        <w:rPr>
          <w:rFonts w:ascii="Arial" w:eastAsia="Times New Roman" w:hAnsi="Arial" w:cs="Arial"/>
          <w:sz w:val="20"/>
          <w:highlight w:val="yellow"/>
          <w:lang w:val="en-US"/>
        </w:rPr>
        <w:t>shall ignore</w:t>
      </w:r>
      <w:r w:rsidRPr="00DE7477">
        <w:rPr>
          <w:rFonts w:ascii="Arial" w:eastAsia="Times New Roman" w:hAnsi="Arial" w:cs="Arial"/>
          <w:sz w:val="20"/>
          <w:lang w:val="en-US"/>
        </w:rPr>
        <w:t xml:space="preserve"> the received On-channel Tunnel Request frame if</w:t>
      </w:r>
      <w:r w:rsidRPr="00DE7477">
        <w:rPr>
          <w:rFonts w:ascii="Arial" w:eastAsia="Times New Roman" w:hAnsi="Arial" w:cs="Arial"/>
          <w:sz w:val="20"/>
          <w:lang w:val="en-US"/>
        </w:rPr>
        <w:br/>
        <w:t xml:space="preserve">that frame is not targeting an NT-MLME in the same multi-band capable device </w:t>
      </w:r>
      <w:r w:rsidRPr="00BD4468">
        <w:rPr>
          <w:rFonts w:ascii="Arial" w:eastAsia="Times New Roman" w:hAnsi="Arial" w:cs="Arial"/>
          <w:sz w:val="20"/>
          <w:highlight w:val="yellow"/>
          <w:lang w:val="en-US"/>
        </w:rPr>
        <w:t>as</w:t>
      </w:r>
      <w:r w:rsidRPr="00DE7477">
        <w:rPr>
          <w:rFonts w:ascii="Arial" w:eastAsia="Times New Roman" w:hAnsi="Arial" w:cs="Arial"/>
          <w:sz w:val="20"/>
          <w:lang w:val="en-US"/>
        </w:rPr>
        <w:t xml:space="preserve"> the TR-MLME</w:t>
      </w:r>
      <w:r>
        <w:rPr>
          <w:rFonts w:ascii="Arial" w:eastAsia="Times New Roman" w:hAnsi="Arial" w:cs="Arial"/>
          <w:sz w:val="20"/>
          <w:lang w:val="en-US"/>
        </w:rPr>
        <w:t>.</w:t>
      </w:r>
    </w:p>
    <w:p w14:paraId="369CAA9E" w14:textId="77777777" w:rsidR="00BD4468" w:rsidRPr="00BD4468" w:rsidRDefault="00BD4468" w:rsidP="00BD4468">
      <w:pPr>
        <w:rPr>
          <w:bCs/>
          <w:szCs w:val="22"/>
        </w:rPr>
      </w:pPr>
    </w:p>
    <w:p w14:paraId="79B3B80B" w14:textId="77777777" w:rsidR="003B03DD" w:rsidRPr="00F24D15" w:rsidRDefault="00CD66FA" w:rsidP="00CD66FA">
      <w:pPr>
        <w:rPr>
          <w:bCs/>
          <w:szCs w:val="22"/>
        </w:rPr>
      </w:pPr>
      <w:r w:rsidRPr="00F24D15">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B03DD" w14:paraId="6649BC51"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7EA8644F"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D1D18EC"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051D0B5"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DC0615B"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863C357" w14:textId="77777777" w:rsidR="003B03DD" w:rsidRDefault="003B03D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B03DD" w:rsidRPr="00DE7477" w14:paraId="4AC3A13D" w14:textId="77777777" w:rsidTr="005C22F6">
        <w:trPr>
          <w:trHeight w:val="3701"/>
        </w:trPr>
        <w:tc>
          <w:tcPr>
            <w:tcW w:w="738" w:type="dxa"/>
            <w:hideMark/>
          </w:tcPr>
          <w:p w14:paraId="35CA55DB" w14:textId="77777777" w:rsidR="003B03DD" w:rsidRPr="00DE7477" w:rsidRDefault="003B03DD" w:rsidP="005C22F6">
            <w:pPr>
              <w:jc w:val="right"/>
              <w:rPr>
                <w:rFonts w:ascii="Arial" w:eastAsia="Times New Roman" w:hAnsi="Arial" w:cs="Arial"/>
                <w:sz w:val="20"/>
                <w:lang w:val="en-US"/>
              </w:rPr>
            </w:pPr>
            <w:r w:rsidRPr="00DE7477">
              <w:rPr>
                <w:rFonts w:ascii="Arial" w:eastAsia="Times New Roman" w:hAnsi="Arial" w:cs="Arial"/>
                <w:sz w:val="20"/>
                <w:lang w:val="en-US"/>
              </w:rPr>
              <w:t>4594</w:t>
            </w:r>
          </w:p>
        </w:tc>
        <w:tc>
          <w:tcPr>
            <w:tcW w:w="990" w:type="dxa"/>
            <w:hideMark/>
          </w:tcPr>
          <w:p w14:paraId="2E4C71A6" w14:textId="77777777" w:rsidR="003B03DD" w:rsidRPr="00DE7477" w:rsidRDefault="003B03DD" w:rsidP="005C22F6">
            <w:pPr>
              <w:jc w:val="right"/>
              <w:rPr>
                <w:rFonts w:ascii="Arial" w:eastAsia="Times New Roman" w:hAnsi="Arial" w:cs="Arial"/>
                <w:sz w:val="20"/>
                <w:lang w:val="en-US"/>
              </w:rPr>
            </w:pPr>
            <w:r w:rsidRPr="00DE7477">
              <w:rPr>
                <w:rFonts w:ascii="Arial" w:eastAsia="Times New Roman" w:hAnsi="Arial" w:cs="Arial"/>
                <w:sz w:val="20"/>
                <w:lang w:val="en-US"/>
              </w:rPr>
              <w:t>1487.36</w:t>
            </w:r>
          </w:p>
        </w:tc>
        <w:tc>
          <w:tcPr>
            <w:tcW w:w="1080" w:type="dxa"/>
            <w:hideMark/>
          </w:tcPr>
          <w:p w14:paraId="45B0C4E5" w14:textId="77777777" w:rsidR="003B03DD" w:rsidRPr="00DE7477" w:rsidRDefault="003B03DD" w:rsidP="005C22F6">
            <w:pPr>
              <w:rPr>
                <w:rFonts w:ascii="Arial" w:eastAsia="Times New Roman" w:hAnsi="Arial" w:cs="Arial"/>
                <w:sz w:val="20"/>
                <w:lang w:val="en-US"/>
              </w:rPr>
            </w:pPr>
            <w:r w:rsidRPr="00DE7477">
              <w:rPr>
                <w:rFonts w:ascii="Arial" w:eastAsia="Times New Roman" w:hAnsi="Arial" w:cs="Arial"/>
                <w:sz w:val="20"/>
                <w:lang w:val="en-US"/>
              </w:rPr>
              <w:t>9.4.5.20</w:t>
            </w:r>
          </w:p>
        </w:tc>
        <w:tc>
          <w:tcPr>
            <w:tcW w:w="3600" w:type="dxa"/>
            <w:hideMark/>
          </w:tcPr>
          <w:p w14:paraId="297E6BFF" w14:textId="6EE27971" w:rsidR="003B03DD" w:rsidRPr="00DE7477" w:rsidRDefault="003B03DD" w:rsidP="005C22F6">
            <w:pPr>
              <w:rPr>
                <w:rFonts w:ascii="Arial" w:eastAsia="Times New Roman" w:hAnsi="Arial" w:cs="Arial"/>
                <w:sz w:val="20"/>
                <w:lang w:val="en-US"/>
              </w:rPr>
            </w:pPr>
            <w:r w:rsidRPr="00DE7477">
              <w:rPr>
                <w:rFonts w:ascii="Arial" w:eastAsia="Times New Roman" w:hAnsi="Arial" w:cs="Arial"/>
                <w:sz w:val="20"/>
                <w:lang w:val="en-US"/>
              </w:rPr>
              <w:t>"The Venue Number field identifies the position (1 = 1st, 2 = 2nd, and so on) of the corresponding</w:t>
            </w:r>
            <w:r w:rsidR="001A1739">
              <w:rPr>
                <w:rFonts w:ascii="Arial" w:eastAsia="Times New Roman" w:hAnsi="Arial" w:cs="Arial"/>
                <w:sz w:val="20"/>
                <w:lang w:val="en-US"/>
              </w:rPr>
              <w:t xml:space="preserve"> </w:t>
            </w:r>
            <w:r w:rsidRPr="00DE7477">
              <w:rPr>
                <w:rFonts w:ascii="Arial" w:eastAsia="Times New Roman" w:hAnsi="Arial" w:cs="Arial"/>
                <w:sz w:val="20"/>
                <w:lang w:val="en-US"/>
              </w:rPr>
              <w:t>Venue Name Tuple subfield in a Venue Name ANQP-element from the same STA, as defined in 9.4.5.4</w:t>
            </w:r>
            <w:r w:rsidR="001A1739">
              <w:rPr>
                <w:rFonts w:ascii="Arial" w:eastAsia="Times New Roman" w:hAnsi="Arial" w:cs="Arial"/>
                <w:sz w:val="20"/>
                <w:lang w:val="en-US"/>
              </w:rPr>
              <w:t xml:space="preserve"> </w:t>
            </w:r>
            <w:r w:rsidRPr="00DE7477">
              <w:rPr>
                <w:rFonts w:ascii="Arial" w:eastAsia="Times New Roman" w:hAnsi="Arial" w:cs="Arial"/>
                <w:sz w:val="20"/>
                <w:lang w:val="en-US"/>
              </w:rPr>
              <w:t>(Venue Name ANQP-element). If that same STA does not advertise a Venue Name ANQP-element, or does</w:t>
            </w:r>
            <w:r w:rsidR="001A1739">
              <w:rPr>
                <w:rFonts w:ascii="Arial" w:eastAsia="Times New Roman" w:hAnsi="Arial" w:cs="Arial"/>
                <w:sz w:val="20"/>
                <w:lang w:val="en-US"/>
              </w:rPr>
              <w:t xml:space="preserve"> </w:t>
            </w:r>
            <w:r w:rsidRPr="00DE7477">
              <w:rPr>
                <w:rFonts w:ascii="Arial" w:eastAsia="Times New Roman" w:hAnsi="Arial" w:cs="Arial"/>
                <w:sz w:val="20"/>
                <w:lang w:val="en-US"/>
              </w:rPr>
              <w:t>not advertise any Venue Name Tuple subfields in the Venue Name ANQP-element, then the Venue Number</w:t>
            </w:r>
            <w:r w:rsidR="001A1739">
              <w:rPr>
                <w:rFonts w:ascii="Arial" w:eastAsia="Times New Roman" w:hAnsi="Arial" w:cs="Arial"/>
                <w:sz w:val="20"/>
                <w:lang w:val="en-US"/>
              </w:rPr>
              <w:t xml:space="preserve"> </w:t>
            </w:r>
            <w:r w:rsidRPr="00DE7477">
              <w:rPr>
                <w:rFonts w:ascii="Arial" w:eastAsia="Times New Roman" w:hAnsi="Arial" w:cs="Arial"/>
                <w:sz w:val="20"/>
                <w:lang w:val="en-US"/>
              </w:rPr>
              <w:t>field is set to 0." -- second sentence implies there can only be at most one Venue Name ANQP-element</w:t>
            </w:r>
          </w:p>
        </w:tc>
        <w:tc>
          <w:tcPr>
            <w:tcW w:w="3600" w:type="dxa"/>
            <w:hideMark/>
          </w:tcPr>
          <w:p w14:paraId="7201D134" w14:textId="77777777" w:rsidR="003B03DD" w:rsidRPr="00DE7477" w:rsidRDefault="003B03DD" w:rsidP="005C22F6">
            <w:pPr>
              <w:rPr>
                <w:rFonts w:ascii="Arial" w:eastAsia="Times New Roman" w:hAnsi="Arial" w:cs="Arial"/>
                <w:sz w:val="20"/>
                <w:lang w:val="en-US"/>
              </w:rPr>
            </w:pPr>
            <w:r w:rsidRPr="00DE7477">
              <w:rPr>
                <w:rFonts w:ascii="Arial" w:eastAsia="Times New Roman" w:hAnsi="Arial" w:cs="Arial"/>
                <w:sz w:val="20"/>
                <w:lang w:val="en-US"/>
              </w:rPr>
              <w:t>Change "a" to "the" in the first sentence</w:t>
            </w:r>
          </w:p>
        </w:tc>
      </w:tr>
    </w:tbl>
    <w:p w14:paraId="438AB0C9" w14:textId="4E0D89FC" w:rsidR="00CD66FA" w:rsidRDefault="00CD66FA" w:rsidP="00CD66FA">
      <w:pPr>
        <w:rPr>
          <w:bCs/>
          <w:szCs w:val="22"/>
        </w:rPr>
      </w:pPr>
    </w:p>
    <w:p w14:paraId="787366CE" w14:textId="635E6042" w:rsidR="003B03DD" w:rsidRDefault="001A1739" w:rsidP="00CD66FA">
      <w:pPr>
        <w:rPr>
          <w:bCs/>
          <w:szCs w:val="22"/>
        </w:rPr>
      </w:pPr>
      <w:r>
        <w:rPr>
          <w:bCs/>
          <w:szCs w:val="22"/>
          <w:u w:val="single"/>
        </w:rPr>
        <w:t>Discussion:</w:t>
      </w:r>
    </w:p>
    <w:p w14:paraId="369FA89B" w14:textId="261419FA" w:rsidR="001A1739" w:rsidRDefault="001A1739" w:rsidP="00CD66FA">
      <w:pPr>
        <w:rPr>
          <w:bCs/>
          <w:szCs w:val="22"/>
        </w:rPr>
      </w:pPr>
    </w:p>
    <w:p w14:paraId="6C355339" w14:textId="690668D6" w:rsidR="001A1739" w:rsidRDefault="00C0701A" w:rsidP="00CD66FA">
      <w:pPr>
        <w:rPr>
          <w:bCs/>
          <w:szCs w:val="22"/>
        </w:rPr>
      </w:pPr>
      <w:r w:rsidRPr="00AA3EBA">
        <w:rPr>
          <w:bCs/>
          <w:noProof/>
          <w:szCs w:val="22"/>
          <w:bdr w:val="single" w:sz="8" w:space="0" w:color="auto" w:shadow="1"/>
        </w:rPr>
        <w:drawing>
          <wp:inline distT="0" distB="0" distL="0" distR="0" wp14:anchorId="71ADCB1E" wp14:editId="3E18DFCC">
            <wp:extent cx="5984875" cy="8013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4875" cy="801370"/>
                    </a:xfrm>
                    <a:prstGeom prst="rect">
                      <a:avLst/>
                    </a:prstGeom>
                    <a:noFill/>
                    <a:ln>
                      <a:noFill/>
                    </a:ln>
                  </pic:spPr>
                </pic:pic>
              </a:graphicData>
            </a:graphic>
          </wp:inline>
        </w:drawing>
      </w:r>
    </w:p>
    <w:p w14:paraId="35F0DA05" w14:textId="73E8CA74" w:rsidR="00C0701A" w:rsidRDefault="00C0701A" w:rsidP="00CD66FA">
      <w:pPr>
        <w:rPr>
          <w:bCs/>
          <w:szCs w:val="22"/>
        </w:rPr>
      </w:pPr>
    </w:p>
    <w:p w14:paraId="44ABBFC6" w14:textId="6B042B72" w:rsidR="00C0701A" w:rsidRDefault="00C0701A" w:rsidP="00CD66FA">
      <w:pPr>
        <w:rPr>
          <w:bCs/>
          <w:szCs w:val="22"/>
        </w:rPr>
      </w:pPr>
      <w:r>
        <w:rPr>
          <w:bCs/>
          <w:szCs w:val="22"/>
        </w:rPr>
        <w:t>Unpacking the first sentence a bit:</w:t>
      </w:r>
    </w:p>
    <w:p w14:paraId="1A03B43F" w14:textId="6906AF59" w:rsidR="00C0701A" w:rsidRDefault="00C0701A" w:rsidP="00C0701A">
      <w:pPr>
        <w:pStyle w:val="ListParagraph"/>
        <w:numPr>
          <w:ilvl w:val="0"/>
          <w:numId w:val="42"/>
        </w:numPr>
        <w:rPr>
          <w:bCs/>
          <w:szCs w:val="22"/>
        </w:rPr>
      </w:pPr>
      <w:r>
        <w:rPr>
          <w:bCs/>
          <w:szCs w:val="22"/>
        </w:rPr>
        <w:t xml:space="preserve">The STA might send a Venue Name ANQP-element, which contains zero or more venue names </w:t>
      </w:r>
      <w:r w:rsidR="00E10B30">
        <w:rPr>
          <w:bCs/>
          <w:szCs w:val="22"/>
        </w:rPr>
        <w:t>in</w:t>
      </w:r>
      <w:r>
        <w:rPr>
          <w:bCs/>
          <w:szCs w:val="22"/>
        </w:rPr>
        <w:t xml:space="preserve"> Venue Name Tuples, as seen in 9.4.5.4:</w:t>
      </w:r>
    </w:p>
    <w:p w14:paraId="3A8C2E8F" w14:textId="77777777" w:rsidR="00C0701A" w:rsidRPr="00C0701A" w:rsidRDefault="00C0701A" w:rsidP="00C0701A">
      <w:pPr>
        <w:rPr>
          <w:bCs/>
          <w:szCs w:val="22"/>
        </w:rPr>
      </w:pPr>
    </w:p>
    <w:p w14:paraId="0A22F64A" w14:textId="77777777" w:rsidR="00B875D8" w:rsidRDefault="00C0701A" w:rsidP="00C0701A">
      <w:pPr>
        <w:ind w:left="720"/>
        <w:rPr>
          <w:bCs/>
          <w:szCs w:val="22"/>
        </w:rPr>
      </w:pPr>
      <w:r w:rsidRPr="00C0701A">
        <w:rPr>
          <w:noProof/>
          <w:bdr w:val="single" w:sz="8" w:space="0" w:color="auto" w:shadow="1"/>
        </w:rPr>
        <w:drawing>
          <wp:inline distT="0" distB="0" distL="0" distR="0" wp14:anchorId="62D5F37A" wp14:editId="12FD82E6">
            <wp:extent cx="6050280" cy="2007235"/>
            <wp:effectExtent l="0" t="0" r="762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50280" cy="2007235"/>
                    </a:xfrm>
                    <a:prstGeom prst="rect">
                      <a:avLst/>
                    </a:prstGeom>
                    <a:noFill/>
                    <a:ln>
                      <a:noFill/>
                    </a:ln>
                  </pic:spPr>
                </pic:pic>
              </a:graphicData>
            </a:graphic>
          </wp:inline>
        </w:drawing>
      </w:r>
    </w:p>
    <w:p w14:paraId="213597BD" w14:textId="24AFDFA1" w:rsidR="00C0701A" w:rsidRPr="00B875D8" w:rsidRDefault="00E10B30" w:rsidP="00C0701A">
      <w:pPr>
        <w:ind w:left="720"/>
        <w:rPr>
          <w:noProof/>
          <w:bdr w:val="single" w:sz="8" w:space="0" w:color="auto" w:shadow="1"/>
        </w:rPr>
      </w:pPr>
      <w:r w:rsidRPr="00B875D8">
        <w:rPr>
          <w:noProof/>
          <w:bdr w:val="single" w:sz="8" w:space="0" w:color="auto" w:shadow="1"/>
        </w:rPr>
        <w:drawing>
          <wp:inline distT="0" distB="0" distL="0" distR="0" wp14:anchorId="3FE63761" wp14:editId="0E620CF1">
            <wp:extent cx="6080166" cy="223208"/>
            <wp:effectExtent l="0" t="0" r="0" b="571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1416" cy="243078"/>
                    </a:xfrm>
                    <a:prstGeom prst="rect">
                      <a:avLst/>
                    </a:prstGeom>
                    <a:noFill/>
                    <a:ln>
                      <a:noFill/>
                    </a:ln>
                  </pic:spPr>
                </pic:pic>
              </a:graphicData>
            </a:graphic>
          </wp:inline>
        </w:drawing>
      </w:r>
    </w:p>
    <w:p w14:paraId="35F35E90" w14:textId="77777777" w:rsidR="00C0701A" w:rsidRDefault="00C0701A" w:rsidP="00C0701A">
      <w:pPr>
        <w:pStyle w:val="ListParagraph"/>
        <w:rPr>
          <w:bCs/>
          <w:szCs w:val="22"/>
        </w:rPr>
      </w:pPr>
    </w:p>
    <w:p w14:paraId="310B6518" w14:textId="7E3746AA" w:rsidR="00C0701A" w:rsidRDefault="00C0701A" w:rsidP="00C0701A">
      <w:pPr>
        <w:pStyle w:val="ListParagraph"/>
        <w:numPr>
          <w:ilvl w:val="0"/>
          <w:numId w:val="42"/>
        </w:numPr>
        <w:rPr>
          <w:bCs/>
          <w:szCs w:val="22"/>
        </w:rPr>
      </w:pPr>
      <w:r>
        <w:rPr>
          <w:bCs/>
          <w:szCs w:val="22"/>
        </w:rPr>
        <w:t xml:space="preserve">There is only one Venue Name ANQP-element transmitted, </w:t>
      </w:r>
      <w:r w:rsidR="00E10B30">
        <w:rPr>
          <w:bCs/>
          <w:szCs w:val="22"/>
        </w:rPr>
        <w:t xml:space="preserve">as implied by </w:t>
      </w:r>
      <w:r>
        <w:rPr>
          <w:bCs/>
          <w:szCs w:val="22"/>
        </w:rPr>
        <w:t>11.23.3.3.11</w:t>
      </w:r>
      <w:r w:rsidR="00E10B30">
        <w:rPr>
          <w:bCs/>
          <w:szCs w:val="22"/>
        </w:rPr>
        <w:t xml:space="preserve"> (note the use of “the” in this text)</w:t>
      </w:r>
      <w:r>
        <w:rPr>
          <w:bCs/>
          <w:szCs w:val="22"/>
        </w:rPr>
        <w:t>:</w:t>
      </w:r>
    </w:p>
    <w:p w14:paraId="299EEEDB" w14:textId="77777777" w:rsidR="00B875D8" w:rsidRPr="00B875D8" w:rsidRDefault="00B875D8" w:rsidP="00B875D8">
      <w:pPr>
        <w:rPr>
          <w:bCs/>
          <w:szCs w:val="22"/>
        </w:rPr>
      </w:pPr>
    </w:p>
    <w:p w14:paraId="05CF5688" w14:textId="77777777" w:rsidR="00B875D8" w:rsidRDefault="00C0701A" w:rsidP="00E10B30">
      <w:pPr>
        <w:ind w:left="720"/>
        <w:rPr>
          <w:noProof/>
          <w:bdr w:val="single" w:sz="8" w:space="0" w:color="auto" w:shadow="1"/>
        </w:rPr>
      </w:pPr>
      <w:r w:rsidRPr="00E10B30">
        <w:rPr>
          <w:noProof/>
          <w:bdr w:val="single" w:sz="8" w:space="0" w:color="auto" w:shadow="1"/>
        </w:rPr>
        <w:drawing>
          <wp:inline distT="0" distB="0" distL="0" distR="0" wp14:anchorId="43A6F70B" wp14:editId="2B1B3D89">
            <wp:extent cx="6026529" cy="78359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110" cy="783796"/>
                    </a:xfrm>
                    <a:prstGeom prst="rect">
                      <a:avLst/>
                    </a:prstGeom>
                    <a:noFill/>
                    <a:ln>
                      <a:noFill/>
                    </a:ln>
                  </pic:spPr>
                </pic:pic>
              </a:graphicData>
            </a:graphic>
          </wp:inline>
        </w:drawing>
      </w:r>
    </w:p>
    <w:p w14:paraId="15664B07" w14:textId="4D9C7207" w:rsidR="00C0701A" w:rsidRPr="00E10B30" w:rsidRDefault="00C0701A" w:rsidP="00E10B30">
      <w:pPr>
        <w:ind w:left="720"/>
        <w:rPr>
          <w:noProof/>
          <w:bdr w:val="single" w:sz="8" w:space="0" w:color="auto" w:shadow="1"/>
        </w:rPr>
      </w:pPr>
      <w:r w:rsidRPr="00E10B30">
        <w:rPr>
          <w:noProof/>
          <w:bdr w:val="single" w:sz="8" w:space="0" w:color="auto" w:shadow="1"/>
        </w:rPr>
        <w:lastRenderedPageBreak/>
        <w:drawing>
          <wp:inline distT="0" distB="0" distL="0" distR="0" wp14:anchorId="73A4EF92" wp14:editId="3DE181DA">
            <wp:extent cx="6009005" cy="80772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9005" cy="807720"/>
                    </a:xfrm>
                    <a:prstGeom prst="rect">
                      <a:avLst/>
                    </a:prstGeom>
                    <a:noFill/>
                    <a:ln>
                      <a:noFill/>
                    </a:ln>
                  </pic:spPr>
                </pic:pic>
              </a:graphicData>
            </a:graphic>
          </wp:inline>
        </w:drawing>
      </w:r>
    </w:p>
    <w:p w14:paraId="44865B12" w14:textId="03466ECD" w:rsidR="00C0701A" w:rsidRPr="00E10B30" w:rsidRDefault="00C0701A" w:rsidP="00E10B30">
      <w:pPr>
        <w:rPr>
          <w:bCs/>
          <w:szCs w:val="22"/>
        </w:rPr>
      </w:pPr>
    </w:p>
    <w:p w14:paraId="0515DFA3" w14:textId="1C116D5A" w:rsidR="00E10B30" w:rsidRDefault="00E10B30" w:rsidP="00C0701A">
      <w:pPr>
        <w:pStyle w:val="ListParagraph"/>
        <w:numPr>
          <w:ilvl w:val="0"/>
          <w:numId w:val="42"/>
        </w:numPr>
        <w:rPr>
          <w:bCs/>
          <w:szCs w:val="22"/>
        </w:rPr>
      </w:pPr>
      <w:r>
        <w:rPr>
          <w:bCs/>
          <w:szCs w:val="22"/>
        </w:rPr>
        <w:t xml:space="preserve">The Venue Number field is used to carry an ‘index’ into the Venue Name Tuples, as described in the cited text.  If there were more than one Venue Name ANQP-element from the same STA, this indexing would be ambiguous as to which Venue Name Tuples list </w:t>
      </w:r>
      <w:r w:rsidR="00B875D8">
        <w:rPr>
          <w:bCs/>
          <w:szCs w:val="22"/>
        </w:rPr>
        <w:t>was being referenced.</w:t>
      </w:r>
    </w:p>
    <w:p w14:paraId="639CC593" w14:textId="498E6621" w:rsidR="00B875D8" w:rsidRDefault="00B875D8" w:rsidP="00B875D8">
      <w:pPr>
        <w:rPr>
          <w:bCs/>
          <w:szCs w:val="22"/>
        </w:rPr>
      </w:pPr>
    </w:p>
    <w:p w14:paraId="76F0D5B4" w14:textId="1EB754CE" w:rsidR="00B875D8" w:rsidRDefault="00B875D8" w:rsidP="00B875D8">
      <w:pPr>
        <w:rPr>
          <w:bCs/>
          <w:szCs w:val="22"/>
        </w:rPr>
      </w:pPr>
      <w:r>
        <w:rPr>
          <w:bCs/>
          <w:szCs w:val="22"/>
        </w:rPr>
        <w:t>Thus, agree with the commenter, there is only one (at most) Venue Name ANQP-element from this STA, so the article should be “the” to reference this specific, single element.</w:t>
      </w:r>
    </w:p>
    <w:p w14:paraId="7A3D352E" w14:textId="192E1774" w:rsidR="00B875D8" w:rsidRDefault="00B875D8" w:rsidP="00B875D8">
      <w:pPr>
        <w:rPr>
          <w:bCs/>
          <w:szCs w:val="22"/>
        </w:rPr>
      </w:pPr>
    </w:p>
    <w:p w14:paraId="18468CCB" w14:textId="1F9EB5CE" w:rsidR="00B875D8" w:rsidRDefault="00B875D8" w:rsidP="00B875D8">
      <w:pPr>
        <w:rPr>
          <w:bCs/>
          <w:szCs w:val="22"/>
        </w:rPr>
      </w:pPr>
      <w:r w:rsidRPr="00B875D8">
        <w:rPr>
          <w:bCs/>
          <w:szCs w:val="22"/>
          <w:highlight w:val="yellow"/>
          <w:u w:val="single"/>
        </w:rPr>
        <w:t>Proposed Resolution:</w:t>
      </w:r>
    </w:p>
    <w:p w14:paraId="26B151AA" w14:textId="7B96B894" w:rsidR="00B875D8" w:rsidRDefault="00B875D8" w:rsidP="00B875D8">
      <w:pPr>
        <w:rPr>
          <w:bCs/>
          <w:szCs w:val="22"/>
        </w:rPr>
      </w:pPr>
    </w:p>
    <w:p w14:paraId="6033ED17" w14:textId="0F46C203" w:rsidR="00B875D8" w:rsidRDefault="00B875D8" w:rsidP="00B875D8">
      <w:pPr>
        <w:rPr>
          <w:bCs/>
          <w:szCs w:val="22"/>
        </w:rPr>
      </w:pPr>
      <w:r>
        <w:rPr>
          <w:bCs/>
          <w:szCs w:val="22"/>
        </w:rPr>
        <w:t>Accepted.</w:t>
      </w:r>
    </w:p>
    <w:p w14:paraId="288D97F3" w14:textId="77777777" w:rsidR="00DB0E6A" w:rsidRDefault="00DB0E6A" w:rsidP="00B875D8">
      <w:pPr>
        <w:rPr>
          <w:bCs/>
          <w:szCs w:val="22"/>
        </w:rPr>
      </w:pPr>
    </w:p>
    <w:p w14:paraId="79C2BEC5" w14:textId="12F88F8C" w:rsidR="00DB0E6A" w:rsidRDefault="00DB0E6A">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B0E6A" w14:paraId="6FB94A60"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2442954D"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96665B8"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85906E7"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A6ABB8F"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BAA4F84" w14:textId="77777777" w:rsidR="00DB0E6A" w:rsidRDefault="00DB0E6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B0E6A" w:rsidRPr="00DE7477" w14:paraId="2DA7A1D7" w14:textId="77777777" w:rsidTr="005C22F6">
        <w:trPr>
          <w:trHeight w:val="4080"/>
        </w:trPr>
        <w:tc>
          <w:tcPr>
            <w:tcW w:w="738" w:type="dxa"/>
            <w:hideMark/>
          </w:tcPr>
          <w:p w14:paraId="32673365" w14:textId="77777777" w:rsidR="00DB0E6A" w:rsidRPr="00DE7477" w:rsidRDefault="00DB0E6A" w:rsidP="005C22F6">
            <w:pPr>
              <w:jc w:val="right"/>
              <w:rPr>
                <w:rFonts w:ascii="Arial" w:eastAsia="Times New Roman" w:hAnsi="Arial" w:cs="Arial"/>
                <w:sz w:val="20"/>
                <w:lang w:val="en-US"/>
              </w:rPr>
            </w:pPr>
            <w:r w:rsidRPr="00DE7477">
              <w:rPr>
                <w:rFonts w:ascii="Arial" w:eastAsia="Times New Roman" w:hAnsi="Arial" w:cs="Arial"/>
                <w:sz w:val="20"/>
                <w:lang w:val="en-US"/>
              </w:rPr>
              <w:t>4570</w:t>
            </w:r>
          </w:p>
        </w:tc>
        <w:tc>
          <w:tcPr>
            <w:tcW w:w="990" w:type="dxa"/>
            <w:hideMark/>
          </w:tcPr>
          <w:p w14:paraId="3C2B8089" w14:textId="77777777" w:rsidR="00DB0E6A" w:rsidRPr="00DE7477" w:rsidRDefault="00DB0E6A" w:rsidP="005C22F6">
            <w:pPr>
              <w:jc w:val="right"/>
              <w:rPr>
                <w:rFonts w:ascii="Arial" w:eastAsia="Times New Roman" w:hAnsi="Arial" w:cs="Arial"/>
                <w:sz w:val="20"/>
                <w:lang w:val="en-US"/>
              </w:rPr>
            </w:pPr>
            <w:r w:rsidRPr="00DE7477">
              <w:rPr>
                <w:rFonts w:ascii="Arial" w:eastAsia="Times New Roman" w:hAnsi="Arial" w:cs="Arial"/>
                <w:sz w:val="20"/>
                <w:lang w:val="en-US"/>
              </w:rPr>
              <w:t>1656.52</w:t>
            </w:r>
          </w:p>
        </w:tc>
        <w:tc>
          <w:tcPr>
            <w:tcW w:w="1080" w:type="dxa"/>
            <w:hideMark/>
          </w:tcPr>
          <w:p w14:paraId="6BEECF40" w14:textId="77777777" w:rsidR="00DB0E6A" w:rsidRPr="00DE7477" w:rsidRDefault="00DB0E6A" w:rsidP="005C22F6">
            <w:pPr>
              <w:rPr>
                <w:rFonts w:ascii="Arial" w:eastAsia="Times New Roman" w:hAnsi="Arial" w:cs="Arial"/>
                <w:sz w:val="20"/>
                <w:lang w:val="en-US"/>
              </w:rPr>
            </w:pPr>
            <w:r w:rsidRPr="00DE7477">
              <w:rPr>
                <w:rFonts w:ascii="Arial" w:eastAsia="Times New Roman" w:hAnsi="Arial" w:cs="Arial"/>
                <w:sz w:val="20"/>
                <w:lang w:val="en-US"/>
              </w:rPr>
              <w:t>9.6.20.7</w:t>
            </w:r>
          </w:p>
        </w:tc>
        <w:tc>
          <w:tcPr>
            <w:tcW w:w="3600" w:type="dxa"/>
            <w:hideMark/>
          </w:tcPr>
          <w:p w14:paraId="4391AF07" w14:textId="77777777" w:rsidR="00DB0E6A" w:rsidRPr="00DE7477" w:rsidRDefault="00DB0E6A" w:rsidP="005C22F6">
            <w:pPr>
              <w:rPr>
                <w:rFonts w:ascii="Arial" w:eastAsia="Times New Roman" w:hAnsi="Arial" w:cs="Arial"/>
                <w:sz w:val="20"/>
                <w:lang w:val="en-US"/>
              </w:rPr>
            </w:pPr>
            <w:r w:rsidRPr="00DE7477">
              <w:rPr>
                <w:rFonts w:ascii="Arial" w:eastAsia="Times New Roman" w:hAnsi="Arial" w:cs="Arial"/>
                <w:sz w:val="20"/>
                <w:lang w:val="en-US"/>
              </w:rPr>
              <w:t>"The MMPDU Frame Body subfield carries the content of the Frame Body field of an MMPDU that would</w:t>
            </w:r>
            <w:r w:rsidRPr="00DE7477">
              <w:rPr>
                <w:rFonts w:ascii="Arial" w:eastAsia="Times New Roman" w:hAnsi="Arial" w:cs="Arial"/>
                <w:sz w:val="20"/>
                <w:lang w:val="en-US"/>
              </w:rPr>
              <w:br/>
              <w:t>be  constructed  if  the  MMPDU  for  the  corresponding  management  frame  type  were  transmitted</w:t>
            </w:r>
            <w:r w:rsidRPr="00DE7477">
              <w:rPr>
                <w:rFonts w:ascii="Arial" w:eastAsia="Times New Roman" w:hAnsi="Arial" w:cs="Arial"/>
                <w:sz w:val="20"/>
                <w:lang w:val="en-US"/>
              </w:rPr>
              <w:br/>
              <w:t>(#2562)unencrypted over the air" -- well, the thing that is constructed is an MPDU, not an MMPDU, which (for an unencrypted case) goes straight into the Frame Body field</w:t>
            </w:r>
          </w:p>
        </w:tc>
        <w:tc>
          <w:tcPr>
            <w:tcW w:w="3600" w:type="dxa"/>
            <w:hideMark/>
          </w:tcPr>
          <w:p w14:paraId="46F48538" w14:textId="77777777" w:rsidR="00DB0E6A" w:rsidRPr="00DE7477" w:rsidRDefault="00DB0E6A" w:rsidP="005C22F6">
            <w:pPr>
              <w:rPr>
                <w:rFonts w:ascii="Arial" w:eastAsia="Times New Roman" w:hAnsi="Arial" w:cs="Arial"/>
                <w:sz w:val="20"/>
                <w:lang w:val="en-US"/>
              </w:rPr>
            </w:pPr>
            <w:r w:rsidRPr="00DE7477">
              <w:rPr>
                <w:rFonts w:ascii="Arial" w:eastAsia="Times New Roman" w:hAnsi="Arial" w:cs="Arial"/>
                <w:sz w:val="20"/>
                <w:lang w:val="en-US"/>
              </w:rPr>
              <w:t>Change to "The MMPDU Frame Body subfield carries the content of the Frame Body field of an MPDU carrying the MMPDU that would</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be  constructed</w:t>
            </w:r>
            <w:proofErr w:type="gramEnd"/>
            <w:r w:rsidRPr="00DE7477">
              <w:rPr>
                <w:rFonts w:ascii="Arial" w:eastAsia="Times New Roman" w:hAnsi="Arial" w:cs="Arial"/>
                <w:sz w:val="20"/>
                <w:lang w:val="en-US"/>
              </w:rPr>
              <w:t xml:space="preserve">  if  the  MMPDU  for  the  corresponding  management  frame  type  were  transmitted</w:t>
            </w:r>
            <w:r w:rsidRPr="00DE7477">
              <w:rPr>
                <w:rFonts w:ascii="Arial" w:eastAsia="Times New Roman" w:hAnsi="Arial" w:cs="Arial"/>
                <w:sz w:val="20"/>
                <w:lang w:val="en-US"/>
              </w:rPr>
              <w:br/>
              <w:t>(#2562)unencrypted over the air"</w:t>
            </w:r>
          </w:p>
        </w:tc>
      </w:tr>
    </w:tbl>
    <w:p w14:paraId="43739101" w14:textId="77777777" w:rsidR="00DB0E6A" w:rsidRDefault="00DB0E6A" w:rsidP="00E507EF">
      <w:pPr>
        <w:rPr>
          <w:bCs/>
          <w:szCs w:val="22"/>
        </w:rPr>
      </w:pPr>
    </w:p>
    <w:p w14:paraId="5346F92F" w14:textId="28456A57" w:rsidR="00DB0E6A" w:rsidRDefault="00DB0E6A" w:rsidP="00E507EF">
      <w:pPr>
        <w:rPr>
          <w:bCs/>
          <w:szCs w:val="22"/>
        </w:rPr>
      </w:pPr>
      <w:r>
        <w:rPr>
          <w:bCs/>
          <w:szCs w:val="22"/>
          <w:u w:val="single"/>
        </w:rPr>
        <w:t>Discussion:</w:t>
      </w:r>
    </w:p>
    <w:p w14:paraId="0A0D4C1F" w14:textId="3B2E03CC" w:rsidR="00DB0E6A" w:rsidRDefault="00DB0E6A" w:rsidP="00E507EF">
      <w:pPr>
        <w:rPr>
          <w:bCs/>
          <w:szCs w:val="22"/>
        </w:rPr>
      </w:pPr>
    </w:p>
    <w:p w14:paraId="6F548E56" w14:textId="4BD32629" w:rsidR="00DB0E6A" w:rsidRPr="006607CB" w:rsidRDefault="006607CB" w:rsidP="00E507EF">
      <w:pPr>
        <w:rPr>
          <w:bCs/>
          <w:noProof/>
          <w:szCs w:val="22"/>
          <w:bdr w:val="single" w:sz="8" w:space="0" w:color="auto" w:shadow="1"/>
        </w:rPr>
      </w:pPr>
      <w:r w:rsidRPr="006607CB">
        <w:rPr>
          <w:bCs/>
          <w:noProof/>
          <w:szCs w:val="22"/>
          <w:bdr w:val="single" w:sz="8" w:space="0" w:color="auto" w:shadow="1"/>
        </w:rPr>
        <w:drawing>
          <wp:inline distT="0" distB="0" distL="0" distR="0" wp14:anchorId="0A9409BB" wp14:editId="5A55B42A">
            <wp:extent cx="6035040" cy="1828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5040" cy="182880"/>
                    </a:xfrm>
                    <a:prstGeom prst="rect">
                      <a:avLst/>
                    </a:prstGeom>
                    <a:noFill/>
                    <a:ln>
                      <a:noFill/>
                    </a:ln>
                  </pic:spPr>
                </pic:pic>
              </a:graphicData>
            </a:graphic>
          </wp:inline>
        </w:drawing>
      </w:r>
    </w:p>
    <w:p w14:paraId="7E6BDE43" w14:textId="30D6364B" w:rsidR="006607CB" w:rsidRPr="006607CB" w:rsidRDefault="006607CB" w:rsidP="00E507EF">
      <w:pPr>
        <w:rPr>
          <w:bCs/>
          <w:noProof/>
          <w:szCs w:val="22"/>
          <w:bdr w:val="single" w:sz="8" w:space="0" w:color="auto" w:shadow="1"/>
        </w:rPr>
      </w:pPr>
      <w:r w:rsidRPr="006607CB">
        <w:rPr>
          <w:bCs/>
          <w:noProof/>
          <w:szCs w:val="22"/>
          <w:bdr w:val="single" w:sz="8" w:space="0" w:color="auto" w:shadow="1"/>
        </w:rPr>
        <w:drawing>
          <wp:inline distT="0" distB="0" distL="0" distR="0" wp14:anchorId="7EA38CB6" wp14:editId="122B23B8">
            <wp:extent cx="6056630" cy="635635"/>
            <wp:effectExtent l="0" t="0" r="127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6630" cy="635635"/>
                    </a:xfrm>
                    <a:prstGeom prst="rect">
                      <a:avLst/>
                    </a:prstGeom>
                    <a:noFill/>
                    <a:ln>
                      <a:noFill/>
                    </a:ln>
                  </pic:spPr>
                </pic:pic>
              </a:graphicData>
            </a:graphic>
          </wp:inline>
        </w:drawing>
      </w:r>
    </w:p>
    <w:p w14:paraId="24EDA73A" w14:textId="68CCE47E" w:rsidR="006607CB" w:rsidRDefault="006607CB" w:rsidP="00E507EF">
      <w:pPr>
        <w:rPr>
          <w:bCs/>
          <w:szCs w:val="22"/>
        </w:rPr>
      </w:pPr>
    </w:p>
    <w:p w14:paraId="17669A54" w14:textId="425C620F" w:rsidR="007E44C0" w:rsidRDefault="007E44C0" w:rsidP="00E507EF">
      <w:pPr>
        <w:rPr>
          <w:bCs/>
          <w:szCs w:val="22"/>
        </w:rPr>
      </w:pPr>
      <w:r>
        <w:rPr>
          <w:bCs/>
          <w:szCs w:val="22"/>
        </w:rPr>
        <w:t xml:space="preserve">It is a management frame (which </w:t>
      </w:r>
      <w:proofErr w:type="gramStart"/>
      <w:r>
        <w:rPr>
          <w:bCs/>
          <w:szCs w:val="22"/>
        </w:rPr>
        <w:t>is by definition, a</w:t>
      </w:r>
      <w:proofErr w:type="gramEnd"/>
      <w:r>
        <w:rPr>
          <w:bCs/>
          <w:szCs w:val="22"/>
        </w:rPr>
        <w:t xml:space="preserve"> type of MPDU) that contains a Frame Body.  </w:t>
      </w:r>
    </w:p>
    <w:p w14:paraId="3DDA5E82" w14:textId="77777777" w:rsidR="007E44C0" w:rsidRDefault="007E44C0" w:rsidP="00E507EF">
      <w:pPr>
        <w:rPr>
          <w:bCs/>
          <w:szCs w:val="22"/>
        </w:rPr>
      </w:pPr>
    </w:p>
    <w:p w14:paraId="777668AD" w14:textId="510C8811" w:rsidR="006607CB" w:rsidRPr="007E44C0" w:rsidRDefault="007E44C0" w:rsidP="00E507EF">
      <w:pPr>
        <w:rPr>
          <w:bCs/>
          <w:noProof/>
          <w:szCs w:val="22"/>
          <w:bdr w:val="single" w:sz="8" w:space="0" w:color="auto" w:shadow="1"/>
        </w:rPr>
      </w:pPr>
      <w:r w:rsidRPr="007E44C0">
        <w:rPr>
          <w:bCs/>
          <w:noProof/>
          <w:szCs w:val="22"/>
          <w:bdr w:val="single" w:sz="8" w:space="0" w:color="auto" w:shadow="1"/>
        </w:rPr>
        <w:drawing>
          <wp:inline distT="0" distB="0" distL="0" distR="0" wp14:anchorId="3A201253" wp14:editId="0415BD51">
            <wp:extent cx="6103620" cy="1288415"/>
            <wp:effectExtent l="0" t="0" r="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3620" cy="1288415"/>
                    </a:xfrm>
                    <a:prstGeom prst="rect">
                      <a:avLst/>
                    </a:prstGeom>
                    <a:noFill/>
                    <a:ln>
                      <a:noFill/>
                    </a:ln>
                  </pic:spPr>
                </pic:pic>
              </a:graphicData>
            </a:graphic>
          </wp:inline>
        </w:drawing>
      </w:r>
    </w:p>
    <w:p w14:paraId="71D59044" w14:textId="71A41538" w:rsidR="007E44C0" w:rsidRPr="007E44C0" w:rsidRDefault="007E44C0" w:rsidP="00E507EF">
      <w:pPr>
        <w:rPr>
          <w:bCs/>
          <w:noProof/>
          <w:szCs w:val="22"/>
          <w:bdr w:val="single" w:sz="8" w:space="0" w:color="auto" w:shadow="1"/>
        </w:rPr>
      </w:pPr>
      <w:r w:rsidRPr="007E44C0">
        <w:rPr>
          <w:bCs/>
          <w:noProof/>
          <w:szCs w:val="22"/>
          <w:bdr w:val="single" w:sz="8" w:space="0" w:color="auto" w:shadow="1"/>
        </w:rPr>
        <w:drawing>
          <wp:inline distT="0" distB="0" distL="0" distR="0" wp14:anchorId="36F2C742" wp14:editId="43C4D820">
            <wp:extent cx="6003290" cy="1104265"/>
            <wp:effectExtent l="0" t="0" r="0" b="63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3290" cy="1104265"/>
                    </a:xfrm>
                    <a:prstGeom prst="rect">
                      <a:avLst/>
                    </a:prstGeom>
                    <a:noFill/>
                    <a:ln>
                      <a:noFill/>
                    </a:ln>
                  </pic:spPr>
                </pic:pic>
              </a:graphicData>
            </a:graphic>
          </wp:inline>
        </w:drawing>
      </w:r>
    </w:p>
    <w:p w14:paraId="5F4FBAE3" w14:textId="6D2AB4A2" w:rsidR="007E44C0" w:rsidRDefault="007E44C0" w:rsidP="00E507EF">
      <w:pPr>
        <w:rPr>
          <w:bCs/>
          <w:szCs w:val="22"/>
        </w:rPr>
      </w:pPr>
    </w:p>
    <w:p w14:paraId="09E26603" w14:textId="66D83347" w:rsidR="007E44C0" w:rsidRDefault="007E44C0" w:rsidP="007E44C0">
      <w:pPr>
        <w:rPr>
          <w:bCs/>
          <w:szCs w:val="22"/>
        </w:rPr>
      </w:pPr>
      <w:r>
        <w:rPr>
          <w:bCs/>
          <w:szCs w:val="22"/>
        </w:rPr>
        <w:t>The management frame’s Frame Body is not described as carrying an MMPDU, but conceptually the “fields and elements … defined for each management frame subtype” comprise the “unit of data exchanged between two peer MAC entities … to implement the MAC management protocol”, which is the definition of MMPDU</w:t>
      </w:r>
      <w:r w:rsidR="00657F60">
        <w:rPr>
          <w:bCs/>
          <w:szCs w:val="22"/>
        </w:rPr>
        <w:t xml:space="preserve"> (see below)</w:t>
      </w:r>
      <w:r>
        <w:rPr>
          <w:bCs/>
          <w:szCs w:val="22"/>
        </w:rPr>
        <w:t>.</w:t>
      </w:r>
      <w:r w:rsidR="00657F60">
        <w:rPr>
          <w:bCs/>
          <w:szCs w:val="22"/>
        </w:rPr>
        <w:t xml:space="preserve">  So, this is roughly equivalent.</w:t>
      </w:r>
    </w:p>
    <w:p w14:paraId="1A60AD3B" w14:textId="749FCEAF" w:rsidR="007E44C0" w:rsidRDefault="007E44C0" w:rsidP="00E507EF">
      <w:pPr>
        <w:rPr>
          <w:bCs/>
          <w:szCs w:val="22"/>
        </w:rPr>
      </w:pPr>
    </w:p>
    <w:p w14:paraId="31C8FF71" w14:textId="7E5F6DA2" w:rsidR="007E44C0" w:rsidRPr="007E44C0" w:rsidRDefault="007E44C0" w:rsidP="00E507EF">
      <w:pPr>
        <w:rPr>
          <w:bCs/>
          <w:noProof/>
          <w:szCs w:val="22"/>
          <w:bdr w:val="single" w:sz="8" w:space="0" w:color="auto" w:shadow="1"/>
        </w:rPr>
      </w:pPr>
      <w:r w:rsidRPr="007E44C0">
        <w:rPr>
          <w:bCs/>
          <w:noProof/>
          <w:szCs w:val="22"/>
          <w:bdr w:val="single" w:sz="8" w:space="0" w:color="auto" w:shadow="1"/>
        </w:rPr>
        <w:lastRenderedPageBreak/>
        <w:drawing>
          <wp:inline distT="0" distB="0" distL="0" distR="0" wp14:anchorId="1E15E3F8" wp14:editId="6316D7BE">
            <wp:extent cx="6003290" cy="492760"/>
            <wp:effectExtent l="0" t="0" r="0" b="254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03290" cy="492760"/>
                    </a:xfrm>
                    <a:prstGeom prst="rect">
                      <a:avLst/>
                    </a:prstGeom>
                    <a:noFill/>
                    <a:ln>
                      <a:noFill/>
                    </a:ln>
                  </pic:spPr>
                </pic:pic>
              </a:graphicData>
            </a:graphic>
          </wp:inline>
        </w:drawing>
      </w:r>
    </w:p>
    <w:p w14:paraId="1DDD8ED4" w14:textId="29C258D6" w:rsidR="007E44C0" w:rsidRDefault="007E44C0" w:rsidP="00E507EF">
      <w:pPr>
        <w:rPr>
          <w:bCs/>
          <w:szCs w:val="22"/>
        </w:rPr>
      </w:pPr>
    </w:p>
    <w:p w14:paraId="1FD6C5E9" w14:textId="5946C736" w:rsidR="007E44C0" w:rsidRDefault="007E44C0" w:rsidP="00E507EF">
      <w:pPr>
        <w:rPr>
          <w:bCs/>
          <w:szCs w:val="22"/>
        </w:rPr>
      </w:pPr>
      <w:r>
        <w:rPr>
          <w:bCs/>
          <w:szCs w:val="22"/>
        </w:rPr>
        <w:t>So, agree with the commenter that the simplest way to describe this Frame Body is that it is the same Frame Body that would be in a management MPDU that conceptually is carrying the MMPDU.</w:t>
      </w:r>
    </w:p>
    <w:p w14:paraId="0B553544" w14:textId="5EE93297" w:rsidR="007E44C0" w:rsidRDefault="007E44C0" w:rsidP="00E507EF">
      <w:pPr>
        <w:rPr>
          <w:bCs/>
          <w:szCs w:val="22"/>
        </w:rPr>
      </w:pPr>
    </w:p>
    <w:p w14:paraId="3346B03C" w14:textId="4CA5B6D8" w:rsidR="007E44C0" w:rsidRDefault="007E44C0" w:rsidP="00E507EF">
      <w:pPr>
        <w:rPr>
          <w:bCs/>
          <w:szCs w:val="22"/>
        </w:rPr>
      </w:pPr>
      <w:r w:rsidRPr="007E44C0">
        <w:rPr>
          <w:bCs/>
          <w:szCs w:val="22"/>
          <w:highlight w:val="yellow"/>
          <w:u w:val="single"/>
        </w:rPr>
        <w:t>Proposed Resolution:</w:t>
      </w:r>
    </w:p>
    <w:p w14:paraId="0C645E07" w14:textId="0177F90E" w:rsidR="007E44C0" w:rsidRDefault="007E44C0" w:rsidP="00E507EF">
      <w:pPr>
        <w:rPr>
          <w:bCs/>
          <w:szCs w:val="22"/>
        </w:rPr>
      </w:pPr>
    </w:p>
    <w:p w14:paraId="729A3EA3" w14:textId="7C52210F" w:rsidR="007E44C0" w:rsidRDefault="007E44C0" w:rsidP="00E507EF">
      <w:pPr>
        <w:rPr>
          <w:bCs/>
          <w:szCs w:val="22"/>
        </w:rPr>
      </w:pPr>
      <w:r>
        <w:rPr>
          <w:bCs/>
          <w:szCs w:val="22"/>
        </w:rPr>
        <w:t>Accepted.</w:t>
      </w:r>
    </w:p>
    <w:p w14:paraId="75CB2D4A" w14:textId="77777777" w:rsidR="007E44C0" w:rsidRPr="007E44C0" w:rsidRDefault="007E44C0" w:rsidP="00E507EF">
      <w:pPr>
        <w:rPr>
          <w:bCs/>
          <w:szCs w:val="22"/>
        </w:rPr>
      </w:pPr>
    </w:p>
    <w:p w14:paraId="066DCB7B" w14:textId="77777777" w:rsidR="00377D83" w:rsidRDefault="003B03DD" w:rsidP="00E507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77D83" w14:paraId="5AB475F4"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D23D1F3"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23A2DD2"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CFCA343"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10103D"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A4BD844"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77D83" w:rsidRPr="00DE7477" w14:paraId="021D9DE0" w14:textId="77777777" w:rsidTr="005C22F6">
        <w:trPr>
          <w:trHeight w:val="1275"/>
        </w:trPr>
        <w:tc>
          <w:tcPr>
            <w:tcW w:w="738" w:type="dxa"/>
            <w:hideMark/>
          </w:tcPr>
          <w:p w14:paraId="581DF5E5"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4642</w:t>
            </w:r>
          </w:p>
        </w:tc>
        <w:tc>
          <w:tcPr>
            <w:tcW w:w="990" w:type="dxa"/>
            <w:hideMark/>
          </w:tcPr>
          <w:p w14:paraId="106F2D62"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142CBE41"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138B7931"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The MAC can't determine whether the dot11BeamTrackingTimeLimit came from the SME, the MAC or the default</w:t>
            </w:r>
          </w:p>
        </w:tc>
        <w:tc>
          <w:tcPr>
            <w:tcW w:w="3600" w:type="dxa"/>
            <w:hideMark/>
          </w:tcPr>
          <w:p w14:paraId="68B4FB67"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Delete "from the SME" at 2061.54, "from SME" at 2062.5</w:t>
            </w:r>
          </w:p>
        </w:tc>
      </w:tr>
    </w:tbl>
    <w:p w14:paraId="69C6500A" w14:textId="453E4CBA" w:rsidR="00A80A0D" w:rsidRDefault="00A80A0D" w:rsidP="00E507EF">
      <w:pPr>
        <w:rPr>
          <w:bCs/>
          <w:szCs w:val="22"/>
        </w:rPr>
      </w:pPr>
    </w:p>
    <w:p w14:paraId="021257D0" w14:textId="7F39137F" w:rsidR="00377D83" w:rsidRDefault="00377D83" w:rsidP="00E507EF">
      <w:pPr>
        <w:rPr>
          <w:bCs/>
          <w:szCs w:val="22"/>
        </w:rPr>
      </w:pPr>
      <w:r>
        <w:rPr>
          <w:bCs/>
          <w:szCs w:val="22"/>
          <w:u w:val="single"/>
        </w:rPr>
        <w:t>Discussion:</w:t>
      </w:r>
    </w:p>
    <w:p w14:paraId="4BADDF4E" w14:textId="3C790A2C" w:rsidR="00377D83" w:rsidRDefault="00377D83" w:rsidP="00E507EF">
      <w:pPr>
        <w:rPr>
          <w:bCs/>
          <w:szCs w:val="22"/>
        </w:rPr>
      </w:pPr>
    </w:p>
    <w:p w14:paraId="0A87FE9F" w14:textId="36E6CC3B" w:rsidR="00320576" w:rsidRPr="00320576" w:rsidRDefault="00320576" w:rsidP="00E507EF">
      <w:pPr>
        <w:rPr>
          <w:bCs/>
          <w:noProof/>
          <w:szCs w:val="22"/>
          <w:bdr w:val="single" w:sz="8" w:space="0" w:color="auto" w:shadow="1"/>
        </w:rPr>
      </w:pPr>
      <w:r w:rsidRPr="00320576">
        <w:rPr>
          <w:bCs/>
          <w:noProof/>
          <w:szCs w:val="22"/>
          <w:bdr w:val="single" w:sz="8" w:space="0" w:color="auto" w:shadow="1"/>
        </w:rPr>
        <w:drawing>
          <wp:inline distT="0" distB="0" distL="0" distR="0" wp14:anchorId="3D5135BC" wp14:editId="7373A751">
            <wp:extent cx="5962650" cy="695325"/>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62650" cy="695325"/>
                    </a:xfrm>
                    <a:prstGeom prst="rect">
                      <a:avLst/>
                    </a:prstGeom>
                    <a:noFill/>
                    <a:ln>
                      <a:noFill/>
                    </a:ln>
                  </pic:spPr>
                </pic:pic>
              </a:graphicData>
            </a:graphic>
          </wp:inline>
        </w:drawing>
      </w:r>
    </w:p>
    <w:p w14:paraId="12E4D57D" w14:textId="4F35CC5F" w:rsidR="00320576" w:rsidRDefault="00320576" w:rsidP="00E507EF">
      <w:pPr>
        <w:rPr>
          <w:bCs/>
          <w:szCs w:val="22"/>
        </w:rPr>
      </w:pPr>
    </w:p>
    <w:p w14:paraId="5DEE49A7" w14:textId="57EC05AD" w:rsidR="00320576" w:rsidRDefault="00320576" w:rsidP="00E507EF">
      <w:pPr>
        <w:rPr>
          <w:bCs/>
          <w:szCs w:val="22"/>
        </w:rPr>
      </w:pPr>
      <w:r>
        <w:rPr>
          <w:bCs/>
          <w:szCs w:val="22"/>
        </w:rPr>
        <w:t>Agree with the commenter.</w:t>
      </w:r>
    </w:p>
    <w:p w14:paraId="14A296A4" w14:textId="3C79CE6C" w:rsidR="00320576" w:rsidRDefault="00320576" w:rsidP="00E507EF">
      <w:pPr>
        <w:rPr>
          <w:bCs/>
          <w:szCs w:val="22"/>
        </w:rPr>
      </w:pPr>
    </w:p>
    <w:p w14:paraId="27F0CB98" w14:textId="62C2DA2B" w:rsidR="00320576" w:rsidRPr="00320576" w:rsidRDefault="00320576" w:rsidP="00E507EF">
      <w:pPr>
        <w:rPr>
          <w:bCs/>
          <w:noProof/>
          <w:szCs w:val="22"/>
          <w:bdr w:val="single" w:sz="8" w:space="0" w:color="auto" w:shadow="1"/>
        </w:rPr>
      </w:pPr>
      <w:r w:rsidRPr="00320576">
        <w:rPr>
          <w:bCs/>
          <w:noProof/>
          <w:szCs w:val="22"/>
          <w:bdr w:val="single" w:sz="8" w:space="0" w:color="auto" w:shadow="1"/>
        </w:rPr>
        <w:drawing>
          <wp:inline distT="0" distB="0" distL="0" distR="0" wp14:anchorId="3EB185B7" wp14:editId="5A2BF0D4">
            <wp:extent cx="6068060" cy="3058160"/>
            <wp:effectExtent l="0" t="0" r="8890" b="889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8060" cy="3058160"/>
                    </a:xfrm>
                    <a:prstGeom prst="rect">
                      <a:avLst/>
                    </a:prstGeom>
                    <a:noFill/>
                    <a:ln>
                      <a:noFill/>
                    </a:ln>
                  </pic:spPr>
                </pic:pic>
              </a:graphicData>
            </a:graphic>
          </wp:inline>
        </w:drawing>
      </w:r>
    </w:p>
    <w:p w14:paraId="554E2E38" w14:textId="587FB9C2" w:rsidR="00320576" w:rsidRDefault="00320576" w:rsidP="00E507EF">
      <w:pPr>
        <w:rPr>
          <w:bCs/>
          <w:szCs w:val="22"/>
        </w:rPr>
      </w:pPr>
    </w:p>
    <w:p w14:paraId="37062FA1" w14:textId="30C03CDA" w:rsidR="00320576" w:rsidRDefault="00320576" w:rsidP="00E507EF">
      <w:pPr>
        <w:rPr>
          <w:bCs/>
          <w:szCs w:val="22"/>
        </w:rPr>
      </w:pPr>
      <w:r>
        <w:rPr>
          <w:bCs/>
          <w:szCs w:val="22"/>
        </w:rPr>
        <w:t>Agree with the commenter.</w:t>
      </w:r>
    </w:p>
    <w:p w14:paraId="59EB378F" w14:textId="2FBF43EA" w:rsidR="00320576" w:rsidRDefault="00320576" w:rsidP="00E507EF">
      <w:pPr>
        <w:rPr>
          <w:bCs/>
          <w:szCs w:val="22"/>
        </w:rPr>
      </w:pPr>
    </w:p>
    <w:p w14:paraId="579D2F1D" w14:textId="5FE0346B" w:rsidR="00320576" w:rsidRDefault="00320576" w:rsidP="00E507EF">
      <w:pPr>
        <w:rPr>
          <w:bCs/>
          <w:szCs w:val="22"/>
        </w:rPr>
      </w:pPr>
      <w:r w:rsidRPr="00320576">
        <w:rPr>
          <w:bCs/>
          <w:szCs w:val="22"/>
          <w:highlight w:val="yellow"/>
          <w:u w:val="single"/>
        </w:rPr>
        <w:t>Proposed Resolution:</w:t>
      </w:r>
    </w:p>
    <w:p w14:paraId="3747C6F0" w14:textId="57A7A566" w:rsidR="00320576" w:rsidRDefault="00320576" w:rsidP="00E507EF">
      <w:pPr>
        <w:rPr>
          <w:bCs/>
          <w:szCs w:val="22"/>
        </w:rPr>
      </w:pPr>
    </w:p>
    <w:p w14:paraId="55812D71" w14:textId="50000E67" w:rsidR="00320576" w:rsidRPr="00320576" w:rsidRDefault="00320576" w:rsidP="00E507EF">
      <w:pPr>
        <w:rPr>
          <w:bCs/>
          <w:szCs w:val="22"/>
        </w:rPr>
      </w:pPr>
      <w:r>
        <w:rPr>
          <w:bCs/>
          <w:szCs w:val="22"/>
        </w:rPr>
        <w:t>Accepted.</w:t>
      </w:r>
    </w:p>
    <w:p w14:paraId="76CD3B81" w14:textId="77777777" w:rsidR="00D17C5D" w:rsidRDefault="00377D8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17C5D" w14:paraId="5CB4FB8C"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A70AAE4"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F58BD61"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5A65EFD4"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3AE7DB2"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2818DBCC" w14:textId="77777777" w:rsidR="00D17C5D" w:rsidRDefault="00D17C5D"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17C5D" w:rsidRPr="00DE7477" w14:paraId="2249FB5D" w14:textId="77777777" w:rsidTr="005C22F6">
        <w:trPr>
          <w:trHeight w:val="1530"/>
        </w:trPr>
        <w:tc>
          <w:tcPr>
            <w:tcW w:w="738" w:type="dxa"/>
            <w:hideMark/>
          </w:tcPr>
          <w:p w14:paraId="26230CEB" w14:textId="77777777" w:rsidR="00D17C5D" w:rsidRPr="00DE7477" w:rsidRDefault="00D17C5D" w:rsidP="005C22F6">
            <w:pPr>
              <w:jc w:val="right"/>
              <w:rPr>
                <w:rFonts w:ascii="Arial" w:eastAsia="Times New Roman" w:hAnsi="Arial" w:cs="Arial"/>
                <w:sz w:val="20"/>
                <w:lang w:val="en-US"/>
              </w:rPr>
            </w:pPr>
            <w:r w:rsidRPr="00DE7477">
              <w:rPr>
                <w:rFonts w:ascii="Arial" w:eastAsia="Times New Roman" w:hAnsi="Arial" w:cs="Arial"/>
                <w:sz w:val="20"/>
                <w:lang w:val="en-US"/>
              </w:rPr>
              <w:t>4555</w:t>
            </w:r>
          </w:p>
        </w:tc>
        <w:tc>
          <w:tcPr>
            <w:tcW w:w="990" w:type="dxa"/>
            <w:hideMark/>
          </w:tcPr>
          <w:p w14:paraId="29B34BCB" w14:textId="77777777" w:rsidR="00D17C5D" w:rsidRPr="00DE7477" w:rsidRDefault="00D17C5D" w:rsidP="005C22F6">
            <w:pPr>
              <w:jc w:val="right"/>
              <w:rPr>
                <w:rFonts w:ascii="Arial" w:eastAsia="Times New Roman" w:hAnsi="Arial" w:cs="Arial"/>
                <w:sz w:val="20"/>
                <w:lang w:val="en-US"/>
              </w:rPr>
            </w:pPr>
            <w:r w:rsidRPr="00DE7477">
              <w:rPr>
                <w:rFonts w:ascii="Arial" w:eastAsia="Times New Roman" w:hAnsi="Arial" w:cs="Arial"/>
                <w:sz w:val="20"/>
                <w:lang w:val="en-US"/>
              </w:rPr>
              <w:t>1721.54</w:t>
            </w:r>
          </w:p>
        </w:tc>
        <w:tc>
          <w:tcPr>
            <w:tcW w:w="1080" w:type="dxa"/>
            <w:hideMark/>
          </w:tcPr>
          <w:p w14:paraId="5E6F7BF8" w14:textId="77777777" w:rsidR="00D17C5D" w:rsidRPr="00DE7477" w:rsidRDefault="00D17C5D" w:rsidP="005C22F6">
            <w:pPr>
              <w:rPr>
                <w:rFonts w:ascii="Arial" w:eastAsia="Times New Roman" w:hAnsi="Arial" w:cs="Arial"/>
                <w:sz w:val="20"/>
                <w:lang w:val="en-US"/>
              </w:rPr>
            </w:pPr>
            <w:r w:rsidRPr="00DE7477">
              <w:rPr>
                <w:rFonts w:ascii="Arial" w:eastAsia="Times New Roman" w:hAnsi="Arial" w:cs="Arial"/>
                <w:sz w:val="20"/>
                <w:lang w:val="en-US"/>
              </w:rPr>
              <w:t>10.2.6</w:t>
            </w:r>
          </w:p>
        </w:tc>
        <w:tc>
          <w:tcPr>
            <w:tcW w:w="3600" w:type="dxa"/>
            <w:hideMark/>
          </w:tcPr>
          <w:p w14:paraId="75F3AF09" w14:textId="77777777" w:rsidR="00D17C5D" w:rsidRPr="00DE7477" w:rsidRDefault="00D17C5D" w:rsidP="005C22F6">
            <w:pPr>
              <w:rPr>
                <w:rFonts w:ascii="Arial" w:eastAsia="Times New Roman" w:hAnsi="Arial" w:cs="Arial"/>
                <w:sz w:val="20"/>
                <w:lang w:val="en-US"/>
              </w:rPr>
            </w:pPr>
            <w:r w:rsidRPr="00DE7477">
              <w:rPr>
                <w:rFonts w:ascii="Arial" w:eastAsia="Times New Roman" w:hAnsi="Arial" w:cs="Arial"/>
                <w:sz w:val="20"/>
                <w:lang w:val="en-US"/>
              </w:rPr>
              <w:t>"increasing the probability of successful transmission (as defined in 10.2.2 (DCF))" -- 10.2.2 doesn't define successful transmission (this seems to be defined in 3.2</w:t>
            </w:r>
          </w:p>
        </w:tc>
        <w:tc>
          <w:tcPr>
            <w:tcW w:w="3600" w:type="dxa"/>
            <w:hideMark/>
          </w:tcPr>
          <w:p w14:paraId="208ED339" w14:textId="77777777" w:rsidR="00D17C5D" w:rsidRPr="00DE7477" w:rsidRDefault="00D17C5D" w:rsidP="005C22F6">
            <w:pPr>
              <w:rPr>
                <w:rFonts w:ascii="Arial" w:eastAsia="Times New Roman" w:hAnsi="Arial" w:cs="Arial"/>
                <w:sz w:val="20"/>
                <w:lang w:val="en-US"/>
              </w:rPr>
            </w:pPr>
            <w:r w:rsidRPr="00DE7477">
              <w:rPr>
                <w:rFonts w:ascii="Arial" w:eastAsia="Times New Roman" w:hAnsi="Arial" w:cs="Arial"/>
                <w:sz w:val="20"/>
                <w:lang w:val="en-US"/>
              </w:rPr>
              <w:t>Delete the parenthetical</w:t>
            </w:r>
          </w:p>
        </w:tc>
      </w:tr>
    </w:tbl>
    <w:p w14:paraId="41280E74" w14:textId="0B3CE778" w:rsidR="00377D83" w:rsidRDefault="00377D83">
      <w:pPr>
        <w:rPr>
          <w:bCs/>
          <w:szCs w:val="22"/>
        </w:rPr>
      </w:pPr>
    </w:p>
    <w:p w14:paraId="3A88A16A" w14:textId="5397B279" w:rsidR="00D17C5D" w:rsidRDefault="00D17C5D">
      <w:pPr>
        <w:rPr>
          <w:bCs/>
          <w:szCs w:val="22"/>
        </w:rPr>
      </w:pPr>
      <w:r>
        <w:rPr>
          <w:bCs/>
          <w:szCs w:val="22"/>
          <w:u w:val="single"/>
        </w:rPr>
        <w:t>Discussion:</w:t>
      </w:r>
    </w:p>
    <w:p w14:paraId="7DA6AA23" w14:textId="647ED57A" w:rsidR="00D17C5D" w:rsidRDefault="00D17C5D">
      <w:pPr>
        <w:rPr>
          <w:bCs/>
          <w:szCs w:val="22"/>
        </w:rPr>
      </w:pPr>
    </w:p>
    <w:p w14:paraId="70D09212" w14:textId="37A75BD6" w:rsidR="00D17C5D" w:rsidRPr="002976D8" w:rsidRDefault="002976D8">
      <w:pPr>
        <w:rPr>
          <w:bCs/>
          <w:noProof/>
          <w:szCs w:val="22"/>
          <w:bdr w:val="single" w:sz="8" w:space="0" w:color="auto" w:shadow="1"/>
        </w:rPr>
      </w:pPr>
      <w:r>
        <w:rPr>
          <w:bCs/>
          <w:noProof/>
          <w:szCs w:val="22"/>
        </w:rPr>
        <mc:AlternateContent>
          <mc:Choice Requires="wpi">
            <w:drawing>
              <wp:anchor distT="0" distB="0" distL="114300" distR="114300" simplePos="0" relativeHeight="251663360" behindDoc="0" locked="0" layoutInCell="1" allowOverlap="1" wp14:anchorId="2A7AFE2E" wp14:editId="1CD5370E">
                <wp:simplePos x="0" y="0"/>
                <wp:positionH relativeFrom="column">
                  <wp:posOffset>3828607</wp:posOffset>
                </wp:positionH>
                <wp:positionV relativeFrom="paragraph">
                  <wp:posOffset>383011</wp:posOffset>
                </wp:positionV>
                <wp:extent cx="1365480" cy="38160"/>
                <wp:effectExtent l="95250" t="152400" r="101600" b="152400"/>
                <wp:wrapNone/>
                <wp:docPr id="309" name="Ink 309"/>
                <wp:cNvGraphicFramePr/>
                <a:graphic xmlns:a="http://schemas.openxmlformats.org/drawingml/2006/main">
                  <a:graphicData uri="http://schemas.microsoft.com/office/word/2010/wordprocessingInk">
                    <w14:contentPart bwMode="auto" r:id="rId31">
                      <w14:nvContentPartPr>
                        <w14:cNvContentPartPr/>
                      </w14:nvContentPartPr>
                      <w14:xfrm>
                        <a:off x="0" y="0"/>
                        <a:ext cx="1365480" cy="38160"/>
                      </w14:xfrm>
                    </w14:contentPart>
                  </a:graphicData>
                </a:graphic>
              </wp:anchor>
            </w:drawing>
          </mc:Choice>
          <mc:Fallback>
            <w:pict>
              <v:shape w14:anchorId="5A6927F4" id="Ink 309" o:spid="_x0000_s1026" type="#_x0000_t75" style="position:absolute;margin-left:297.2pt;margin-top:21.65pt;width:116pt;height:20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">
                <v:imagedata r:id="rId32" o:title=""/>
              </v:shape>
            </w:pict>
          </mc:Fallback>
        </mc:AlternateContent>
      </w:r>
      <w:r w:rsidRPr="002976D8">
        <w:rPr>
          <w:bCs/>
          <w:noProof/>
          <w:szCs w:val="22"/>
          <w:bdr w:val="single" w:sz="8" w:space="0" w:color="auto" w:shadow="1"/>
        </w:rPr>
        <w:drawing>
          <wp:inline distT="0" distB="0" distL="0" distR="0" wp14:anchorId="45B04FE3" wp14:editId="5C975666">
            <wp:extent cx="6026785" cy="132397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6785" cy="1323975"/>
                    </a:xfrm>
                    <a:prstGeom prst="rect">
                      <a:avLst/>
                    </a:prstGeom>
                    <a:noFill/>
                    <a:ln>
                      <a:noFill/>
                    </a:ln>
                  </pic:spPr>
                </pic:pic>
              </a:graphicData>
            </a:graphic>
          </wp:inline>
        </w:drawing>
      </w:r>
    </w:p>
    <w:p w14:paraId="3F26959B" w14:textId="3975815A" w:rsidR="00D17C5D" w:rsidRDefault="00D17C5D">
      <w:pPr>
        <w:rPr>
          <w:bCs/>
          <w:szCs w:val="22"/>
        </w:rPr>
      </w:pPr>
    </w:p>
    <w:p w14:paraId="6BF02D8A" w14:textId="2A76140B" w:rsidR="002976D8" w:rsidRDefault="001A1B4F">
      <w:pPr>
        <w:rPr>
          <w:bCs/>
          <w:szCs w:val="22"/>
        </w:rPr>
      </w:pPr>
      <w:r>
        <w:rPr>
          <w:bCs/>
          <w:szCs w:val="22"/>
        </w:rPr>
        <w:t>Agree with the commenter, this concept has been moved to the definitions (subclause 3.2):</w:t>
      </w:r>
    </w:p>
    <w:p w14:paraId="0EEBA438" w14:textId="0107B0FE" w:rsidR="001A1B4F" w:rsidRDefault="001A1B4F">
      <w:pPr>
        <w:rPr>
          <w:bCs/>
          <w:szCs w:val="22"/>
        </w:rPr>
      </w:pPr>
    </w:p>
    <w:p w14:paraId="1F1DC00A" w14:textId="3FBD4ECE" w:rsidR="001A1B4F" w:rsidRPr="001A1B4F" w:rsidRDefault="001A1B4F">
      <w:pPr>
        <w:rPr>
          <w:bCs/>
          <w:noProof/>
          <w:szCs w:val="22"/>
          <w:bdr w:val="single" w:sz="8" w:space="0" w:color="auto" w:shadow="1"/>
        </w:rPr>
      </w:pPr>
      <w:r w:rsidRPr="001A1B4F">
        <w:rPr>
          <w:bCs/>
          <w:noProof/>
          <w:szCs w:val="22"/>
          <w:bdr w:val="single" w:sz="8" w:space="0" w:color="auto" w:shadow="1"/>
        </w:rPr>
        <w:drawing>
          <wp:inline distT="0" distB="0" distL="0" distR="0" wp14:anchorId="7BF82454" wp14:editId="0AB79434">
            <wp:extent cx="6021070" cy="42735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21070" cy="427355"/>
                    </a:xfrm>
                    <a:prstGeom prst="rect">
                      <a:avLst/>
                    </a:prstGeom>
                    <a:noFill/>
                    <a:ln>
                      <a:noFill/>
                    </a:ln>
                  </pic:spPr>
                </pic:pic>
              </a:graphicData>
            </a:graphic>
          </wp:inline>
        </w:drawing>
      </w:r>
    </w:p>
    <w:p w14:paraId="33375032" w14:textId="5C850C5A" w:rsidR="001A1B4F" w:rsidRDefault="001A1B4F">
      <w:pPr>
        <w:rPr>
          <w:bCs/>
          <w:szCs w:val="22"/>
        </w:rPr>
      </w:pPr>
    </w:p>
    <w:p w14:paraId="7737B887" w14:textId="19ADD683" w:rsidR="001A1B4F" w:rsidRDefault="001A1B4F">
      <w:pPr>
        <w:rPr>
          <w:bCs/>
          <w:szCs w:val="22"/>
        </w:rPr>
      </w:pPr>
      <w:r w:rsidRPr="001A1B4F">
        <w:rPr>
          <w:bCs/>
          <w:szCs w:val="22"/>
          <w:highlight w:val="yellow"/>
          <w:u w:val="single"/>
        </w:rPr>
        <w:t>Proposed Resolution:</w:t>
      </w:r>
    </w:p>
    <w:p w14:paraId="3D0B0D5F" w14:textId="6C0CCEAD" w:rsidR="001A1B4F" w:rsidRDefault="001A1B4F">
      <w:pPr>
        <w:rPr>
          <w:bCs/>
          <w:szCs w:val="22"/>
        </w:rPr>
      </w:pPr>
    </w:p>
    <w:p w14:paraId="4261A288" w14:textId="4A1BCC66" w:rsidR="001A1B4F" w:rsidRPr="001A1B4F" w:rsidRDefault="001A1B4F">
      <w:pPr>
        <w:rPr>
          <w:bCs/>
          <w:szCs w:val="22"/>
        </w:rPr>
      </w:pPr>
      <w:r>
        <w:rPr>
          <w:bCs/>
          <w:szCs w:val="22"/>
        </w:rPr>
        <w:t>Accepted.</w:t>
      </w:r>
    </w:p>
    <w:p w14:paraId="76CDBE63" w14:textId="77777777" w:rsidR="001A1B4F" w:rsidRDefault="00D17C5D">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1A1B4F" w14:paraId="0046A153"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E0DCEAE"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02BEC6A7"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BD7952F"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88325D6"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A4F5396" w14:textId="77777777" w:rsidR="001A1B4F" w:rsidRDefault="001A1B4F"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1A1B4F" w:rsidRPr="00DE7477" w14:paraId="0167D8CB" w14:textId="77777777" w:rsidTr="005C22F6">
        <w:trPr>
          <w:trHeight w:val="510"/>
        </w:trPr>
        <w:tc>
          <w:tcPr>
            <w:tcW w:w="738" w:type="dxa"/>
            <w:hideMark/>
          </w:tcPr>
          <w:p w14:paraId="30A79BFC" w14:textId="77777777" w:rsidR="001A1B4F" w:rsidRPr="00DE7477" w:rsidRDefault="001A1B4F" w:rsidP="005C22F6">
            <w:pPr>
              <w:jc w:val="right"/>
              <w:rPr>
                <w:rFonts w:ascii="Arial" w:eastAsia="Times New Roman" w:hAnsi="Arial" w:cs="Arial"/>
                <w:sz w:val="20"/>
                <w:lang w:val="en-US"/>
              </w:rPr>
            </w:pPr>
            <w:r w:rsidRPr="00DE7477">
              <w:rPr>
                <w:rFonts w:ascii="Arial" w:eastAsia="Times New Roman" w:hAnsi="Arial" w:cs="Arial"/>
                <w:sz w:val="20"/>
                <w:lang w:val="en-US"/>
              </w:rPr>
              <w:t>4652</w:t>
            </w:r>
          </w:p>
        </w:tc>
        <w:tc>
          <w:tcPr>
            <w:tcW w:w="990" w:type="dxa"/>
            <w:hideMark/>
          </w:tcPr>
          <w:p w14:paraId="2917DA2E" w14:textId="77777777" w:rsidR="001A1B4F" w:rsidRPr="00DE7477" w:rsidRDefault="001A1B4F" w:rsidP="005C22F6">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1319F174" w14:textId="77777777" w:rsidR="001A1B4F" w:rsidRPr="00DE7477" w:rsidRDefault="001A1B4F" w:rsidP="005C22F6">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6550A157" w14:textId="77777777" w:rsidR="001A1B4F" w:rsidRPr="00DE7477" w:rsidRDefault="001A1B4F" w:rsidP="005C22F6">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614A7B44" w14:textId="77777777" w:rsidR="001A1B4F" w:rsidRPr="00DE7477" w:rsidRDefault="001A1B4F" w:rsidP="005C22F6">
            <w:pPr>
              <w:rPr>
                <w:rFonts w:ascii="Arial" w:eastAsia="Times New Roman" w:hAnsi="Arial" w:cs="Arial"/>
                <w:sz w:val="20"/>
                <w:lang w:val="en-US"/>
              </w:rPr>
            </w:pPr>
            <w:r w:rsidRPr="00DE7477">
              <w:rPr>
                <w:rFonts w:ascii="Arial" w:eastAsia="Times New Roman" w:hAnsi="Arial" w:cs="Arial"/>
                <w:sz w:val="20"/>
                <w:lang w:val="en-US"/>
              </w:rPr>
              <w:t>Change to "present"</w:t>
            </w:r>
          </w:p>
        </w:tc>
      </w:tr>
    </w:tbl>
    <w:p w14:paraId="313C53B5" w14:textId="07F4853E" w:rsidR="00D17C5D" w:rsidRDefault="00D17C5D">
      <w:pPr>
        <w:rPr>
          <w:bCs/>
          <w:szCs w:val="22"/>
        </w:rPr>
      </w:pPr>
    </w:p>
    <w:p w14:paraId="4AA8566B" w14:textId="75CB4933" w:rsidR="001A1B4F" w:rsidRDefault="001A1B4F">
      <w:pPr>
        <w:rPr>
          <w:bCs/>
          <w:szCs w:val="22"/>
        </w:rPr>
      </w:pPr>
      <w:r>
        <w:rPr>
          <w:bCs/>
          <w:szCs w:val="22"/>
          <w:u w:val="single"/>
        </w:rPr>
        <w:t>Discussion:</w:t>
      </w:r>
    </w:p>
    <w:p w14:paraId="12C429CF" w14:textId="0A849C7B" w:rsidR="001A1B4F" w:rsidRDefault="001A1B4F">
      <w:pPr>
        <w:rPr>
          <w:bCs/>
          <w:szCs w:val="22"/>
        </w:rPr>
      </w:pPr>
    </w:p>
    <w:p w14:paraId="1C73C997" w14:textId="5E9FEFEE" w:rsidR="001A1B4F" w:rsidRPr="001A1B4F" w:rsidRDefault="001A1B4F">
      <w:pPr>
        <w:rPr>
          <w:bCs/>
          <w:noProof/>
          <w:szCs w:val="22"/>
          <w:bdr w:val="single" w:sz="8" w:space="0" w:color="auto" w:shadow="1"/>
        </w:rPr>
      </w:pPr>
      <w:r w:rsidRPr="001A1B4F">
        <w:rPr>
          <w:bCs/>
          <w:noProof/>
          <w:szCs w:val="22"/>
          <w:bdr w:val="single" w:sz="8" w:space="0" w:color="auto" w:shadow="1"/>
        </w:rPr>
        <w:drawing>
          <wp:inline distT="0" distB="0" distL="0" distR="0" wp14:anchorId="1AA50868" wp14:editId="7CED4044">
            <wp:extent cx="6026785" cy="207645"/>
            <wp:effectExtent l="0" t="0" r="0" b="190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26785" cy="207645"/>
                    </a:xfrm>
                    <a:prstGeom prst="rect">
                      <a:avLst/>
                    </a:prstGeom>
                    <a:noFill/>
                    <a:ln>
                      <a:noFill/>
                    </a:ln>
                  </pic:spPr>
                </pic:pic>
              </a:graphicData>
            </a:graphic>
          </wp:inline>
        </w:drawing>
      </w:r>
    </w:p>
    <w:p w14:paraId="38C45654" w14:textId="65959BAF" w:rsidR="001A1B4F" w:rsidRPr="001A1B4F" w:rsidRDefault="001A1B4F">
      <w:pPr>
        <w:rPr>
          <w:bCs/>
          <w:noProof/>
          <w:szCs w:val="22"/>
          <w:bdr w:val="single" w:sz="8" w:space="0" w:color="auto" w:shadow="1"/>
        </w:rPr>
      </w:pPr>
      <w:r>
        <w:rPr>
          <w:bCs/>
          <w:noProof/>
          <w:szCs w:val="22"/>
        </w:rPr>
        <mc:AlternateContent>
          <mc:Choice Requires="wpi">
            <w:drawing>
              <wp:anchor distT="0" distB="0" distL="114300" distR="114300" simplePos="0" relativeHeight="251664384" behindDoc="0" locked="0" layoutInCell="1" allowOverlap="1" wp14:anchorId="37827C1D" wp14:editId="3B1FDCE1">
                <wp:simplePos x="0" y="0"/>
                <wp:positionH relativeFrom="column">
                  <wp:posOffset>4891327</wp:posOffset>
                </wp:positionH>
                <wp:positionV relativeFrom="paragraph">
                  <wp:posOffset>2101239</wp:posOffset>
                </wp:positionV>
                <wp:extent cx="902880" cy="41760"/>
                <wp:effectExtent l="95250" t="152400" r="107315" b="168275"/>
                <wp:wrapNone/>
                <wp:docPr id="313" name="Ink 313"/>
                <wp:cNvGraphicFramePr/>
                <a:graphic xmlns:a="http://schemas.openxmlformats.org/drawingml/2006/main">
                  <a:graphicData uri="http://schemas.microsoft.com/office/word/2010/wordprocessingInk">
                    <w14:contentPart bwMode="auto" r:id="rId36">
                      <w14:nvContentPartPr>
                        <w14:cNvContentPartPr/>
                      </w14:nvContentPartPr>
                      <w14:xfrm>
                        <a:off x="0" y="0"/>
                        <a:ext cx="902880" cy="41760"/>
                      </w14:xfrm>
                    </w14:contentPart>
                  </a:graphicData>
                </a:graphic>
              </wp:anchor>
            </w:drawing>
          </mc:Choice>
          <mc:Fallback>
            <w:pict>
              <v:shape w14:anchorId="6E201B15" id="Ink 313" o:spid="_x0000_s1026" type="#_x0000_t75" style="position:absolute;margin-left:380.9pt;margin-top:156.95pt;width:79.6pt;height:20.3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">
                <v:imagedata r:id="rId37" o:title=""/>
              </v:shape>
            </w:pict>
          </mc:Fallback>
        </mc:AlternateContent>
      </w:r>
      <w:r w:rsidRPr="001A1B4F">
        <w:rPr>
          <w:bCs/>
          <w:noProof/>
          <w:szCs w:val="22"/>
          <w:bdr w:val="single" w:sz="8" w:space="0" w:color="auto" w:shadow="1"/>
        </w:rPr>
        <w:drawing>
          <wp:inline distT="0" distB="0" distL="0" distR="0" wp14:anchorId="0EB0A929" wp14:editId="7014A40A">
            <wp:extent cx="6038850" cy="2416810"/>
            <wp:effectExtent l="0" t="0" r="0" b="254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38850" cy="2416810"/>
                    </a:xfrm>
                    <a:prstGeom prst="rect">
                      <a:avLst/>
                    </a:prstGeom>
                    <a:noFill/>
                    <a:ln>
                      <a:noFill/>
                    </a:ln>
                  </pic:spPr>
                </pic:pic>
              </a:graphicData>
            </a:graphic>
          </wp:inline>
        </w:drawing>
      </w:r>
    </w:p>
    <w:p w14:paraId="02C574BD" w14:textId="29BB7096" w:rsidR="001A1B4F" w:rsidRDefault="001A1B4F">
      <w:pPr>
        <w:rPr>
          <w:bCs/>
          <w:szCs w:val="22"/>
        </w:rPr>
      </w:pPr>
    </w:p>
    <w:p w14:paraId="16DAE3F7" w14:textId="3EB57EA7" w:rsidR="001A1B4F" w:rsidRDefault="001A1B4F">
      <w:pPr>
        <w:rPr>
          <w:bCs/>
          <w:szCs w:val="22"/>
        </w:rPr>
      </w:pPr>
      <w:r>
        <w:rPr>
          <w:bCs/>
          <w:szCs w:val="22"/>
        </w:rPr>
        <w:t>The concept/phrase “conditionally present” does not appear anywhere else in a clause 9 table – there are a couple uses within the text.</w:t>
      </w:r>
    </w:p>
    <w:p w14:paraId="53C8951F" w14:textId="510DB8E7" w:rsidR="001A1B4F" w:rsidRDefault="001A1B4F">
      <w:pPr>
        <w:rPr>
          <w:bCs/>
          <w:szCs w:val="22"/>
        </w:rPr>
      </w:pPr>
    </w:p>
    <w:p w14:paraId="167B4C50" w14:textId="286AA3F0" w:rsidR="001A1B4F" w:rsidRDefault="001A1B4F">
      <w:pPr>
        <w:rPr>
          <w:bCs/>
          <w:szCs w:val="22"/>
        </w:rPr>
      </w:pPr>
      <w:r>
        <w:rPr>
          <w:bCs/>
          <w:szCs w:val="22"/>
        </w:rPr>
        <w:t>Agree with the commenter.</w:t>
      </w:r>
    </w:p>
    <w:p w14:paraId="1E200448" w14:textId="4D510CAE" w:rsidR="001A1B4F" w:rsidRDefault="001A1B4F">
      <w:pPr>
        <w:rPr>
          <w:bCs/>
          <w:szCs w:val="22"/>
        </w:rPr>
      </w:pPr>
    </w:p>
    <w:p w14:paraId="3565F7F1" w14:textId="39FA260A" w:rsidR="001A1B4F" w:rsidRDefault="001A1B4F">
      <w:pPr>
        <w:rPr>
          <w:bCs/>
          <w:szCs w:val="22"/>
        </w:rPr>
      </w:pPr>
      <w:r w:rsidRPr="001A1B4F">
        <w:rPr>
          <w:bCs/>
          <w:szCs w:val="22"/>
          <w:highlight w:val="yellow"/>
          <w:u w:val="single"/>
        </w:rPr>
        <w:t>Proposed Resolution:</w:t>
      </w:r>
    </w:p>
    <w:p w14:paraId="4C923050" w14:textId="1F544F5F" w:rsidR="001A1B4F" w:rsidRDefault="001A1B4F">
      <w:pPr>
        <w:rPr>
          <w:bCs/>
          <w:szCs w:val="22"/>
        </w:rPr>
      </w:pPr>
    </w:p>
    <w:p w14:paraId="0075AEFB" w14:textId="5BD90924" w:rsidR="001A1B4F" w:rsidRPr="001A1B4F" w:rsidRDefault="001A1B4F">
      <w:pPr>
        <w:rPr>
          <w:bCs/>
          <w:szCs w:val="22"/>
        </w:rPr>
      </w:pPr>
      <w:r>
        <w:rPr>
          <w:bCs/>
          <w:szCs w:val="22"/>
        </w:rPr>
        <w:t>Accepted.</w:t>
      </w:r>
    </w:p>
    <w:p w14:paraId="479603D8" w14:textId="77777777" w:rsidR="001A1B4F" w:rsidRPr="001A1B4F" w:rsidRDefault="001A1B4F">
      <w:pPr>
        <w:rPr>
          <w:bCs/>
          <w:szCs w:val="22"/>
        </w:rPr>
      </w:pPr>
    </w:p>
    <w:p w14:paraId="2B07A0E9" w14:textId="77777777" w:rsidR="007C000C" w:rsidRDefault="001A1B4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C000C" w14:paraId="0F69EC8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5EB4D4D2"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5A5575BF"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B930B16"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1D17A4"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3E20E7D0" w14:textId="77777777" w:rsidR="007C000C" w:rsidRDefault="007C000C"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C000C" w:rsidRPr="00DE7477" w14:paraId="3D177A7A" w14:textId="77777777" w:rsidTr="005C22F6">
        <w:trPr>
          <w:trHeight w:val="3315"/>
        </w:trPr>
        <w:tc>
          <w:tcPr>
            <w:tcW w:w="738" w:type="dxa"/>
            <w:hideMark/>
          </w:tcPr>
          <w:p w14:paraId="6DA2F7D0"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4534</w:t>
            </w:r>
          </w:p>
        </w:tc>
        <w:tc>
          <w:tcPr>
            <w:tcW w:w="990" w:type="dxa"/>
            <w:hideMark/>
          </w:tcPr>
          <w:p w14:paraId="2009D66F" w14:textId="77777777" w:rsidR="007C000C" w:rsidRPr="00DE7477" w:rsidRDefault="007C000C" w:rsidP="005C22F6">
            <w:pPr>
              <w:jc w:val="right"/>
              <w:rPr>
                <w:rFonts w:ascii="Arial" w:eastAsia="Times New Roman" w:hAnsi="Arial" w:cs="Arial"/>
                <w:sz w:val="20"/>
                <w:lang w:val="en-US"/>
              </w:rPr>
            </w:pPr>
            <w:r w:rsidRPr="00DE7477">
              <w:rPr>
                <w:rFonts w:ascii="Arial" w:eastAsia="Times New Roman" w:hAnsi="Arial" w:cs="Arial"/>
                <w:sz w:val="20"/>
                <w:lang w:val="en-US"/>
              </w:rPr>
              <w:t>1038.22</w:t>
            </w:r>
          </w:p>
        </w:tc>
        <w:tc>
          <w:tcPr>
            <w:tcW w:w="1080" w:type="dxa"/>
            <w:hideMark/>
          </w:tcPr>
          <w:p w14:paraId="34741B25"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9.4.2.20.13</w:t>
            </w:r>
          </w:p>
        </w:tc>
        <w:tc>
          <w:tcPr>
            <w:tcW w:w="3600" w:type="dxa"/>
            <w:hideMark/>
          </w:tcPr>
          <w:p w14:paraId="65422478"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 xml:space="preserve">Figure 9-211--Measurement Request field format for a Multicast Diagnostics request is confusing in showing a Multicast Triggered Reporting (optional) field because there is a separate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field and Table 9-117--Optional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STA Multicast Diagnostics request shows Multicast Triggered Reporting</w:t>
            </w:r>
          </w:p>
        </w:tc>
        <w:tc>
          <w:tcPr>
            <w:tcW w:w="3600" w:type="dxa"/>
            <w:hideMark/>
          </w:tcPr>
          <w:p w14:paraId="357DFB1E" w14:textId="77777777" w:rsidR="007C000C" w:rsidRPr="00DE7477" w:rsidRDefault="007C000C" w:rsidP="005C22F6">
            <w:pPr>
              <w:rPr>
                <w:rFonts w:ascii="Arial" w:eastAsia="Times New Roman" w:hAnsi="Arial" w:cs="Arial"/>
                <w:sz w:val="20"/>
                <w:lang w:val="en-US"/>
              </w:rPr>
            </w:pPr>
            <w:r w:rsidRPr="00DE7477">
              <w:rPr>
                <w:rFonts w:ascii="Arial" w:eastAsia="Times New Roman" w:hAnsi="Arial" w:cs="Arial"/>
                <w:sz w:val="20"/>
                <w:lang w:val="en-US"/>
              </w:rPr>
              <w:t>In Table 9-117 delete the first two non-header rows and change 2-220 to 0-220</w:t>
            </w:r>
          </w:p>
        </w:tc>
      </w:tr>
    </w:tbl>
    <w:p w14:paraId="478F2152" w14:textId="48C26639" w:rsidR="001A1B4F" w:rsidRDefault="001A1B4F">
      <w:pPr>
        <w:rPr>
          <w:bCs/>
          <w:szCs w:val="22"/>
        </w:rPr>
      </w:pPr>
    </w:p>
    <w:p w14:paraId="64D8729E" w14:textId="18CB1A70" w:rsidR="007C000C" w:rsidRDefault="007C000C">
      <w:pPr>
        <w:rPr>
          <w:bCs/>
          <w:szCs w:val="22"/>
        </w:rPr>
      </w:pPr>
      <w:r>
        <w:rPr>
          <w:bCs/>
          <w:szCs w:val="22"/>
          <w:u w:val="single"/>
        </w:rPr>
        <w:t>Discussion:</w:t>
      </w:r>
    </w:p>
    <w:p w14:paraId="42C1F941" w14:textId="2683FFCB" w:rsidR="007C000C" w:rsidRDefault="007C000C">
      <w:pPr>
        <w:rPr>
          <w:bCs/>
          <w:szCs w:val="22"/>
        </w:rPr>
      </w:pPr>
    </w:p>
    <w:p w14:paraId="30F8C5AB" w14:textId="004DBBB9" w:rsidR="007C000C"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06F5A771" wp14:editId="0DC95850">
            <wp:extent cx="6056630" cy="1935480"/>
            <wp:effectExtent l="0" t="0" r="1270" b="762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56630" cy="1935480"/>
                    </a:xfrm>
                    <a:prstGeom prst="rect">
                      <a:avLst/>
                    </a:prstGeom>
                    <a:noFill/>
                    <a:ln>
                      <a:noFill/>
                    </a:ln>
                  </pic:spPr>
                </pic:pic>
              </a:graphicData>
            </a:graphic>
          </wp:inline>
        </w:drawing>
      </w:r>
    </w:p>
    <w:p w14:paraId="46B72799" w14:textId="3EA009E3" w:rsidR="007C000C" w:rsidRDefault="007C000C">
      <w:pPr>
        <w:rPr>
          <w:bCs/>
          <w:szCs w:val="22"/>
        </w:rPr>
      </w:pPr>
    </w:p>
    <w:p w14:paraId="1CA82D7F" w14:textId="72E00D17" w:rsidR="00517975" w:rsidRDefault="00517975">
      <w:pPr>
        <w:rPr>
          <w:bCs/>
          <w:szCs w:val="22"/>
        </w:rPr>
      </w:pPr>
      <w:proofErr w:type="gramStart"/>
      <w:r>
        <w:rPr>
          <w:bCs/>
          <w:szCs w:val="22"/>
        </w:rPr>
        <w:t>Indeed</w:t>
      </w:r>
      <w:proofErr w:type="gramEnd"/>
      <w:r>
        <w:rPr>
          <w:bCs/>
          <w:szCs w:val="22"/>
        </w:rPr>
        <w:t xml:space="preserve"> there are both the Multicast Triggered Reporting subfield and Optional </w:t>
      </w:r>
      <w:proofErr w:type="spellStart"/>
      <w:r>
        <w:rPr>
          <w:bCs/>
          <w:szCs w:val="22"/>
        </w:rPr>
        <w:t>Subelements</w:t>
      </w:r>
      <w:proofErr w:type="spellEnd"/>
      <w:r>
        <w:rPr>
          <w:bCs/>
          <w:szCs w:val="22"/>
        </w:rPr>
        <w:t xml:space="preserve"> in the Multicast Diagnostics request variant of the Measurement Request field.</w:t>
      </w:r>
    </w:p>
    <w:p w14:paraId="36607B33" w14:textId="2E632C9E" w:rsidR="00517975" w:rsidRDefault="00517975">
      <w:pPr>
        <w:rPr>
          <w:bCs/>
          <w:szCs w:val="22"/>
        </w:rPr>
      </w:pPr>
    </w:p>
    <w:p w14:paraId="2DB3821D" w14:textId="48CEB2BF" w:rsidR="00517975" w:rsidRDefault="00517975">
      <w:pPr>
        <w:rPr>
          <w:bCs/>
          <w:szCs w:val="22"/>
        </w:rPr>
      </w:pPr>
      <w:r>
        <w:rPr>
          <w:bCs/>
          <w:szCs w:val="22"/>
        </w:rPr>
        <w:t>The Multicast Triggered Reporting subfield is described, as:</w:t>
      </w:r>
    </w:p>
    <w:p w14:paraId="3CAC20FA" w14:textId="3279FDA0" w:rsidR="00517975" w:rsidRDefault="00517975">
      <w:pPr>
        <w:rPr>
          <w:bCs/>
          <w:szCs w:val="22"/>
        </w:rPr>
      </w:pPr>
    </w:p>
    <w:p w14:paraId="0D039EB2" w14:textId="7F7A3D4D" w:rsidR="00517975"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0B9E4284" wp14:editId="5EDA8056">
            <wp:extent cx="6009005" cy="1876425"/>
            <wp:effectExtent l="0" t="0" r="0"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9005" cy="1876425"/>
                    </a:xfrm>
                    <a:prstGeom prst="rect">
                      <a:avLst/>
                    </a:prstGeom>
                    <a:noFill/>
                    <a:ln>
                      <a:noFill/>
                    </a:ln>
                  </pic:spPr>
                </pic:pic>
              </a:graphicData>
            </a:graphic>
          </wp:inline>
        </w:drawing>
      </w:r>
    </w:p>
    <w:p w14:paraId="6A831C3E" w14:textId="18631A07" w:rsidR="00517975" w:rsidRDefault="00517975">
      <w:pPr>
        <w:rPr>
          <w:bCs/>
          <w:szCs w:val="22"/>
        </w:rPr>
      </w:pPr>
    </w:p>
    <w:p w14:paraId="2CEA3CF6" w14:textId="15AD30CF" w:rsidR="00517975" w:rsidRDefault="00517975">
      <w:pPr>
        <w:rPr>
          <w:bCs/>
          <w:szCs w:val="22"/>
        </w:rPr>
      </w:pPr>
      <w:r>
        <w:rPr>
          <w:bCs/>
          <w:szCs w:val="22"/>
        </w:rPr>
        <w:t>This text goes on for several paragraphs, describing these subfields.</w:t>
      </w:r>
    </w:p>
    <w:p w14:paraId="30363018" w14:textId="29DFD9B8" w:rsidR="00517975" w:rsidRDefault="00517975">
      <w:pPr>
        <w:rPr>
          <w:bCs/>
          <w:szCs w:val="22"/>
        </w:rPr>
      </w:pPr>
    </w:p>
    <w:p w14:paraId="0BB028E3" w14:textId="724A1015" w:rsidR="00517975" w:rsidRDefault="00517975">
      <w:pPr>
        <w:rPr>
          <w:bCs/>
          <w:szCs w:val="22"/>
        </w:rPr>
      </w:pPr>
      <w:r>
        <w:rPr>
          <w:bCs/>
          <w:szCs w:val="22"/>
        </w:rPr>
        <w:t xml:space="preserve">However, nowhere in this text is the </w:t>
      </w:r>
      <w:proofErr w:type="spellStart"/>
      <w:r>
        <w:rPr>
          <w:bCs/>
          <w:szCs w:val="22"/>
        </w:rPr>
        <w:t>Sublement</w:t>
      </w:r>
      <w:proofErr w:type="spellEnd"/>
      <w:r>
        <w:rPr>
          <w:bCs/>
          <w:szCs w:val="22"/>
        </w:rPr>
        <w:t xml:space="preserve"> ID specified for the Multicast Triggered Reporting </w:t>
      </w:r>
      <w:proofErr w:type="spellStart"/>
      <w:r>
        <w:rPr>
          <w:bCs/>
          <w:szCs w:val="22"/>
        </w:rPr>
        <w:t>subelement</w:t>
      </w:r>
      <w:proofErr w:type="spellEnd"/>
      <w:r>
        <w:rPr>
          <w:bCs/>
          <w:szCs w:val="22"/>
        </w:rPr>
        <w:t>.  Thus, it seems the row in Table 9-117 is required for this specification:</w:t>
      </w:r>
    </w:p>
    <w:p w14:paraId="1E57EF77" w14:textId="2E8A6932" w:rsidR="00517975" w:rsidRDefault="00517975">
      <w:pPr>
        <w:rPr>
          <w:bCs/>
          <w:szCs w:val="22"/>
        </w:rPr>
      </w:pPr>
    </w:p>
    <w:p w14:paraId="0EF26927" w14:textId="6A338759" w:rsidR="00517975" w:rsidRPr="00517975" w:rsidRDefault="00517975">
      <w:pPr>
        <w:rPr>
          <w:bCs/>
          <w:noProof/>
          <w:szCs w:val="22"/>
          <w:bdr w:val="single" w:sz="8" w:space="0" w:color="auto" w:shadow="1"/>
        </w:rPr>
      </w:pPr>
      <w:r w:rsidRPr="00517975">
        <w:rPr>
          <w:bCs/>
          <w:noProof/>
          <w:szCs w:val="22"/>
          <w:bdr w:val="single" w:sz="8" w:space="0" w:color="auto" w:shadow="1"/>
        </w:rPr>
        <w:drawing>
          <wp:inline distT="0" distB="0" distL="0" distR="0" wp14:anchorId="6E26DBDA" wp14:editId="6218BDBB">
            <wp:extent cx="6097905" cy="301625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7905" cy="3016250"/>
                    </a:xfrm>
                    <a:prstGeom prst="rect">
                      <a:avLst/>
                    </a:prstGeom>
                    <a:noFill/>
                    <a:ln>
                      <a:noFill/>
                    </a:ln>
                  </pic:spPr>
                </pic:pic>
              </a:graphicData>
            </a:graphic>
          </wp:inline>
        </w:drawing>
      </w:r>
    </w:p>
    <w:p w14:paraId="3A5DD2A2" w14:textId="6FC86433" w:rsidR="00517975" w:rsidRDefault="00517975">
      <w:pPr>
        <w:rPr>
          <w:bCs/>
          <w:szCs w:val="22"/>
        </w:rPr>
      </w:pPr>
    </w:p>
    <w:p w14:paraId="75B8F25C" w14:textId="7A10412B" w:rsidR="00517975" w:rsidRDefault="00517975">
      <w:pPr>
        <w:rPr>
          <w:bCs/>
          <w:szCs w:val="22"/>
        </w:rPr>
      </w:pPr>
      <w:r>
        <w:rPr>
          <w:bCs/>
          <w:szCs w:val="22"/>
        </w:rPr>
        <w:t xml:space="preserve">Since the Multicast Triggered Reporting </w:t>
      </w:r>
      <w:proofErr w:type="spellStart"/>
      <w:r>
        <w:rPr>
          <w:bCs/>
          <w:szCs w:val="22"/>
        </w:rPr>
        <w:t>subelement</w:t>
      </w:r>
      <w:proofErr w:type="spellEnd"/>
      <w:r>
        <w:rPr>
          <w:bCs/>
          <w:szCs w:val="22"/>
        </w:rPr>
        <w:t xml:space="preserve"> is optional, as is the Vendor Specific </w:t>
      </w:r>
      <w:proofErr w:type="spellStart"/>
      <w:r>
        <w:rPr>
          <w:bCs/>
          <w:szCs w:val="22"/>
        </w:rPr>
        <w:t>subelement</w:t>
      </w:r>
      <w:proofErr w:type="spellEnd"/>
      <w:r>
        <w:rPr>
          <w:bCs/>
          <w:szCs w:val="22"/>
        </w:rPr>
        <w:t xml:space="preserve">, the question here perhaps should be why there is a specific call out for the Multicast Triggered Reporting </w:t>
      </w:r>
      <w:proofErr w:type="spellStart"/>
      <w:r>
        <w:rPr>
          <w:bCs/>
          <w:szCs w:val="22"/>
        </w:rPr>
        <w:t>sublement</w:t>
      </w:r>
      <w:proofErr w:type="spellEnd"/>
      <w:r>
        <w:rPr>
          <w:bCs/>
          <w:szCs w:val="22"/>
        </w:rPr>
        <w:t xml:space="preserve"> in the Figure 9-211 field layout, rather than having Multicast Triggered Reporting </w:t>
      </w:r>
      <w:proofErr w:type="spellStart"/>
      <w:r>
        <w:rPr>
          <w:bCs/>
          <w:szCs w:val="22"/>
        </w:rPr>
        <w:t>subelement</w:t>
      </w:r>
      <w:proofErr w:type="spellEnd"/>
      <w:r>
        <w:rPr>
          <w:bCs/>
          <w:szCs w:val="22"/>
        </w:rPr>
        <w:t xml:space="preserve"> just be one of the Optional </w:t>
      </w:r>
      <w:proofErr w:type="spellStart"/>
      <w:r>
        <w:rPr>
          <w:bCs/>
          <w:szCs w:val="22"/>
        </w:rPr>
        <w:t>Subelements</w:t>
      </w:r>
      <w:proofErr w:type="spellEnd"/>
      <w:r w:rsidR="001D5A56">
        <w:rPr>
          <w:bCs/>
          <w:szCs w:val="22"/>
        </w:rPr>
        <w:t>, in the usual style.</w:t>
      </w:r>
    </w:p>
    <w:p w14:paraId="5CA105E8" w14:textId="286C75B7" w:rsidR="001D5A56" w:rsidRDefault="001D5A56">
      <w:pPr>
        <w:rPr>
          <w:bCs/>
          <w:szCs w:val="22"/>
        </w:rPr>
      </w:pPr>
    </w:p>
    <w:p w14:paraId="63ECBE8D" w14:textId="608307C0" w:rsidR="001D5A56" w:rsidRDefault="001D5A56">
      <w:pPr>
        <w:rPr>
          <w:bCs/>
          <w:szCs w:val="22"/>
        </w:rPr>
      </w:pPr>
      <w:r w:rsidRPr="001D5A56">
        <w:rPr>
          <w:bCs/>
          <w:szCs w:val="22"/>
          <w:highlight w:val="yellow"/>
          <w:u w:val="single"/>
        </w:rPr>
        <w:t>Proposed Resolution:</w:t>
      </w:r>
    </w:p>
    <w:p w14:paraId="1DCD4A23" w14:textId="67A1DE14" w:rsidR="001D5A56" w:rsidRDefault="001D5A56">
      <w:pPr>
        <w:rPr>
          <w:bCs/>
          <w:szCs w:val="22"/>
        </w:rPr>
      </w:pPr>
    </w:p>
    <w:p w14:paraId="47D19C67" w14:textId="4B71CD76" w:rsidR="001D5A56" w:rsidRDefault="001D5A56">
      <w:pPr>
        <w:rPr>
          <w:bCs/>
          <w:szCs w:val="22"/>
        </w:rPr>
      </w:pPr>
      <w:r>
        <w:rPr>
          <w:bCs/>
          <w:szCs w:val="22"/>
        </w:rPr>
        <w:t>Revised.  Remove the field “Multicast Triggered Reporting (optional)” from Figure 9-211.  Move the text from P1037.31 through P1038.10 to appear after the text at P1038.14 and Table 9-117 and before the text at P1038.32.</w:t>
      </w:r>
    </w:p>
    <w:p w14:paraId="67E404B4" w14:textId="77777777" w:rsidR="001D5A56" w:rsidRPr="001D5A56" w:rsidRDefault="001D5A56">
      <w:pPr>
        <w:rPr>
          <w:bCs/>
          <w:szCs w:val="22"/>
        </w:rPr>
      </w:pPr>
    </w:p>
    <w:p w14:paraId="0E43780D" w14:textId="77777777" w:rsidR="00340120" w:rsidRDefault="007C000C">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40120" w14:paraId="34FAAFC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D6136EE"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58528BF"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078EA87"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39C9E6EE"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1AD008C" w14:textId="77777777" w:rsidR="00340120" w:rsidRDefault="0034012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40120" w:rsidRPr="00DE7477" w14:paraId="31729B78" w14:textId="77777777" w:rsidTr="005C22F6">
        <w:trPr>
          <w:trHeight w:val="2550"/>
        </w:trPr>
        <w:tc>
          <w:tcPr>
            <w:tcW w:w="738" w:type="dxa"/>
            <w:hideMark/>
          </w:tcPr>
          <w:p w14:paraId="10358876" w14:textId="77777777" w:rsidR="00340120" w:rsidRPr="00DE7477" w:rsidRDefault="00340120" w:rsidP="005C22F6">
            <w:pPr>
              <w:jc w:val="right"/>
              <w:rPr>
                <w:rFonts w:ascii="Arial" w:eastAsia="Times New Roman" w:hAnsi="Arial" w:cs="Arial"/>
                <w:sz w:val="20"/>
                <w:lang w:val="en-US"/>
              </w:rPr>
            </w:pPr>
            <w:r w:rsidRPr="00DE7477">
              <w:rPr>
                <w:rFonts w:ascii="Arial" w:eastAsia="Times New Roman" w:hAnsi="Arial" w:cs="Arial"/>
                <w:sz w:val="20"/>
                <w:lang w:val="en-US"/>
              </w:rPr>
              <w:t>4528</w:t>
            </w:r>
          </w:p>
        </w:tc>
        <w:tc>
          <w:tcPr>
            <w:tcW w:w="990" w:type="dxa"/>
            <w:hideMark/>
          </w:tcPr>
          <w:p w14:paraId="70C0C851" w14:textId="77777777" w:rsidR="00340120" w:rsidRPr="00DE7477" w:rsidRDefault="00340120" w:rsidP="005C22F6">
            <w:pPr>
              <w:jc w:val="right"/>
              <w:rPr>
                <w:rFonts w:ascii="Arial" w:eastAsia="Times New Roman" w:hAnsi="Arial" w:cs="Arial"/>
                <w:sz w:val="20"/>
                <w:lang w:val="en-US"/>
              </w:rPr>
            </w:pPr>
            <w:r w:rsidRPr="00DE7477">
              <w:rPr>
                <w:rFonts w:ascii="Arial" w:eastAsia="Times New Roman" w:hAnsi="Arial" w:cs="Arial"/>
                <w:sz w:val="20"/>
                <w:lang w:val="en-US"/>
              </w:rPr>
              <w:t>1354.43</w:t>
            </w:r>
          </w:p>
        </w:tc>
        <w:tc>
          <w:tcPr>
            <w:tcW w:w="1080" w:type="dxa"/>
            <w:hideMark/>
          </w:tcPr>
          <w:p w14:paraId="2ED1C722" w14:textId="77777777" w:rsidR="00340120" w:rsidRPr="00DE7477" w:rsidRDefault="00340120" w:rsidP="005C22F6">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40D138FF" w14:textId="77777777" w:rsidR="00340120" w:rsidRPr="00DE7477" w:rsidRDefault="00340120" w:rsidP="005C22F6">
            <w:pPr>
              <w:rPr>
                <w:rFonts w:ascii="Arial" w:eastAsia="Times New Roman" w:hAnsi="Arial" w:cs="Arial"/>
                <w:sz w:val="20"/>
                <w:lang w:val="en-US"/>
              </w:rPr>
            </w:pPr>
            <w:r w:rsidRPr="00DE7477">
              <w:rPr>
                <w:rFonts w:ascii="Arial" w:eastAsia="Times New Roman" w:hAnsi="Arial" w:cs="Arial"/>
                <w:sz w:val="20"/>
                <w:lang w:val="en-US"/>
              </w:rPr>
              <w:t>"The Partial TSF Timer subfield value is derived as follows, so as to have units</w:t>
            </w:r>
            <w:r w:rsidRPr="00DE7477">
              <w:rPr>
                <w:rFonts w:ascii="Arial" w:eastAsia="Times New Roman" w:hAnsi="Arial" w:cs="Arial"/>
                <w:sz w:val="20"/>
                <w:lang w:val="en-US"/>
              </w:rPr>
              <w:br/>
              <w:t>of TUs: from the 64 TSF timer bits at the start of the first burst instance of an FTM session and remove the</w:t>
            </w:r>
            <w:r w:rsidRPr="00DE7477">
              <w:rPr>
                <w:rFonts w:ascii="Arial" w:eastAsia="Times New Roman" w:hAnsi="Arial" w:cs="Arial"/>
                <w:sz w:val="20"/>
                <w:lang w:val="en-US"/>
              </w:rPr>
              <w:br/>
              <w:t>most significant 38 bits and the least significant 10 bits." is garbled</w:t>
            </w:r>
          </w:p>
        </w:tc>
        <w:tc>
          <w:tcPr>
            <w:tcW w:w="3600" w:type="dxa"/>
            <w:hideMark/>
          </w:tcPr>
          <w:p w14:paraId="358459B7" w14:textId="77777777" w:rsidR="00340120" w:rsidRPr="00DE7477" w:rsidRDefault="00340120" w:rsidP="005C22F6">
            <w:pPr>
              <w:rPr>
                <w:rFonts w:ascii="Arial" w:eastAsia="Times New Roman" w:hAnsi="Arial" w:cs="Arial"/>
                <w:sz w:val="20"/>
                <w:lang w:val="en-US"/>
              </w:rPr>
            </w:pPr>
            <w:r w:rsidRPr="00DE7477">
              <w:rPr>
                <w:rFonts w:ascii="Arial" w:eastAsia="Times New Roman" w:hAnsi="Arial" w:cs="Arial"/>
                <w:sz w:val="20"/>
                <w:lang w:val="en-US"/>
              </w:rPr>
              <w:t>Delete the first "and " in the cited text</w:t>
            </w:r>
          </w:p>
        </w:tc>
      </w:tr>
    </w:tbl>
    <w:p w14:paraId="101ECBAB" w14:textId="14C32A35" w:rsidR="007C000C" w:rsidRDefault="007C000C">
      <w:pPr>
        <w:rPr>
          <w:bCs/>
          <w:szCs w:val="22"/>
        </w:rPr>
      </w:pPr>
    </w:p>
    <w:p w14:paraId="1E36DE0A" w14:textId="70F0DBD5" w:rsidR="00340120" w:rsidRDefault="00340120">
      <w:pPr>
        <w:rPr>
          <w:bCs/>
          <w:szCs w:val="22"/>
        </w:rPr>
      </w:pPr>
      <w:r>
        <w:rPr>
          <w:bCs/>
          <w:szCs w:val="22"/>
          <w:u w:val="single"/>
        </w:rPr>
        <w:t>Discussion:</w:t>
      </w:r>
    </w:p>
    <w:p w14:paraId="632E71D0" w14:textId="07D12716" w:rsidR="00340120" w:rsidRDefault="00340120">
      <w:pPr>
        <w:rPr>
          <w:bCs/>
          <w:szCs w:val="22"/>
        </w:rPr>
      </w:pPr>
    </w:p>
    <w:p w14:paraId="7DD52764" w14:textId="2C9A0E69" w:rsidR="00340120" w:rsidRPr="00340120" w:rsidRDefault="00340120">
      <w:pPr>
        <w:rPr>
          <w:bCs/>
          <w:noProof/>
          <w:szCs w:val="22"/>
          <w:bdr w:val="single" w:sz="8" w:space="0" w:color="auto" w:shadow="1"/>
        </w:rPr>
      </w:pPr>
      <w:r w:rsidRPr="00340120">
        <w:rPr>
          <w:bCs/>
          <w:noProof/>
          <w:szCs w:val="22"/>
          <w:bdr w:val="single" w:sz="8" w:space="0" w:color="auto" w:shadow="1"/>
        </w:rPr>
        <w:drawing>
          <wp:inline distT="0" distB="0" distL="0" distR="0" wp14:anchorId="7D6A1FF9" wp14:editId="1F30C248">
            <wp:extent cx="5991225" cy="78105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91225" cy="781050"/>
                    </a:xfrm>
                    <a:prstGeom prst="rect">
                      <a:avLst/>
                    </a:prstGeom>
                    <a:noFill/>
                    <a:ln>
                      <a:noFill/>
                    </a:ln>
                  </pic:spPr>
                </pic:pic>
              </a:graphicData>
            </a:graphic>
          </wp:inline>
        </w:drawing>
      </w:r>
    </w:p>
    <w:p w14:paraId="48F90E4D" w14:textId="6B99D451" w:rsidR="00340120" w:rsidRDefault="00340120">
      <w:pPr>
        <w:rPr>
          <w:bCs/>
          <w:szCs w:val="22"/>
        </w:rPr>
      </w:pPr>
    </w:p>
    <w:p w14:paraId="077313DA" w14:textId="5CEC8FBD" w:rsidR="00340120" w:rsidRDefault="00340120">
      <w:pPr>
        <w:rPr>
          <w:bCs/>
          <w:szCs w:val="22"/>
        </w:rPr>
      </w:pPr>
      <w:r>
        <w:rPr>
          <w:bCs/>
          <w:szCs w:val="22"/>
        </w:rPr>
        <w:t>Agree with the commenter.  However, inserting a comma might be helpful, as the introductory clause is somewhat long and complex.</w:t>
      </w:r>
    </w:p>
    <w:p w14:paraId="7A533167" w14:textId="649B4443" w:rsidR="00340120" w:rsidRDefault="00340120">
      <w:pPr>
        <w:rPr>
          <w:bCs/>
          <w:szCs w:val="22"/>
        </w:rPr>
      </w:pPr>
    </w:p>
    <w:p w14:paraId="3396A451" w14:textId="03984681" w:rsidR="00340120" w:rsidRDefault="00340120">
      <w:pPr>
        <w:rPr>
          <w:bCs/>
          <w:szCs w:val="22"/>
        </w:rPr>
      </w:pPr>
      <w:r w:rsidRPr="00C034F6">
        <w:rPr>
          <w:bCs/>
          <w:szCs w:val="22"/>
          <w:highlight w:val="yellow"/>
          <w:u w:val="single"/>
        </w:rPr>
        <w:t>Proposed Resolution:</w:t>
      </w:r>
    </w:p>
    <w:p w14:paraId="03D56F60" w14:textId="4AD6C1CB" w:rsidR="00340120" w:rsidRDefault="00340120">
      <w:pPr>
        <w:rPr>
          <w:bCs/>
          <w:szCs w:val="22"/>
        </w:rPr>
      </w:pPr>
    </w:p>
    <w:p w14:paraId="2BD55A45" w14:textId="16E3220F" w:rsidR="00C034F6" w:rsidRDefault="00C034F6">
      <w:pPr>
        <w:rPr>
          <w:bCs/>
          <w:szCs w:val="22"/>
        </w:rPr>
      </w:pPr>
      <w:r>
        <w:rPr>
          <w:bCs/>
          <w:szCs w:val="22"/>
        </w:rPr>
        <w:t>Revised.</w:t>
      </w:r>
    </w:p>
    <w:p w14:paraId="229E44D6" w14:textId="77777777" w:rsidR="00C034F6" w:rsidRDefault="00C034F6">
      <w:pPr>
        <w:rPr>
          <w:bCs/>
          <w:szCs w:val="22"/>
        </w:rPr>
      </w:pPr>
    </w:p>
    <w:p w14:paraId="5F213A59" w14:textId="23C39C42" w:rsidR="00340120" w:rsidRPr="00340120" w:rsidRDefault="00340120">
      <w:pPr>
        <w:rPr>
          <w:bCs/>
          <w:szCs w:val="22"/>
        </w:rPr>
      </w:pPr>
      <w:r>
        <w:rPr>
          <w:bCs/>
          <w:szCs w:val="22"/>
        </w:rPr>
        <w:t>At P1354.45, replace the “and” with a comma.</w:t>
      </w:r>
    </w:p>
    <w:p w14:paraId="441DD536" w14:textId="77777777" w:rsidR="007343D4" w:rsidRDefault="00340120">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343D4" w14:paraId="2BA2DE17"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78954DB"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7A892009"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799EE83C"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0404672"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CDB7EF9" w14:textId="77777777" w:rsidR="007343D4" w:rsidRDefault="007343D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343D4" w:rsidRPr="00DE7477" w14:paraId="530D23E5" w14:textId="77777777" w:rsidTr="005C22F6">
        <w:trPr>
          <w:trHeight w:val="2550"/>
        </w:trPr>
        <w:tc>
          <w:tcPr>
            <w:tcW w:w="738" w:type="dxa"/>
            <w:hideMark/>
          </w:tcPr>
          <w:p w14:paraId="222EE4B6" w14:textId="77777777" w:rsidR="007343D4" w:rsidRPr="00DE7477" w:rsidRDefault="007343D4" w:rsidP="005C22F6">
            <w:pPr>
              <w:jc w:val="right"/>
              <w:rPr>
                <w:rFonts w:ascii="Arial" w:eastAsia="Times New Roman" w:hAnsi="Arial" w:cs="Arial"/>
                <w:sz w:val="20"/>
                <w:lang w:val="en-US"/>
              </w:rPr>
            </w:pPr>
            <w:r w:rsidRPr="00DE7477">
              <w:rPr>
                <w:rFonts w:ascii="Arial" w:eastAsia="Times New Roman" w:hAnsi="Arial" w:cs="Arial"/>
                <w:sz w:val="20"/>
                <w:lang w:val="en-US"/>
              </w:rPr>
              <w:t>4524</w:t>
            </w:r>
          </w:p>
        </w:tc>
        <w:tc>
          <w:tcPr>
            <w:tcW w:w="990" w:type="dxa"/>
            <w:hideMark/>
          </w:tcPr>
          <w:p w14:paraId="7C08D11C" w14:textId="77777777" w:rsidR="007343D4" w:rsidRPr="00DE7477" w:rsidRDefault="007343D4" w:rsidP="005C22F6">
            <w:pPr>
              <w:jc w:val="right"/>
              <w:rPr>
                <w:rFonts w:ascii="Arial" w:eastAsia="Times New Roman" w:hAnsi="Arial" w:cs="Arial"/>
                <w:sz w:val="20"/>
                <w:lang w:val="en-US"/>
              </w:rPr>
            </w:pPr>
            <w:r w:rsidRPr="00DE7477">
              <w:rPr>
                <w:rFonts w:ascii="Arial" w:eastAsia="Times New Roman" w:hAnsi="Arial" w:cs="Arial"/>
                <w:sz w:val="20"/>
                <w:lang w:val="en-US"/>
              </w:rPr>
              <w:t>2487.43</w:t>
            </w:r>
          </w:p>
        </w:tc>
        <w:tc>
          <w:tcPr>
            <w:tcW w:w="1080" w:type="dxa"/>
            <w:hideMark/>
          </w:tcPr>
          <w:p w14:paraId="794B2BCF" w14:textId="77777777" w:rsidR="007343D4" w:rsidRPr="00DE7477" w:rsidRDefault="007343D4" w:rsidP="005C22F6">
            <w:pPr>
              <w:rPr>
                <w:rFonts w:ascii="Arial" w:eastAsia="Times New Roman" w:hAnsi="Arial" w:cs="Arial"/>
                <w:sz w:val="20"/>
                <w:lang w:val="en-US"/>
              </w:rPr>
            </w:pPr>
            <w:r w:rsidRPr="00DE7477">
              <w:rPr>
                <w:rFonts w:ascii="Arial" w:eastAsia="Times New Roman" w:hAnsi="Arial" w:cs="Arial"/>
                <w:sz w:val="20"/>
                <w:lang w:val="en-US"/>
              </w:rPr>
              <w:t>11.32.5</w:t>
            </w:r>
          </w:p>
        </w:tc>
        <w:tc>
          <w:tcPr>
            <w:tcW w:w="3600" w:type="dxa"/>
            <w:hideMark/>
          </w:tcPr>
          <w:p w14:paraId="53DCA227" w14:textId="77777777" w:rsidR="007343D4" w:rsidRPr="00DE7477" w:rsidRDefault="007343D4" w:rsidP="005C22F6">
            <w:pPr>
              <w:rPr>
                <w:rFonts w:ascii="Arial" w:eastAsia="Times New Roman" w:hAnsi="Arial" w:cs="Arial"/>
                <w:sz w:val="20"/>
                <w:lang w:val="en-US"/>
              </w:rPr>
            </w:pPr>
            <w:r w:rsidRPr="00DE7477">
              <w:rPr>
                <w:rFonts w:ascii="Arial" w:eastAsia="Times New Roman" w:hAnsi="Arial" w:cs="Arial"/>
                <w:sz w:val="20"/>
                <w:lang w:val="en-US"/>
              </w:rPr>
              <w:t xml:space="preserve">The notion of a "request" or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referred to but not defined</w:t>
            </w:r>
          </w:p>
        </w:tc>
        <w:tc>
          <w:tcPr>
            <w:tcW w:w="3600" w:type="dxa"/>
            <w:hideMark/>
          </w:tcPr>
          <w:p w14:paraId="5245990B" w14:textId="77777777" w:rsidR="007343D4" w:rsidRPr="00DE7477" w:rsidRDefault="007343D4" w:rsidP="005C22F6">
            <w:pPr>
              <w:rPr>
                <w:rFonts w:ascii="Arial" w:eastAsia="Times New Roman" w:hAnsi="Arial" w:cs="Arial"/>
                <w:sz w:val="20"/>
                <w:lang w:val="en-US"/>
              </w:rPr>
            </w:pPr>
            <w:r w:rsidRPr="00DE7477">
              <w:rPr>
                <w:rFonts w:ascii="Arial" w:eastAsia="Times New Roman" w:hAnsi="Arial" w:cs="Arial"/>
                <w:sz w:val="20"/>
                <w:lang w:val="en-US"/>
              </w:rPr>
              <w:t xml:space="preserve">At the start of 11.32.5 add a para "A request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.request</w:t>
            </w:r>
            <w:proofErr w:type="gramEnd"/>
            <w:r w:rsidRPr="00DE7477">
              <w:rPr>
                <w:rFonts w:ascii="Arial" w:eastAsia="Times New Roman" w:hAnsi="Arial" w:cs="Arial"/>
                <w:sz w:val="20"/>
                <w:lang w:val="en-US"/>
              </w:rPr>
              <w:t xml:space="preserve"> primitive.  A response </w:t>
            </w:r>
            <w:proofErr w:type="spellStart"/>
            <w:r w:rsidRPr="00DE7477">
              <w:rPr>
                <w:rFonts w:ascii="Arial" w:eastAsia="Times New Roman" w:hAnsi="Arial" w:cs="Arial"/>
                <w:sz w:val="20"/>
                <w:lang w:val="en-US"/>
              </w:rPr>
              <w:t>tunnelled</w:t>
            </w:r>
            <w:proofErr w:type="spellEnd"/>
            <w:r w:rsidRPr="00DE7477">
              <w:rPr>
                <w:rFonts w:ascii="Arial" w:eastAsia="Times New Roman" w:hAnsi="Arial" w:cs="Arial"/>
                <w:sz w:val="20"/>
                <w:lang w:val="en-US"/>
              </w:rPr>
              <w:t xml:space="preserve"> MMPDU is an MMPDU generated in the context of an </w:t>
            </w:r>
            <w:proofErr w:type="gramStart"/>
            <w:r w:rsidRPr="00DE7477">
              <w:rPr>
                <w:rFonts w:ascii="Arial" w:eastAsia="Times New Roman" w:hAnsi="Arial" w:cs="Arial"/>
                <w:sz w:val="20"/>
                <w:lang w:val="en-US"/>
              </w:rPr>
              <w:t>MLME .response</w:t>
            </w:r>
            <w:proofErr w:type="gramEnd"/>
            <w:r w:rsidRPr="00DE7477">
              <w:rPr>
                <w:rFonts w:ascii="Arial" w:eastAsia="Times New Roman" w:hAnsi="Arial" w:cs="Arial"/>
                <w:sz w:val="20"/>
                <w:lang w:val="en-US"/>
              </w:rPr>
              <w:t xml:space="preserve"> primitive."</w:t>
            </w:r>
          </w:p>
        </w:tc>
      </w:tr>
    </w:tbl>
    <w:p w14:paraId="1E168136" w14:textId="3A26ED6C" w:rsidR="00340120" w:rsidRDefault="00340120">
      <w:pPr>
        <w:rPr>
          <w:bCs/>
          <w:szCs w:val="22"/>
        </w:rPr>
      </w:pPr>
    </w:p>
    <w:p w14:paraId="026F0AED" w14:textId="586DC345" w:rsidR="007343D4" w:rsidRDefault="007343D4">
      <w:pPr>
        <w:rPr>
          <w:bCs/>
          <w:szCs w:val="22"/>
        </w:rPr>
      </w:pPr>
      <w:r>
        <w:rPr>
          <w:bCs/>
          <w:szCs w:val="22"/>
          <w:u w:val="single"/>
        </w:rPr>
        <w:t>Discussion:</w:t>
      </w:r>
    </w:p>
    <w:p w14:paraId="05E92295" w14:textId="5BE072E9" w:rsidR="007343D4" w:rsidRDefault="007343D4">
      <w:pPr>
        <w:rPr>
          <w:bCs/>
          <w:szCs w:val="22"/>
        </w:rPr>
      </w:pPr>
    </w:p>
    <w:p w14:paraId="4CA54B1B" w14:textId="16390777" w:rsidR="007343D4" w:rsidRPr="007343D4" w:rsidRDefault="007343D4">
      <w:pPr>
        <w:rPr>
          <w:bCs/>
          <w:noProof/>
          <w:szCs w:val="22"/>
          <w:bdr w:val="single" w:sz="8" w:space="0" w:color="auto" w:shadow="1"/>
        </w:rPr>
      </w:pPr>
      <w:r>
        <w:rPr>
          <w:bCs/>
          <w:noProof/>
          <w:szCs w:val="22"/>
        </w:rPr>
        <mc:AlternateContent>
          <mc:Choice Requires="wpi">
            <w:drawing>
              <wp:anchor distT="0" distB="0" distL="114300" distR="114300" simplePos="0" relativeHeight="251666432" behindDoc="0" locked="0" layoutInCell="1" allowOverlap="1" wp14:anchorId="24E0114F" wp14:editId="58374CA9">
                <wp:simplePos x="0" y="0"/>
                <wp:positionH relativeFrom="column">
                  <wp:posOffset>4647967</wp:posOffset>
                </wp:positionH>
                <wp:positionV relativeFrom="paragraph">
                  <wp:posOffset>2205355</wp:posOffset>
                </wp:positionV>
                <wp:extent cx="1311840" cy="49320"/>
                <wp:effectExtent l="76200" t="133350" r="117475" b="160655"/>
                <wp:wrapNone/>
                <wp:docPr id="320" name="Ink 320"/>
                <wp:cNvGraphicFramePr/>
                <a:graphic xmlns:a="http://schemas.openxmlformats.org/drawingml/2006/main">
                  <a:graphicData uri="http://schemas.microsoft.com/office/word/2010/wordprocessingInk">
                    <w14:contentPart bwMode="auto" r:id="rId43">
                      <w14:nvContentPartPr>
                        <w14:cNvContentPartPr/>
                      </w14:nvContentPartPr>
                      <w14:xfrm>
                        <a:off x="0" y="0"/>
                        <a:ext cx="1311840" cy="49320"/>
                      </w14:xfrm>
                    </w14:contentPart>
                  </a:graphicData>
                </a:graphic>
              </wp:anchor>
            </w:drawing>
          </mc:Choice>
          <mc:Fallback>
            <w:pict>
              <v:shape w14:anchorId="2860785A" id="Ink 320" o:spid="_x0000_s1026" type="#_x0000_t75" style="position:absolute;margin-left:361.75pt;margin-top:165.15pt;width:111.8pt;height:20.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">
                <v:imagedata r:id="rId44" o:title=""/>
              </v:shape>
            </w:pict>
          </mc:Fallback>
        </mc:AlternateContent>
      </w:r>
      <w:r>
        <w:rPr>
          <w:bCs/>
          <w:noProof/>
          <w:szCs w:val="22"/>
        </w:rPr>
        <mc:AlternateContent>
          <mc:Choice Requires="wpi">
            <w:drawing>
              <wp:anchor distT="0" distB="0" distL="114300" distR="114300" simplePos="0" relativeHeight="251665408" behindDoc="0" locked="0" layoutInCell="1" allowOverlap="1" wp14:anchorId="6C5A9E16" wp14:editId="559130B5">
                <wp:simplePos x="0" y="0"/>
                <wp:positionH relativeFrom="column">
                  <wp:posOffset>4636087</wp:posOffset>
                </wp:positionH>
                <wp:positionV relativeFrom="paragraph">
                  <wp:posOffset>86395</wp:posOffset>
                </wp:positionV>
                <wp:extent cx="1299960" cy="36360"/>
                <wp:effectExtent l="95250" t="152400" r="109855" b="154305"/>
                <wp:wrapNone/>
                <wp:docPr id="319" name="Ink 319"/>
                <wp:cNvGraphicFramePr/>
                <a:graphic xmlns:a="http://schemas.openxmlformats.org/drawingml/2006/main">
                  <a:graphicData uri="http://schemas.microsoft.com/office/word/2010/wordprocessingInk">
                    <w14:contentPart bwMode="auto" r:id="rId45">
                      <w14:nvContentPartPr>
                        <w14:cNvContentPartPr/>
                      </w14:nvContentPartPr>
                      <w14:xfrm>
                        <a:off x="0" y="0"/>
                        <a:ext cx="1299960" cy="36360"/>
                      </w14:xfrm>
                    </w14:contentPart>
                  </a:graphicData>
                </a:graphic>
              </wp:anchor>
            </w:drawing>
          </mc:Choice>
          <mc:Fallback>
            <w:pict>
              <v:shape w14:anchorId="335B821B" id="Ink 319" o:spid="_x0000_s1026" type="#_x0000_t75" style="position:absolute;margin-left:360.8pt;margin-top:-1.7pt;width:110.85pt;height:19.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">
                <v:imagedata r:id="rId46" o:title=""/>
              </v:shape>
            </w:pict>
          </mc:Fallback>
        </mc:AlternateContent>
      </w:r>
      <w:r w:rsidRPr="007343D4">
        <w:rPr>
          <w:bCs/>
          <w:noProof/>
          <w:szCs w:val="22"/>
          <w:bdr w:val="single" w:sz="8" w:space="0" w:color="auto" w:shadow="1"/>
        </w:rPr>
        <w:drawing>
          <wp:inline distT="0" distB="0" distL="0" distR="0" wp14:anchorId="5067E15A" wp14:editId="6187C74D">
            <wp:extent cx="6050280" cy="2950845"/>
            <wp:effectExtent l="0" t="0" r="7620" b="190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0280" cy="2950845"/>
                    </a:xfrm>
                    <a:prstGeom prst="rect">
                      <a:avLst/>
                    </a:prstGeom>
                    <a:noFill/>
                    <a:ln>
                      <a:noFill/>
                    </a:ln>
                  </pic:spPr>
                </pic:pic>
              </a:graphicData>
            </a:graphic>
          </wp:inline>
        </w:drawing>
      </w:r>
    </w:p>
    <w:p w14:paraId="3A6764C3" w14:textId="3772EE53" w:rsidR="007343D4" w:rsidRDefault="007343D4">
      <w:pPr>
        <w:rPr>
          <w:bCs/>
          <w:szCs w:val="22"/>
        </w:rPr>
      </w:pPr>
    </w:p>
    <w:p w14:paraId="2100EECA" w14:textId="313378B4" w:rsidR="00193C02" w:rsidRDefault="00193C02">
      <w:pPr>
        <w:rPr>
          <w:bCs/>
          <w:szCs w:val="22"/>
        </w:rPr>
      </w:pPr>
      <w:r>
        <w:rPr>
          <w:bCs/>
          <w:szCs w:val="22"/>
        </w:rPr>
        <w:t>Similar text occurs at P2488.48 and P2488.57 for a “response tunnelled MMPDU”.</w:t>
      </w:r>
    </w:p>
    <w:p w14:paraId="06301DEB" w14:textId="77777777" w:rsidR="00193C02" w:rsidRDefault="00193C02">
      <w:pPr>
        <w:rPr>
          <w:bCs/>
          <w:szCs w:val="22"/>
        </w:rPr>
      </w:pPr>
    </w:p>
    <w:p w14:paraId="4F2DBF3E" w14:textId="3BD56FD5" w:rsidR="007343D4" w:rsidRDefault="007343D4">
      <w:pPr>
        <w:rPr>
          <w:bCs/>
          <w:szCs w:val="22"/>
        </w:rPr>
      </w:pPr>
      <w:r>
        <w:rPr>
          <w:bCs/>
          <w:szCs w:val="22"/>
        </w:rPr>
        <w:t>Figure 11-53 can help put these situations in context:</w:t>
      </w:r>
    </w:p>
    <w:p w14:paraId="4357200E" w14:textId="00759879" w:rsidR="007343D4" w:rsidRDefault="007343D4">
      <w:pPr>
        <w:rPr>
          <w:bCs/>
          <w:szCs w:val="22"/>
        </w:rPr>
      </w:pPr>
    </w:p>
    <w:p w14:paraId="3A671633" w14:textId="25541703" w:rsidR="007343D4" w:rsidRPr="007343D4" w:rsidRDefault="007343D4">
      <w:pPr>
        <w:rPr>
          <w:bCs/>
          <w:noProof/>
          <w:szCs w:val="22"/>
          <w:bdr w:val="single" w:sz="8" w:space="0" w:color="auto" w:shadow="1"/>
        </w:rPr>
      </w:pPr>
      <w:r w:rsidRPr="007343D4">
        <w:rPr>
          <w:bCs/>
          <w:noProof/>
          <w:szCs w:val="22"/>
          <w:bdr w:val="single" w:sz="8" w:space="0" w:color="auto" w:shadow="1"/>
        </w:rPr>
        <w:lastRenderedPageBreak/>
        <w:drawing>
          <wp:inline distT="0" distB="0" distL="0" distR="0" wp14:anchorId="27C7ABEF" wp14:editId="718C1024">
            <wp:extent cx="6003290" cy="343789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3290" cy="3437890"/>
                    </a:xfrm>
                    <a:prstGeom prst="rect">
                      <a:avLst/>
                    </a:prstGeom>
                    <a:noFill/>
                    <a:ln>
                      <a:noFill/>
                    </a:ln>
                  </pic:spPr>
                </pic:pic>
              </a:graphicData>
            </a:graphic>
          </wp:inline>
        </w:drawing>
      </w:r>
    </w:p>
    <w:p w14:paraId="2D40AE66" w14:textId="1BEDEFBD" w:rsidR="007343D4" w:rsidRDefault="007343D4">
      <w:pPr>
        <w:rPr>
          <w:bCs/>
          <w:szCs w:val="22"/>
        </w:rPr>
      </w:pPr>
    </w:p>
    <w:p w14:paraId="1212E4AE" w14:textId="65926098" w:rsidR="007343D4" w:rsidRDefault="007343D4">
      <w:pPr>
        <w:rPr>
          <w:bCs/>
          <w:szCs w:val="22"/>
        </w:rPr>
      </w:pPr>
      <w:r>
        <w:rPr>
          <w:bCs/>
          <w:szCs w:val="22"/>
        </w:rPr>
        <w:t>As can be seen in Figure 11-53, the text is attempting to identify the TR-MLME on the left (identified as getting a MLME-</w:t>
      </w:r>
      <w:proofErr w:type="spellStart"/>
      <w:r>
        <w:rPr>
          <w:bCs/>
          <w:szCs w:val="22"/>
        </w:rPr>
        <w:t>OCTunnel.request</w:t>
      </w:r>
      <w:proofErr w:type="spellEnd"/>
      <w:r>
        <w:rPr>
          <w:bCs/>
          <w:szCs w:val="22"/>
        </w:rPr>
        <w:t>) and the TR-MLME on the right (identified as getting an On-channel Tunnel Request frame), as these are getting the “forward path” events in the Figure.  The text goes on to also identify these two TR-MLMEs in the context of the “return path”, which has the same events.  The difference between the forward path and the return path is only in the nature of the tunnelled MMPDU, being either a request MMPDU or a response MMPDU.</w:t>
      </w:r>
    </w:p>
    <w:p w14:paraId="77689383" w14:textId="3B9095BD" w:rsidR="007343D4" w:rsidRDefault="007343D4">
      <w:pPr>
        <w:rPr>
          <w:bCs/>
          <w:szCs w:val="22"/>
        </w:rPr>
      </w:pPr>
    </w:p>
    <w:p w14:paraId="34CD4A6E" w14:textId="105B004F" w:rsidR="007343D4" w:rsidRDefault="00193C02">
      <w:pPr>
        <w:rPr>
          <w:bCs/>
          <w:szCs w:val="22"/>
        </w:rPr>
      </w:pPr>
      <w:r>
        <w:rPr>
          <w:bCs/>
          <w:szCs w:val="22"/>
        </w:rPr>
        <w:t xml:space="preserve">However, in agreement with the commenter, the terms </w:t>
      </w:r>
      <w:r w:rsidRPr="00193C02">
        <w:rPr>
          <w:bCs/>
          <w:szCs w:val="22"/>
        </w:rPr>
        <w:t>"request</w:t>
      </w:r>
      <w:r>
        <w:rPr>
          <w:bCs/>
          <w:szCs w:val="22"/>
        </w:rPr>
        <w:t xml:space="preserve"> </w:t>
      </w:r>
      <w:r w:rsidRPr="00193C02">
        <w:rPr>
          <w:bCs/>
          <w:szCs w:val="22"/>
        </w:rPr>
        <w:t>tunnelled MMPDU " or "response</w:t>
      </w:r>
      <w:r>
        <w:rPr>
          <w:bCs/>
          <w:szCs w:val="22"/>
        </w:rPr>
        <w:t xml:space="preserve"> </w:t>
      </w:r>
      <w:r w:rsidRPr="00193C02">
        <w:rPr>
          <w:bCs/>
          <w:szCs w:val="22"/>
        </w:rPr>
        <w:t>tunnell</w:t>
      </w:r>
      <w:r>
        <w:rPr>
          <w:bCs/>
          <w:szCs w:val="22"/>
        </w:rPr>
        <w:t>ed MMPDU”</w:t>
      </w:r>
      <w:r w:rsidRPr="00193C02">
        <w:rPr>
          <w:bCs/>
          <w:szCs w:val="22"/>
        </w:rPr>
        <w:t xml:space="preserve"> </w:t>
      </w:r>
      <w:r>
        <w:rPr>
          <w:bCs/>
          <w:szCs w:val="22"/>
        </w:rPr>
        <w:t>are never defined, as the method to convey this distinction.</w:t>
      </w:r>
    </w:p>
    <w:p w14:paraId="7E2DF1AC" w14:textId="439D4A65" w:rsidR="00193C02" w:rsidRDefault="00193C02">
      <w:pPr>
        <w:rPr>
          <w:bCs/>
          <w:szCs w:val="22"/>
        </w:rPr>
      </w:pPr>
    </w:p>
    <w:p w14:paraId="043BE8BA" w14:textId="5AFA8B65" w:rsidR="00193C02" w:rsidRDefault="00CD5BDF">
      <w:pPr>
        <w:rPr>
          <w:bCs/>
          <w:szCs w:val="22"/>
        </w:rPr>
      </w:pPr>
      <w:r>
        <w:rPr>
          <w:bCs/>
          <w:szCs w:val="22"/>
        </w:rPr>
        <w:t>The start of 11.32.5, where the commenter proposes to add text to define these terms, is the general introduction to the operation of OCT.  It would not make sense to start with the introduction of these detailed terms before the introductory text is understood.  So, “at the start” of 11.32.5 is probably not the right place.  The procedure details start at P2487.16, and this is probably a better place for it.</w:t>
      </w:r>
    </w:p>
    <w:p w14:paraId="58C27E9A" w14:textId="387FBCC7" w:rsidR="00CD5BDF" w:rsidRDefault="00CD5BDF">
      <w:pPr>
        <w:rPr>
          <w:bCs/>
          <w:szCs w:val="22"/>
        </w:rPr>
      </w:pPr>
    </w:p>
    <w:p w14:paraId="1779E82D" w14:textId="17FC38EB" w:rsidR="00CD5BDF" w:rsidRDefault="00CD5BDF">
      <w:pPr>
        <w:rPr>
          <w:bCs/>
          <w:szCs w:val="22"/>
        </w:rPr>
      </w:pPr>
      <w:r>
        <w:rPr>
          <w:bCs/>
          <w:szCs w:val="22"/>
        </w:rPr>
        <w:t>A bit of introductory text for these terms would also help.</w:t>
      </w:r>
    </w:p>
    <w:p w14:paraId="42206038" w14:textId="6F181DCE" w:rsidR="00CD5BDF" w:rsidRDefault="00CD5BDF">
      <w:pPr>
        <w:rPr>
          <w:bCs/>
          <w:szCs w:val="22"/>
        </w:rPr>
      </w:pPr>
    </w:p>
    <w:p w14:paraId="0B3C6365" w14:textId="22CB1366" w:rsidR="00CD5BDF" w:rsidRDefault="00CD5BDF">
      <w:pPr>
        <w:rPr>
          <w:bCs/>
          <w:szCs w:val="22"/>
        </w:rPr>
      </w:pPr>
      <w:r w:rsidRPr="00CD5BDF">
        <w:rPr>
          <w:bCs/>
          <w:szCs w:val="22"/>
          <w:highlight w:val="yellow"/>
          <w:u w:val="single"/>
        </w:rPr>
        <w:t>Proposed Resolution:</w:t>
      </w:r>
    </w:p>
    <w:p w14:paraId="63B3FC8E" w14:textId="0AECBEE3" w:rsidR="00CD5BDF" w:rsidRDefault="00CD5BDF">
      <w:pPr>
        <w:rPr>
          <w:bCs/>
          <w:szCs w:val="22"/>
        </w:rPr>
      </w:pPr>
    </w:p>
    <w:p w14:paraId="2D2B4FE0" w14:textId="77777777" w:rsidR="00C034F6" w:rsidRDefault="00C034F6">
      <w:pPr>
        <w:rPr>
          <w:bCs/>
          <w:szCs w:val="22"/>
        </w:rPr>
      </w:pPr>
      <w:r>
        <w:rPr>
          <w:bCs/>
          <w:szCs w:val="22"/>
        </w:rPr>
        <w:t>Revised.</w:t>
      </w:r>
    </w:p>
    <w:p w14:paraId="3C98BEA6" w14:textId="77777777" w:rsidR="00C034F6" w:rsidRDefault="00C034F6">
      <w:pPr>
        <w:rPr>
          <w:bCs/>
          <w:szCs w:val="22"/>
        </w:rPr>
      </w:pPr>
    </w:p>
    <w:p w14:paraId="3763C223" w14:textId="71A40676" w:rsidR="00CD5BDF" w:rsidRDefault="00CD5BDF">
      <w:pPr>
        <w:rPr>
          <w:bCs/>
          <w:szCs w:val="22"/>
        </w:rPr>
      </w:pPr>
      <w:r>
        <w:rPr>
          <w:bCs/>
          <w:szCs w:val="22"/>
        </w:rPr>
        <w:t>At P2487.15, insert a new paragraph:</w:t>
      </w:r>
    </w:p>
    <w:p w14:paraId="561018BE" w14:textId="0AB300C3" w:rsidR="00CD5BDF" w:rsidRPr="00CD5BDF" w:rsidRDefault="00CD5BDF">
      <w:pPr>
        <w:rPr>
          <w:bCs/>
          <w:szCs w:val="22"/>
        </w:rPr>
      </w:pPr>
      <w:r>
        <w:rPr>
          <w:bCs/>
          <w:szCs w:val="22"/>
        </w:rPr>
        <w:t>‘In the following procedure, a</w:t>
      </w:r>
      <w:r w:rsidRPr="00CD5BDF">
        <w:rPr>
          <w:bCs/>
          <w:szCs w:val="22"/>
        </w:rPr>
        <w:t xml:space="preserve"> </w:t>
      </w:r>
      <w:r>
        <w:rPr>
          <w:bCs/>
          <w:szCs w:val="22"/>
        </w:rPr>
        <w:t>“</w:t>
      </w:r>
      <w:r w:rsidRPr="00CD5BDF">
        <w:rPr>
          <w:bCs/>
          <w:szCs w:val="22"/>
        </w:rPr>
        <w:t>request tunnelled MMPDU</w:t>
      </w:r>
      <w:r>
        <w:rPr>
          <w:bCs/>
          <w:szCs w:val="22"/>
        </w:rPr>
        <w:t>”</w:t>
      </w:r>
      <w:r w:rsidRPr="00CD5BDF">
        <w:rPr>
          <w:bCs/>
          <w:szCs w:val="22"/>
        </w:rPr>
        <w:t xml:space="preserve"> is an MMPDU generated in the context of an </w:t>
      </w:r>
      <w:proofErr w:type="gramStart"/>
      <w:r w:rsidRPr="00CD5BDF">
        <w:rPr>
          <w:bCs/>
          <w:szCs w:val="22"/>
        </w:rPr>
        <w:t>MLME .request</w:t>
      </w:r>
      <w:proofErr w:type="gramEnd"/>
      <w:r w:rsidRPr="00CD5BDF">
        <w:rPr>
          <w:bCs/>
          <w:szCs w:val="22"/>
        </w:rPr>
        <w:t xml:space="preserve"> primitive.  A </w:t>
      </w:r>
      <w:r>
        <w:rPr>
          <w:bCs/>
          <w:szCs w:val="22"/>
        </w:rPr>
        <w:t>“</w:t>
      </w:r>
      <w:r w:rsidRPr="00CD5BDF">
        <w:rPr>
          <w:bCs/>
          <w:szCs w:val="22"/>
        </w:rPr>
        <w:t>response tunnelled MMPDU</w:t>
      </w:r>
      <w:r>
        <w:rPr>
          <w:bCs/>
          <w:szCs w:val="22"/>
        </w:rPr>
        <w:t>”</w:t>
      </w:r>
      <w:r w:rsidRPr="00CD5BDF">
        <w:rPr>
          <w:bCs/>
          <w:szCs w:val="22"/>
        </w:rPr>
        <w:t xml:space="preserve"> is an MMPDU generated in the context of an </w:t>
      </w:r>
      <w:proofErr w:type="gramStart"/>
      <w:r w:rsidRPr="00CD5BDF">
        <w:rPr>
          <w:bCs/>
          <w:szCs w:val="22"/>
        </w:rPr>
        <w:t>MLME .response</w:t>
      </w:r>
      <w:proofErr w:type="gramEnd"/>
      <w:r w:rsidRPr="00CD5BDF">
        <w:rPr>
          <w:bCs/>
          <w:szCs w:val="22"/>
        </w:rPr>
        <w:t xml:space="preserve"> primitive.</w:t>
      </w:r>
      <w:r>
        <w:rPr>
          <w:bCs/>
          <w:szCs w:val="22"/>
        </w:rPr>
        <w:t>’</w:t>
      </w:r>
    </w:p>
    <w:p w14:paraId="71B9180A" w14:textId="77777777" w:rsidR="007343D4" w:rsidRPr="007343D4" w:rsidRDefault="007343D4">
      <w:pPr>
        <w:rPr>
          <w:bCs/>
          <w:szCs w:val="22"/>
        </w:rPr>
      </w:pPr>
    </w:p>
    <w:p w14:paraId="60CE87A6" w14:textId="7C3F2B50" w:rsidR="007343D4" w:rsidRDefault="007343D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CD4CAA" w14:paraId="0C1BB168"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813E624"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E70C700"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078F0F43"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6494307"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39D142D" w14:textId="77777777" w:rsidR="00CD4CAA" w:rsidRDefault="00CD4CA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CD4CAA" w:rsidRPr="00DE7477" w14:paraId="1B19F0BE" w14:textId="77777777" w:rsidTr="005C22F6">
        <w:trPr>
          <w:trHeight w:val="1154"/>
        </w:trPr>
        <w:tc>
          <w:tcPr>
            <w:tcW w:w="738" w:type="dxa"/>
            <w:hideMark/>
          </w:tcPr>
          <w:p w14:paraId="1D7198F5" w14:textId="77777777" w:rsidR="00CD4CAA" w:rsidRPr="00DE7477" w:rsidRDefault="00CD4CAA" w:rsidP="005C22F6">
            <w:pPr>
              <w:jc w:val="right"/>
              <w:rPr>
                <w:rFonts w:ascii="Arial" w:eastAsia="Times New Roman" w:hAnsi="Arial" w:cs="Arial"/>
                <w:sz w:val="20"/>
                <w:lang w:val="en-US"/>
              </w:rPr>
            </w:pPr>
            <w:r w:rsidRPr="00DE7477">
              <w:rPr>
                <w:rFonts w:ascii="Arial" w:eastAsia="Times New Roman" w:hAnsi="Arial" w:cs="Arial"/>
                <w:sz w:val="20"/>
                <w:lang w:val="en-US"/>
              </w:rPr>
              <w:t>4585</w:t>
            </w:r>
          </w:p>
        </w:tc>
        <w:tc>
          <w:tcPr>
            <w:tcW w:w="990" w:type="dxa"/>
            <w:hideMark/>
          </w:tcPr>
          <w:p w14:paraId="2A05AEFF" w14:textId="77777777" w:rsidR="00CD4CAA" w:rsidRPr="00DE7477" w:rsidRDefault="00CD4CAA" w:rsidP="005C22F6">
            <w:pPr>
              <w:jc w:val="right"/>
              <w:rPr>
                <w:rFonts w:ascii="Arial" w:eastAsia="Times New Roman" w:hAnsi="Arial" w:cs="Arial"/>
                <w:sz w:val="20"/>
                <w:lang w:val="en-US"/>
              </w:rPr>
            </w:pPr>
            <w:r w:rsidRPr="00DE7477">
              <w:rPr>
                <w:rFonts w:ascii="Arial" w:eastAsia="Times New Roman" w:hAnsi="Arial" w:cs="Arial"/>
                <w:sz w:val="20"/>
                <w:lang w:val="en-US"/>
              </w:rPr>
              <w:t>1526.06</w:t>
            </w:r>
          </w:p>
        </w:tc>
        <w:tc>
          <w:tcPr>
            <w:tcW w:w="1080" w:type="dxa"/>
            <w:hideMark/>
          </w:tcPr>
          <w:p w14:paraId="371724C2" w14:textId="77777777" w:rsidR="00CD4CAA" w:rsidRPr="00DE7477" w:rsidRDefault="00CD4CAA" w:rsidP="005C22F6">
            <w:pPr>
              <w:rPr>
                <w:rFonts w:ascii="Arial" w:eastAsia="Times New Roman" w:hAnsi="Arial" w:cs="Arial"/>
                <w:sz w:val="20"/>
                <w:lang w:val="en-US"/>
              </w:rPr>
            </w:pPr>
            <w:r w:rsidRPr="00DE7477">
              <w:rPr>
                <w:rFonts w:ascii="Arial" w:eastAsia="Times New Roman" w:hAnsi="Arial" w:cs="Arial"/>
                <w:sz w:val="20"/>
                <w:lang w:val="en-US"/>
              </w:rPr>
              <w:t>9.6.6.6</w:t>
            </w:r>
          </w:p>
        </w:tc>
        <w:tc>
          <w:tcPr>
            <w:tcW w:w="3600" w:type="dxa"/>
            <w:hideMark/>
          </w:tcPr>
          <w:p w14:paraId="0DEA0231" w14:textId="77777777" w:rsidR="00CD4CAA" w:rsidRPr="00DE7477" w:rsidRDefault="00CD4CAA" w:rsidP="005C22F6">
            <w:pPr>
              <w:rPr>
                <w:rFonts w:ascii="Arial" w:eastAsia="Times New Roman" w:hAnsi="Arial" w:cs="Arial"/>
                <w:sz w:val="20"/>
                <w:lang w:val="en-US"/>
              </w:rPr>
            </w:pPr>
            <w:r w:rsidRPr="00DE7477">
              <w:rPr>
                <w:rFonts w:ascii="Arial" w:eastAsia="Times New Roman" w:hAnsi="Arial" w:cs="Arial"/>
                <w:sz w:val="20"/>
                <w:lang w:val="en-US"/>
              </w:rPr>
              <w:t xml:space="preserve">Why is there a "Table 9-173--Optional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IDs for Neighbor report" but no table showing optional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for Neighbor request?</w:t>
            </w:r>
          </w:p>
        </w:tc>
        <w:tc>
          <w:tcPr>
            <w:tcW w:w="3600" w:type="dxa"/>
            <w:hideMark/>
          </w:tcPr>
          <w:p w14:paraId="6562D1DD" w14:textId="77777777" w:rsidR="00CD4CAA" w:rsidRPr="00DE7477" w:rsidRDefault="00CD4CAA" w:rsidP="005C22F6">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bl>
    <w:p w14:paraId="6AD9A4C5" w14:textId="4D355A40" w:rsidR="00E507EF" w:rsidRDefault="00E507EF" w:rsidP="00E507EF">
      <w:pPr>
        <w:rPr>
          <w:bCs/>
          <w:szCs w:val="22"/>
        </w:rPr>
      </w:pPr>
    </w:p>
    <w:p w14:paraId="12D4300E" w14:textId="1C5E2B62" w:rsidR="00CD4CAA" w:rsidRDefault="00CD4CAA" w:rsidP="00E507EF">
      <w:pPr>
        <w:rPr>
          <w:bCs/>
          <w:szCs w:val="22"/>
        </w:rPr>
      </w:pPr>
      <w:r>
        <w:rPr>
          <w:bCs/>
          <w:szCs w:val="22"/>
          <w:u w:val="single"/>
        </w:rPr>
        <w:t>Discussion:</w:t>
      </w:r>
    </w:p>
    <w:p w14:paraId="63B302D3" w14:textId="658049A4" w:rsidR="00CD4CAA" w:rsidRDefault="00CD4CAA" w:rsidP="00E507EF">
      <w:pPr>
        <w:rPr>
          <w:bCs/>
          <w:szCs w:val="22"/>
        </w:rPr>
      </w:pPr>
    </w:p>
    <w:p w14:paraId="0596157D" w14:textId="2F187068" w:rsidR="00CD4CAA" w:rsidRDefault="00745423" w:rsidP="00E507EF">
      <w:pPr>
        <w:rPr>
          <w:bCs/>
          <w:szCs w:val="22"/>
        </w:rPr>
      </w:pPr>
      <w:r>
        <w:rPr>
          <w:bCs/>
          <w:szCs w:val="22"/>
        </w:rPr>
        <w:t xml:space="preserve">The </w:t>
      </w:r>
      <w:proofErr w:type="spellStart"/>
      <w:r>
        <w:rPr>
          <w:bCs/>
          <w:szCs w:val="22"/>
        </w:rPr>
        <w:t>Neighbor</w:t>
      </w:r>
      <w:proofErr w:type="spellEnd"/>
      <w:r>
        <w:rPr>
          <w:bCs/>
          <w:szCs w:val="22"/>
        </w:rPr>
        <w:t xml:space="preserve"> Report Request frame (note, not “</w:t>
      </w:r>
      <w:proofErr w:type="spellStart"/>
      <w:r>
        <w:rPr>
          <w:bCs/>
          <w:szCs w:val="22"/>
        </w:rPr>
        <w:t>Neighbor</w:t>
      </w:r>
      <w:proofErr w:type="spellEnd"/>
      <w:r>
        <w:rPr>
          <w:bCs/>
          <w:szCs w:val="22"/>
        </w:rPr>
        <w:t xml:space="preserve"> Request”) is described in 9.6.6.6:</w:t>
      </w:r>
    </w:p>
    <w:p w14:paraId="6780D740" w14:textId="54CEA1BE" w:rsidR="00745423" w:rsidRDefault="00745423" w:rsidP="00E507EF">
      <w:pPr>
        <w:rPr>
          <w:bCs/>
          <w:szCs w:val="22"/>
        </w:rPr>
      </w:pPr>
    </w:p>
    <w:p w14:paraId="161FDAA8" w14:textId="40921F83" w:rsidR="00745423" w:rsidRPr="00A75AD1" w:rsidRDefault="00745423" w:rsidP="00E507EF">
      <w:pPr>
        <w:rPr>
          <w:bCs/>
          <w:noProof/>
          <w:szCs w:val="22"/>
          <w:bdr w:val="single" w:sz="8" w:space="0" w:color="auto" w:shadow="1"/>
        </w:rPr>
      </w:pPr>
      <w:r w:rsidRPr="00A75AD1">
        <w:rPr>
          <w:bCs/>
          <w:noProof/>
          <w:szCs w:val="22"/>
          <w:bdr w:val="single" w:sz="8" w:space="0" w:color="auto" w:shadow="1"/>
        </w:rPr>
        <w:drawing>
          <wp:inline distT="0" distB="0" distL="0" distR="0" wp14:anchorId="14764E3A" wp14:editId="458EEF41">
            <wp:extent cx="6400800" cy="2036445"/>
            <wp:effectExtent l="0" t="0" r="0" b="190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2036445"/>
                    </a:xfrm>
                    <a:prstGeom prst="rect">
                      <a:avLst/>
                    </a:prstGeom>
                    <a:noFill/>
                    <a:ln>
                      <a:noFill/>
                    </a:ln>
                  </pic:spPr>
                </pic:pic>
              </a:graphicData>
            </a:graphic>
          </wp:inline>
        </w:drawing>
      </w:r>
    </w:p>
    <w:p w14:paraId="40CFC027" w14:textId="0CC061FE" w:rsidR="00745423" w:rsidRDefault="00745423" w:rsidP="00E507EF">
      <w:pPr>
        <w:rPr>
          <w:bCs/>
          <w:szCs w:val="22"/>
        </w:rPr>
      </w:pPr>
    </w:p>
    <w:p w14:paraId="4B7C0BB0" w14:textId="18FDDA49" w:rsidR="00745423" w:rsidRDefault="00A75AD1" w:rsidP="00E507EF">
      <w:pPr>
        <w:rPr>
          <w:bCs/>
          <w:szCs w:val="22"/>
        </w:rPr>
      </w:pPr>
      <w:r>
        <w:rPr>
          <w:bCs/>
          <w:szCs w:val="22"/>
        </w:rPr>
        <w:t>Contrast this with</w:t>
      </w:r>
      <w:r w:rsidR="00745423">
        <w:rPr>
          <w:bCs/>
          <w:szCs w:val="22"/>
        </w:rPr>
        <w:t xml:space="preserve"> the </w:t>
      </w:r>
      <w:proofErr w:type="spellStart"/>
      <w:r w:rsidR="00745423">
        <w:rPr>
          <w:bCs/>
          <w:szCs w:val="22"/>
        </w:rPr>
        <w:t>Neighbor</w:t>
      </w:r>
      <w:proofErr w:type="spellEnd"/>
      <w:r w:rsidR="00745423">
        <w:rPr>
          <w:bCs/>
          <w:szCs w:val="22"/>
        </w:rPr>
        <w:t xml:space="preserve"> Report</w:t>
      </w:r>
      <w:r>
        <w:rPr>
          <w:bCs/>
          <w:szCs w:val="22"/>
        </w:rPr>
        <w:t xml:space="preserve"> Response</w:t>
      </w:r>
      <w:r w:rsidR="00745423">
        <w:rPr>
          <w:bCs/>
          <w:szCs w:val="22"/>
        </w:rPr>
        <w:t xml:space="preserve"> frame</w:t>
      </w:r>
      <w:r>
        <w:rPr>
          <w:bCs/>
          <w:szCs w:val="22"/>
        </w:rPr>
        <w:t>, described in 9.6.6.7:</w:t>
      </w:r>
    </w:p>
    <w:p w14:paraId="5DABDE89" w14:textId="25851A91" w:rsidR="00A75AD1" w:rsidRDefault="00A75AD1" w:rsidP="00E507EF">
      <w:pPr>
        <w:rPr>
          <w:bCs/>
          <w:szCs w:val="22"/>
        </w:rPr>
      </w:pPr>
    </w:p>
    <w:p w14:paraId="7E58FC9F" w14:textId="61C37172" w:rsidR="00A75AD1" w:rsidRPr="00A75AD1" w:rsidRDefault="00A75AD1" w:rsidP="00E507EF">
      <w:pPr>
        <w:rPr>
          <w:bCs/>
          <w:noProof/>
          <w:szCs w:val="22"/>
          <w:bdr w:val="single" w:sz="8" w:space="0" w:color="auto" w:shadow="1"/>
        </w:rPr>
      </w:pPr>
      <w:r w:rsidRPr="00A75AD1">
        <w:rPr>
          <w:bCs/>
          <w:noProof/>
          <w:szCs w:val="22"/>
          <w:bdr w:val="single" w:sz="8" w:space="0" w:color="auto" w:shadow="1"/>
        </w:rPr>
        <w:drawing>
          <wp:inline distT="0" distB="0" distL="0" distR="0" wp14:anchorId="506DC8B7" wp14:editId="52821066">
            <wp:extent cx="6003290" cy="1864360"/>
            <wp:effectExtent l="0" t="0" r="0" b="254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03290" cy="1864360"/>
                    </a:xfrm>
                    <a:prstGeom prst="rect">
                      <a:avLst/>
                    </a:prstGeom>
                    <a:noFill/>
                    <a:ln>
                      <a:noFill/>
                    </a:ln>
                  </pic:spPr>
                </pic:pic>
              </a:graphicData>
            </a:graphic>
          </wp:inline>
        </w:drawing>
      </w:r>
    </w:p>
    <w:p w14:paraId="21E4047F" w14:textId="5275C2F3" w:rsidR="00A75AD1" w:rsidRPr="00A75AD1" w:rsidRDefault="00A75AD1" w:rsidP="00E507EF">
      <w:pPr>
        <w:rPr>
          <w:bCs/>
          <w:noProof/>
          <w:szCs w:val="22"/>
          <w:bdr w:val="single" w:sz="8" w:space="0" w:color="auto" w:shadow="1"/>
        </w:rPr>
      </w:pPr>
      <w:r w:rsidRPr="00A75AD1">
        <w:rPr>
          <w:bCs/>
          <w:noProof/>
          <w:szCs w:val="22"/>
          <w:bdr w:val="single" w:sz="8" w:space="0" w:color="auto" w:shadow="1"/>
        </w:rPr>
        <w:drawing>
          <wp:inline distT="0" distB="0" distL="0" distR="0" wp14:anchorId="17A08574" wp14:editId="0CEB842C">
            <wp:extent cx="6068060" cy="332740"/>
            <wp:effectExtent l="0" t="0" r="889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8060" cy="332740"/>
                    </a:xfrm>
                    <a:prstGeom prst="rect">
                      <a:avLst/>
                    </a:prstGeom>
                    <a:noFill/>
                    <a:ln>
                      <a:noFill/>
                    </a:ln>
                  </pic:spPr>
                </pic:pic>
              </a:graphicData>
            </a:graphic>
          </wp:inline>
        </w:drawing>
      </w:r>
    </w:p>
    <w:p w14:paraId="0AC4BAF9" w14:textId="1FCE41B2" w:rsidR="00A75AD1" w:rsidRDefault="00A75AD1" w:rsidP="00E507EF">
      <w:pPr>
        <w:rPr>
          <w:bCs/>
          <w:szCs w:val="22"/>
        </w:rPr>
      </w:pPr>
    </w:p>
    <w:p w14:paraId="46BB04B5" w14:textId="52A149FE" w:rsidR="00A75AD1" w:rsidRDefault="00A75AD1" w:rsidP="00E507EF">
      <w:pPr>
        <w:rPr>
          <w:bCs/>
          <w:szCs w:val="22"/>
        </w:rPr>
      </w:pPr>
      <w:r>
        <w:rPr>
          <w:bCs/>
          <w:szCs w:val="22"/>
        </w:rPr>
        <w:t xml:space="preserve">Unlike the </w:t>
      </w:r>
      <w:proofErr w:type="spellStart"/>
      <w:r>
        <w:rPr>
          <w:bCs/>
          <w:szCs w:val="22"/>
        </w:rPr>
        <w:t>Neighbor</w:t>
      </w:r>
      <w:proofErr w:type="spellEnd"/>
      <w:r>
        <w:rPr>
          <w:bCs/>
          <w:szCs w:val="22"/>
        </w:rPr>
        <w:t xml:space="preserve"> Report Response, the </w:t>
      </w:r>
      <w:proofErr w:type="spellStart"/>
      <w:r>
        <w:rPr>
          <w:bCs/>
          <w:szCs w:val="22"/>
        </w:rPr>
        <w:t>Neighbor</w:t>
      </w:r>
      <w:proofErr w:type="spellEnd"/>
      <w:r>
        <w:rPr>
          <w:bCs/>
          <w:szCs w:val="22"/>
        </w:rPr>
        <w:t xml:space="preserve"> Report Request does not carry “</w:t>
      </w:r>
      <w:proofErr w:type="spellStart"/>
      <w:r>
        <w:rPr>
          <w:bCs/>
          <w:szCs w:val="22"/>
        </w:rPr>
        <w:t>Neighbor</w:t>
      </w:r>
      <w:proofErr w:type="spellEnd"/>
      <w:r>
        <w:rPr>
          <w:bCs/>
          <w:szCs w:val="22"/>
        </w:rPr>
        <w:t xml:space="preserve"> Report Elements”.</w:t>
      </w:r>
    </w:p>
    <w:p w14:paraId="10A0763C" w14:textId="76E490EB" w:rsidR="00A75AD1" w:rsidRDefault="00A75AD1" w:rsidP="00E507EF">
      <w:pPr>
        <w:rPr>
          <w:bCs/>
          <w:szCs w:val="22"/>
        </w:rPr>
      </w:pPr>
    </w:p>
    <w:p w14:paraId="39987F42" w14:textId="5DD6CD0C" w:rsidR="00A75AD1" w:rsidRDefault="00A75AD1" w:rsidP="00E507EF">
      <w:pPr>
        <w:rPr>
          <w:bCs/>
          <w:szCs w:val="22"/>
        </w:rPr>
      </w:pPr>
      <w:r>
        <w:rPr>
          <w:bCs/>
          <w:szCs w:val="22"/>
        </w:rPr>
        <w:t>Table 9-173 only applies to the concept “</w:t>
      </w:r>
      <w:proofErr w:type="spellStart"/>
      <w:r>
        <w:rPr>
          <w:bCs/>
          <w:szCs w:val="22"/>
        </w:rPr>
        <w:t>Neighbor</w:t>
      </w:r>
      <w:proofErr w:type="spellEnd"/>
      <w:r>
        <w:rPr>
          <w:bCs/>
          <w:szCs w:val="22"/>
        </w:rPr>
        <w:t xml:space="preserve"> Report Elements”.  These elements are carried in various frames from the AP to the non-AP STA, including the </w:t>
      </w:r>
      <w:proofErr w:type="spellStart"/>
      <w:r>
        <w:rPr>
          <w:bCs/>
          <w:szCs w:val="22"/>
        </w:rPr>
        <w:t>Neighbor</w:t>
      </w:r>
      <w:proofErr w:type="spellEnd"/>
      <w:r>
        <w:rPr>
          <w:bCs/>
          <w:szCs w:val="22"/>
        </w:rPr>
        <w:t xml:space="preserve"> Report Response, but are not carried in a </w:t>
      </w:r>
      <w:proofErr w:type="spellStart"/>
      <w:r>
        <w:rPr>
          <w:bCs/>
          <w:szCs w:val="22"/>
        </w:rPr>
        <w:t>Neighbor</w:t>
      </w:r>
      <w:proofErr w:type="spellEnd"/>
      <w:r>
        <w:rPr>
          <w:bCs/>
          <w:szCs w:val="22"/>
        </w:rPr>
        <w:t xml:space="preserve"> Report Request or other frames from the non-AP STA to the AP.</w:t>
      </w:r>
    </w:p>
    <w:p w14:paraId="14851AB5" w14:textId="515E40F5" w:rsidR="00A75AD1" w:rsidRDefault="00A75AD1" w:rsidP="00E507EF">
      <w:pPr>
        <w:rPr>
          <w:bCs/>
          <w:szCs w:val="22"/>
        </w:rPr>
      </w:pPr>
    </w:p>
    <w:p w14:paraId="27EEE17B" w14:textId="042A603F" w:rsidR="00A75AD1" w:rsidRDefault="00A75AD1" w:rsidP="00E507EF">
      <w:pPr>
        <w:rPr>
          <w:bCs/>
          <w:szCs w:val="22"/>
        </w:rPr>
      </w:pPr>
      <w:r>
        <w:rPr>
          <w:bCs/>
          <w:szCs w:val="22"/>
        </w:rPr>
        <w:t>So, in response to the commenter, two points:</w:t>
      </w:r>
    </w:p>
    <w:p w14:paraId="68BAF78C" w14:textId="6CA74DAB" w:rsidR="00A75AD1" w:rsidRDefault="00A75AD1" w:rsidP="00A75AD1">
      <w:pPr>
        <w:pStyle w:val="ListParagraph"/>
        <w:numPr>
          <w:ilvl w:val="0"/>
          <w:numId w:val="42"/>
        </w:numPr>
        <w:rPr>
          <w:bCs/>
          <w:szCs w:val="22"/>
        </w:rPr>
      </w:pPr>
      <w:r>
        <w:rPr>
          <w:bCs/>
          <w:szCs w:val="22"/>
        </w:rPr>
        <w:t>First, these element IDs apply to “</w:t>
      </w:r>
      <w:proofErr w:type="spellStart"/>
      <w:r>
        <w:rPr>
          <w:bCs/>
          <w:szCs w:val="22"/>
        </w:rPr>
        <w:t>Neighbor</w:t>
      </w:r>
      <w:proofErr w:type="spellEnd"/>
      <w:r>
        <w:rPr>
          <w:bCs/>
          <w:szCs w:val="22"/>
        </w:rPr>
        <w:t xml:space="preserve"> Reports” (per the title of Table 9-173), and in theory “</w:t>
      </w:r>
      <w:proofErr w:type="spellStart"/>
      <w:r>
        <w:rPr>
          <w:bCs/>
          <w:szCs w:val="22"/>
        </w:rPr>
        <w:t>Neighbor</w:t>
      </w:r>
      <w:proofErr w:type="spellEnd"/>
      <w:r>
        <w:rPr>
          <w:bCs/>
          <w:szCs w:val="22"/>
        </w:rPr>
        <w:t xml:space="preserve"> Reports” could include both the Request and Response frames.  So, there is only one table of these values</w:t>
      </w:r>
    </w:p>
    <w:p w14:paraId="695B8B03" w14:textId="187CFB95" w:rsidR="00A75AD1" w:rsidRDefault="00A75AD1" w:rsidP="00A75AD1">
      <w:pPr>
        <w:pStyle w:val="ListParagraph"/>
        <w:numPr>
          <w:ilvl w:val="0"/>
          <w:numId w:val="42"/>
        </w:numPr>
        <w:rPr>
          <w:bCs/>
          <w:szCs w:val="22"/>
        </w:rPr>
      </w:pPr>
      <w:r>
        <w:rPr>
          <w:bCs/>
          <w:szCs w:val="22"/>
        </w:rPr>
        <w:lastRenderedPageBreak/>
        <w:t xml:space="preserve">Second, in usage, however, the </w:t>
      </w:r>
      <w:proofErr w:type="spellStart"/>
      <w:r>
        <w:rPr>
          <w:bCs/>
          <w:szCs w:val="22"/>
        </w:rPr>
        <w:t>Neighbor</w:t>
      </w:r>
      <w:proofErr w:type="spellEnd"/>
      <w:r>
        <w:rPr>
          <w:bCs/>
          <w:szCs w:val="22"/>
        </w:rPr>
        <w:t xml:space="preserve"> Report elements in fact only appear in the information provided by the AP to the non-AP STA, and are not present in the request from the non-AP STA.</w:t>
      </w:r>
    </w:p>
    <w:p w14:paraId="0DCC3A21" w14:textId="5ABEFEAE" w:rsidR="00A75AD1" w:rsidRDefault="00A75AD1" w:rsidP="00A75AD1">
      <w:pPr>
        <w:rPr>
          <w:bCs/>
          <w:szCs w:val="22"/>
        </w:rPr>
      </w:pPr>
    </w:p>
    <w:p w14:paraId="6C3D4C73" w14:textId="243ADF36" w:rsidR="00A75AD1" w:rsidRDefault="00A75AD1" w:rsidP="00A75AD1">
      <w:pPr>
        <w:rPr>
          <w:bCs/>
          <w:szCs w:val="22"/>
        </w:rPr>
      </w:pPr>
      <w:r w:rsidRPr="008206CA">
        <w:rPr>
          <w:bCs/>
          <w:szCs w:val="22"/>
          <w:highlight w:val="yellow"/>
          <w:u w:val="single"/>
        </w:rPr>
        <w:t>Proposed Resolution:</w:t>
      </w:r>
    </w:p>
    <w:p w14:paraId="0191E254" w14:textId="54A45D79" w:rsidR="00A75AD1" w:rsidRDefault="00A75AD1" w:rsidP="00A75AD1">
      <w:pPr>
        <w:rPr>
          <w:bCs/>
          <w:szCs w:val="22"/>
        </w:rPr>
      </w:pPr>
    </w:p>
    <w:p w14:paraId="40A2C433" w14:textId="53782F81" w:rsidR="00A75AD1" w:rsidRDefault="00A75AD1" w:rsidP="00A75AD1">
      <w:pPr>
        <w:rPr>
          <w:bCs/>
          <w:szCs w:val="22"/>
        </w:rPr>
      </w:pPr>
      <w:r>
        <w:rPr>
          <w:bCs/>
          <w:szCs w:val="22"/>
        </w:rPr>
        <w:t>Rejected.  The elements listed in Table 9-173 appear wherever “</w:t>
      </w:r>
      <w:proofErr w:type="spellStart"/>
      <w:r>
        <w:rPr>
          <w:bCs/>
          <w:szCs w:val="22"/>
        </w:rPr>
        <w:t>Neighbor</w:t>
      </w:r>
      <w:proofErr w:type="spellEnd"/>
      <w:r>
        <w:rPr>
          <w:bCs/>
          <w:szCs w:val="22"/>
        </w:rPr>
        <w:t xml:space="preserve"> Report elements” are called out.  </w:t>
      </w:r>
      <w:r w:rsidR="008206CA">
        <w:rPr>
          <w:bCs/>
          <w:szCs w:val="22"/>
        </w:rPr>
        <w:t>C</w:t>
      </w:r>
      <w:r>
        <w:rPr>
          <w:bCs/>
          <w:szCs w:val="22"/>
        </w:rPr>
        <w:t xml:space="preserve">onceptually, this could be in both </w:t>
      </w:r>
      <w:r w:rsidR="008206CA">
        <w:rPr>
          <w:bCs/>
          <w:szCs w:val="22"/>
        </w:rPr>
        <w:t xml:space="preserve">the </w:t>
      </w:r>
      <w:proofErr w:type="spellStart"/>
      <w:r w:rsidR="008206CA">
        <w:rPr>
          <w:bCs/>
          <w:szCs w:val="22"/>
        </w:rPr>
        <w:t>Neighbor</w:t>
      </w:r>
      <w:proofErr w:type="spellEnd"/>
      <w:r w:rsidR="008206CA">
        <w:rPr>
          <w:bCs/>
          <w:szCs w:val="22"/>
        </w:rPr>
        <w:t xml:space="preserve"> Report Response from the AP to the non-AP STA (and other informational frames from the AP) as well as in the </w:t>
      </w:r>
      <w:proofErr w:type="spellStart"/>
      <w:r w:rsidR="008206CA">
        <w:rPr>
          <w:bCs/>
          <w:szCs w:val="22"/>
        </w:rPr>
        <w:t>Neighbor</w:t>
      </w:r>
      <w:proofErr w:type="spellEnd"/>
      <w:r w:rsidR="008206CA">
        <w:rPr>
          <w:bCs/>
          <w:szCs w:val="22"/>
        </w:rPr>
        <w:t xml:space="preserve"> Report Request from the non-AP STA to the AP – which is what the commenter questioned.  However, currently the </w:t>
      </w:r>
      <w:proofErr w:type="spellStart"/>
      <w:r w:rsidR="008206CA">
        <w:rPr>
          <w:bCs/>
          <w:szCs w:val="22"/>
        </w:rPr>
        <w:t>Neighbor</w:t>
      </w:r>
      <w:proofErr w:type="spellEnd"/>
      <w:r w:rsidR="008206CA">
        <w:rPr>
          <w:bCs/>
          <w:szCs w:val="22"/>
        </w:rPr>
        <w:t xml:space="preserve"> Report elements in fact only occur in frames from the AP to the non-AP STA, anyway.</w:t>
      </w:r>
    </w:p>
    <w:p w14:paraId="44C35675" w14:textId="77777777" w:rsidR="008206CA" w:rsidRDefault="008206CA" w:rsidP="00A75AD1">
      <w:pPr>
        <w:rPr>
          <w:bCs/>
          <w:szCs w:val="22"/>
        </w:rPr>
      </w:pPr>
    </w:p>
    <w:p w14:paraId="5558BC5C" w14:textId="77777777" w:rsidR="00377D83" w:rsidRDefault="00E507EF">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77D83" w14:paraId="5C2880C2"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483EFEB2"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33BDD45F"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48914F5"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69F5C9AD"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546E76A" w14:textId="77777777" w:rsidR="00377D83" w:rsidRDefault="00377D83"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377D83" w:rsidRPr="00DE7477" w14:paraId="64888A48" w14:textId="77777777" w:rsidTr="005C22F6">
        <w:trPr>
          <w:trHeight w:val="2295"/>
        </w:trPr>
        <w:tc>
          <w:tcPr>
            <w:tcW w:w="738" w:type="dxa"/>
            <w:hideMark/>
          </w:tcPr>
          <w:p w14:paraId="18E0759C"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4567</w:t>
            </w:r>
          </w:p>
        </w:tc>
        <w:tc>
          <w:tcPr>
            <w:tcW w:w="990" w:type="dxa"/>
            <w:hideMark/>
          </w:tcPr>
          <w:p w14:paraId="760CA10F" w14:textId="77777777" w:rsidR="00377D83" w:rsidRPr="00DE7477" w:rsidRDefault="00377D83" w:rsidP="005C22F6">
            <w:pPr>
              <w:jc w:val="right"/>
              <w:rPr>
                <w:rFonts w:ascii="Arial" w:eastAsia="Times New Roman" w:hAnsi="Arial" w:cs="Arial"/>
                <w:sz w:val="20"/>
                <w:lang w:val="en-US"/>
              </w:rPr>
            </w:pPr>
            <w:r w:rsidRPr="00DE7477">
              <w:rPr>
                <w:rFonts w:ascii="Arial" w:eastAsia="Times New Roman" w:hAnsi="Arial" w:cs="Arial"/>
                <w:sz w:val="20"/>
                <w:lang w:val="en-US"/>
              </w:rPr>
              <w:t>2302.49</w:t>
            </w:r>
          </w:p>
        </w:tc>
        <w:tc>
          <w:tcPr>
            <w:tcW w:w="1080" w:type="dxa"/>
            <w:hideMark/>
          </w:tcPr>
          <w:p w14:paraId="5D8BAFEA"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11.10.9.2</w:t>
            </w:r>
          </w:p>
        </w:tc>
        <w:tc>
          <w:tcPr>
            <w:tcW w:w="3600" w:type="dxa"/>
            <w:hideMark/>
          </w:tcPr>
          <w:p w14:paraId="52E87A66"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"a Frame Report</w:t>
            </w:r>
            <w:r w:rsidRPr="00DE7477">
              <w:rPr>
                <w:rFonts w:ascii="Arial" w:eastAsia="Times New Roman" w:hAnsi="Arial" w:cs="Arial"/>
                <w:sz w:val="20"/>
                <w:lang w:val="en-US"/>
              </w:rPr>
              <w:br/>
              <w:t>Entry field where Transmitter Address (TA) matching the MAC address field value" -- is this TA in the MAC header?  A field somewhere?  I think it's a misnamed field from Figure 9-235--Frame Report Entry field format</w:t>
            </w:r>
          </w:p>
        </w:tc>
        <w:tc>
          <w:tcPr>
            <w:tcW w:w="3600" w:type="dxa"/>
            <w:hideMark/>
          </w:tcPr>
          <w:p w14:paraId="3BAC8574" w14:textId="77777777" w:rsidR="00377D83" w:rsidRPr="00DE7477" w:rsidRDefault="00377D83" w:rsidP="005C22F6">
            <w:pPr>
              <w:rPr>
                <w:rFonts w:ascii="Arial" w:eastAsia="Times New Roman" w:hAnsi="Arial" w:cs="Arial"/>
                <w:sz w:val="20"/>
                <w:lang w:val="en-US"/>
              </w:rPr>
            </w:pPr>
            <w:r w:rsidRPr="00DE7477">
              <w:rPr>
                <w:rFonts w:ascii="Arial" w:eastAsia="Times New Roman" w:hAnsi="Arial" w:cs="Arial"/>
                <w:sz w:val="20"/>
                <w:lang w:val="en-US"/>
              </w:rPr>
              <w:t>Change to "a Frame Report</w:t>
            </w:r>
            <w:r w:rsidRPr="00DE7477">
              <w:rPr>
                <w:rFonts w:ascii="Arial" w:eastAsia="Times New Roman" w:hAnsi="Arial" w:cs="Arial"/>
                <w:sz w:val="20"/>
                <w:lang w:val="en-US"/>
              </w:rPr>
              <w:br/>
              <w:t>Entry field with a Transmit Address field matching the MAC address field value"</w:t>
            </w:r>
          </w:p>
        </w:tc>
      </w:tr>
    </w:tbl>
    <w:p w14:paraId="59274B3A" w14:textId="652DCF82" w:rsidR="00E507EF" w:rsidRDefault="00E507EF">
      <w:pPr>
        <w:rPr>
          <w:bCs/>
          <w:szCs w:val="22"/>
        </w:rPr>
      </w:pPr>
    </w:p>
    <w:p w14:paraId="27F5A0B0" w14:textId="77777777" w:rsidR="00377D83" w:rsidRDefault="00377D83" w:rsidP="00377D83">
      <w:pPr>
        <w:rPr>
          <w:bCs/>
          <w:szCs w:val="22"/>
        </w:rPr>
      </w:pPr>
      <w:r>
        <w:rPr>
          <w:bCs/>
          <w:szCs w:val="22"/>
          <w:u w:val="single"/>
        </w:rPr>
        <w:t>Discussion:</w:t>
      </w:r>
    </w:p>
    <w:p w14:paraId="1522452D" w14:textId="77777777" w:rsidR="00377D83" w:rsidRDefault="00377D83" w:rsidP="00377D83">
      <w:pPr>
        <w:rPr>
          <w:bCs/>
          <w:szCs w:val="22"/>
        </w:rPr>
      </w:pPr>
    </w:p>
    <w:p w14:paraId="5EC47C87"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6E26BF2F" wp14:editId="5F816462">
            <wp:extent cx="6009005" cy="1906270"/>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09005" cy="1906270"/>
                    </a:xfrm>
                    <a:prstGeom prst="rect">
                      <a:avLst/>
                    </a:prstGeom>
                    <a:noFill/>
                    <a:ln>
                      <a:noFill/>
                    </a:ln>
                  </pic:spPr>
                </pic:pic>
              </a:graphicData>
            </a:graphic>
          </wp:inline>
        </w:drawing>
      </w:r>
    </w:p>
    <w:p w14:paraId="32EA3530" w14:textId="77777777" w:rsidR="00377D83" w:rsidRDefault="00377D83" w:rsidP="00377D83">
      <w:pPr>
        <w:rPr>
          <w:bCs/>
          <w:szCs w:val="22"/>
        </w:rPr>
      </w:pPr>
    </w:p>
    <w:p w14:paraId="5E074CB9" w14:textId="77777777" w:rsidR="00377D83" w:rsidRDefault="00377D83" w:rsidP="00377D83">
      <w:pPr>
        <w:rPr>
          <w:bCs/>
          <w:szCs w:val="22"/>
        </w:rPr>
      </w:pPr>
      <w:r>
        <w:rPr>
          <w:bCs/>
          <w:szCs w:val="22"/>
        </w:rPr>
        <w:t>The Frame request frame has the following format and description:</w:t>
      </w:r>
    </w:p>
    <w:p w14:paraId="591750B0" w14:textId="77777777" w:rsidR="00377D83" w:rsidRDefault="00377D83" w:rsidP="00377D83">
      <w:pPr>
        <w:rPr>
          <w:bCs/>
          <w:szCs w:val="22"/>
        </w:rPr>
      </w:pPr>
    </w:p>
    <w:p w14:paraId="6E7F56F6"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01F4FC9D" wp14:editId="2E8BD3ED">
            <wp:extent cx="6003290" cy="181102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03290" cy="1811020"/>
                    </a:xfrm>
                    <a:prstGeom prst="rect">
                      <a:avLst/>
                    </a:prstGeom>
                    <a:noFill/>
                    <a:ln>
                      <a:noFill/>
                    </a:ln>
                  </pic:spPr>
                </pic:pic>
              </a:graphicData>
            </a:graphic>
          </wp:inline>
        </w:drawing>
      </w:r>
    </w:p>
    <w:p w14:paraId="26381235" w14:textId="77777777" w:rsidR="00377D83" w:rsidRPr="00DF2556" w:rsidRDefault="00377D83" w:rsidP="00377D83">
      <w:pPr>
        <w:rPr>
          <w:bCs/>
          <w:noProof/>
          <w:szCs w:val="22"/>
          <w:bdr w:val="single" w:sz="8" w:space="0" w:color="auto" w:shadow="1"/>
        </w:rPr>
      </w:pPr>
      <w:r w:rsidRPr="00DF2556">
        <w:rPr>
          <w:bCs/>
          <w:noProof/>
          <w:szCs w:val="22"/>
          <w:bdr w:val="single" w:sz="8" w:space="0" w:color="auto" w:shadow="1"/>
        </w:rPr>
        <w:drawing>
          <wp:inline distT="0" distB="0" distL="0" distR="0" wp14:anchorId="454DEA1D" wp14:editId="591B4229">
            <wp:extent cx="6003290" cy="706755"/>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03290" cy="706755"/>
                    </a:xfrm>
                    <a:prstGeom prst="rect">
                      <a:avLst/>
                    </a:prstGeom>
                    <a:noFill/>
                    <a:ln>
                      <a:noFill/>
                    </a:ln>
                  </pic:spPr>
                </pic:pic>
              </a:graphicData>
            </a:graphic>
          </wp:inline>
        </w:drawing>
      </w:r>
    </w:p>
    <w:p w14:paraId="501F3207" w14:textId="77777777" w:rsidR="00377D83" w:rsidRDefault="00377D83" w:rsidP="00377D83">
      <w:pPr>
        <w:rPr>
          <w:bCs/>
          <w:szCs w:val="22"/>
        </w:rPr>
      </w:pPr>
    </w:p>
    <w:p w14:paraId="57CF07EA" w14:textId="77777777" w:rsidR="00377D83" w:rsidRDefault="00377D83" w:rsidP="00377D83">
      <w:pPr>
        <w:rPr>
          <w:bCs/>
          <w:szCs w:val="22"/>
        </w:rPr>
      </w:pPr>
      <w:r>
        <w:rPr>
          <w:bCs/>
          <w:szCs w:val="22"/>
        </w:rPr>
        <w:t>So, it is frames received with a TA that matches the Frame request’s MAC Address field, that are counted for the Frame report.  So, agree with the commenter that this sentence is mixing up terms and concepts.</w:t>
      </w:r>
    </w:p>
    <w:p w14:paraId="3C6F7FE3" w14:textId="77777777" w:rsidR="00377D83" w:rsidRDefault="00377D83" w:rsidP="00377D83">
      <w:pPr>
        <w:rPr>
          <w:bCs/>
          <w:szCs w:val="22"/>
        </w:rPr>
      </w:pPr>
    </w:p>
    <w:p w14:paraId="1C8A062D" w14:textId="77777777" w:rsidR="00377D83" w:rsidRDefault="00377D83" w:rsidP="00377D83">
      <w:pPr>
        <w:rPr>
          <w:bCs/>
          <w:szCs w:val="22"/>
        </w:rPr>
      </w:pPr>
      <w:r>
        <w:rPr>
          <w:bCs/>
          <w:szCs w:val="22"/>
        </w:rPr>
        <w:t xml:space="preserve">However, it would be better to state this clearly (with a re-write of the sentence), in a way that is </w:t>
      </w:r>
      <w:proofErr w:type="gramStart"/>
      <w:r>
        <w:rPr>
          <w:bCs/>
          <w:szCs w:val="22"/>
        </w:rPr>
        <w:t>similar to</w:t>
      </w:r>
      <w:proofErr w:type="gramEnd"/>
      <w:r>
        <w:rPr>
          <w:bCs/>
          <w:szCs w:val="22"/>
        </w:rPr>
        <w:t xml:space="preserve"> the subsequent sentence.</w:t>
      </w:r>
    </w:p>
    <w:p w14:paraId="761BB699" w14:textId="77777777" w:rsidR="00377D83" w:rsidRDefault="00377D83" w:rsidP="00377D83">
      <w:pPr>
        <w:rPr>
          <w:bCs/>
          <w:szCs w:val="22"/>
        </w:rPr>
      </w:pPr>
    </w:p>
    <w:p w14:paraId="20390C03" w14:textId="77777777" w:rsidR="00377D83" w:rsidRDefault="00377D83" w:rsidP="00377D83">
      <w:pPr>
        <w:rPr>
          <w:bCs/>
          <w:szCs w:val="22"/>
        </w:rPr>
      </w:pPr>
      <w:r w:rsidRPr="00871FD1">
        <w:rPr>
          <w:bCs/>
          <w:szCs w:val="22"/>
          <w:highlight w:val="yellow"/>
          <w:u w:val="single"/>
        </w:rPr>
        <w:t>Proposed Resolution:</w:t>
      </w:r>
    </w:p>
    <w:p w14:paraId="0ED4D0EB" w14:textId="77777777" w:rsidR="00C034F6" w:rsidRPr="00871FD1" w:rsidRDefault="00C034F6" w:rsidP="00C034F6">
      <w:pPr>
        <w:rPr>
          <w:bCs/>
          <w:i/>
          <w:iCs/>
          <w:szCs w:val="22"/>
        </w:rPr>
      </w:pPr>
      <w:r w:rsidRPr="00871FD1">
        <w:rPr>
          <w:bCs/>
          <w:i/>
          <w:iCs/>
          <w:szCs w:val="22"/>
          <w:highlight w:val="yellow"/>
        </w:rPr>
        <w:lastRenderedPageBreak/>
        <w:t>This proposal loses the concept of “if at least one Data or Management frame was received”.  Is that important and correct to have included?</w:t>
      </w:r>
    </w:p>
    <w:p w14:paraId="155F6D83" w14:textId="77777777" w:rsidR="00C034F6" w:rsidRDefault="00C034F6" w:rsidP="00C034F6">
      <w:pPr>
        <w:rPr>
          <w:bCs/>
          <w:szCs w:val="22"/>
        </w:rPr>
      </w:pPr>
    </w:p>
    <w:p w14:paraId="478E8F74" w14:textId="6AD04D2E" w:rsidR="00377D83" w:rsidRDefault="00C034F6" w:rsidP="00377D83">
      <w:pPr>
        <w:rPr>
          <w:bCs/>
          <w:szCs w:val="22"/>
        </w:rPr>
      </w:pPr>
      <w:r>
        <w:rPr>
          <w:bCs/>
          <w:szCs w:val="22"/>
        </w:rPr>
        <w:t>Revised.</w:t>
      </w:r>
    </w:p>
    <w:p w14:paraId="542DC436" w14:textId="77777777" w:rsidR="00C034F6" w:rsidRDefault="00C034F6" w:rsidP="00377D83">
      <w:pPr>
        <w:rPr>
          <w:bCs/>
          <w:szCs w:val="22"/>
        </w:rPr>
      </w:pPr>
    </w:p>
    <w:p w14:paraId="4322301B" w14:textId="77777777" w:rsidR="00377D83" w:rsidRDefault="00377D83" w:rsidP="00377D83">
      <w:pPr>
        <w:rPr>
          <w:bCs/>
          <w:szCs w:val="22"/>
        </w:rPr>
      </w:pPr>
      <w:r>
        <w:rPr>
          <w:bCs/>
          <w:szCs w:val="22"/>
        </w:rPr>
        <w:t>Replace:</w:t>
      </w:r>
    </w:p>
    <w:p w14:paraId="78704526" w14:textId="77777777" w:rsidR="00377D83" w:rsidRPr="00871FD1" w:rsidRDefault="00377D83" w:rsidP="00377D83">
      <w:pPr>
        <w:rPr>
          <w:bCs/>
          <w:szCs w:val="22"/>
        </w:rPr>
      </w:pPr>
      <w:r w:rsidRPr="00871FD1">
        <w:rPr>
          <w:bCs/>
          <w:szCs w:val="22"/>
        </w:rPr>
        <w:t>If the MAC Address field included in the Frame request was not set to the broadcast address, a Frame Report</w:t>
      </w:r>
      <w:r>
        <w:rPr>
          <w:bCs/>
          <w:szCs w:val="22"/>
        </w:rPr>
        <w:t xml:space="preserve"> </w:t>
      </w:r>
      <w:r w:rsidRPr="00871FD1">
        <w:rPr>
          <w:bCs/>
          <w:szCs w:val="22"/>
        </w:rPr>
        <w:t>Entry field where Transmitter Address (TA) matching the MAC address field value shall be included in the</w:t>
      </w:r>
      <w:r>
        <w:rPr>
          <w:bCs/>
          <w:szCs w:val="22"/>
        </w:rPr>
        <w:t xml:space="preserve"> </w:t>
      </w:r>
      <w:r w:rsidRPr="00871FD1">
        <w:rPr>
          <w:bCs/>
          <w:szCs w:val="22"/>
        </w:rPr>
        <w:t>Frame report if at least one Data or Management frame was received with this Transmitter Address during the</w:t>
      </w:r>
      <w:r>
        <w:rPr>
          <w:bCs/>
          <w:szCs w:val="22"/>
        </w:rPr>
        <w:t xml:space="preserve"> </w:t>
      </w:r>
      <w:r w:rsidRPr="00871FD1">
        <w:rPr>
          <w:bCs/>
          <w:szCs w:val="22"/>
        </w:rPr>
        <w:t>measurement duration.</w:t>
      </w:r>
    </w:p>
    <w:p w14:paraId="0619B2FA" w14:textId="77777777" w:rsidR="00377D83" w:rsidRPr="00871FD1" w:rsidRDefault="00377D83" w:rsidP="00377D83">
      <w:pPr>
        <w:rPr>
          <w:bCs/>
          <w:szCs w:val="22"/>
        </w:rPr>
      </w:pPr>
    </w:p>
    <w:p w14:paraId="22F3D127" w14:textId="77777777" w:rsidR="00377D83" w:rsidRPr="00871FD1" w:rsidRDefault="00377D83" w:rsidP="00377D83">
      <w:pPr>
        <w:rPr>
          <w:bCs/>
          <w:szCs w:val="22"/>
        </w:rPr>
      </w:pPr>
      <w:r w:rsidRPr="00871FD1">
        <w:rPr>
          <w:bCs/>
          <w:szCs w:val="22"/>
        </w:rPr>
        <w:t>with:</w:t>
      </w:r>
    </w:p>
    <w:p w14:paraId="1428F924" w14:textId="77777777" w:rsidR="00377D83" w:rsidRPr="00871FD1" w:rsidRDefault="00377D83" w:rsidP="00377D83">
      <w:pPr>
        <w:rPr>
          <w:bCs/>
          <w:szCs w:val="22"/>
        </w:rPr>
      </w:pPr>
      <w:r w:rsidRPr="00871FD1">
        <w:rPr>
          <w:bCs/>
          <w:szCs w:val="22"/>
        </w:rPr>
        <w:t>If the MAC Address field included in the Frame request was not set to the broadcast</w:t>
      </w:r>
      <w:r>
        <w:rPr>
          <w:bCs/>
          <w:szCs w:val="22"/>
        </w:rPr>
        <w:t xml:space="preserve"> </w:t>
      </w:r>
      <w:r w:rsidRPr="00871FD1">
        <w:rPr>
          <w:bCs/>
          <w:szCs w:val="22"/>
        </w:rPr>
        <w:t xml:space="preserve">address, the measuring station shall report, in one or more Frame reports, only those Data or Management frames received during the measurement duration </w:t>
      </w:r>
      <w:r>
        <w:rPr>
          <w:bCs/>
          <w:szCs w:val="22"/>
        </w:rPr>
        <w:t>with a</w:t>
      </w:r>
      <w:r w:rsidRPr="00871FD1">
        <w:rPr>
          <w:bCs/>
          <w:szCs w:val="22"/>
        </w:rPr>
        <w:t xml:space="preserve"> TA </w:t>
      </w:r>
      <w:r>
        <w:rPr>
          <w:bCs/>
          <w:szCs w:val="22"/>
        </w:rPr>
        <w:t xml:space="preserve">field </w:t>
      </w:r>
      <w:r w:rsidRPr="00871FD1">
        <w:rPr>
          <w:bCs/>
          <w:szCs w:val="22"/>
        </w:rPr>
        <w:t>match</w:t>
      </w:r>
      <w:r>
        <w:rPr>
          <w:bCs/>
          <w:szCs w:val="22"/>
        </w:rPr>
        <w:t>ing</w:t>
      </w:r>
      <w:r w:rsidRPr="00871FD1">
        <w:rPr>
          <w:bCs/>
          <w:szCs w:val="22"/>
        </w:rPr>
        <w:t xml:space="preserve"> the MAC Address field of the Frame request.</w:t>
      </w:r>
    </w:p>
    <w:p w14:paraId="02EA98A6" w14:textId="77777777" w:rsidR="00377D83" w:rsidRPr="00A80A0D" w:rsidRDefault="00377D83" w:rsidP="00377D83">
      <w:pPr>
        <w:rPr>
          <w:bCs/>
          <w:szCs w:val="22"/>
        </w:rPr>
      </w:pPr>
    </w:p>
    <w:p w14:paraId="01ABEAD0" w14:textId="77777777" w:rsidR="00835269" w:rsidRDefault="00377D83" w:rsidP="00377D83">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35269" w14:paraId="18619D15"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B5BE2FD"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F1FCAF2"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11B977E4"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13390E5E"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0EE8E9E5" w14:textId="77777777" w:rsidR="00835269" w:rsidRDefault="0083526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835269" w:rsidRPr="00DE7477" w14:paraId="0EBCC034" w14:textId="77777777" w:rsidTr="005C22F6">
        <w:trPr>
          <w:trHeight w:val="765"/>
        </w:trPr>
        <w:tc>
          <w:tcPr>
            <w:tcW w:w="738" w:type="dxa"/>
            <w:hideMark/>
          </w:tcPr>
          <w:p w14:paraId="73D3EC84" w14:textId="77777777" w:rsidR="00835269" w:rsidRPr="00DE7477" w:rsidRDefault="00835269" w:rsidP="005C22F6">
            <w:pPr>
              <w:jc w:val="right"/>
              <w:rPr>
                <w:rFonts w:ascii="Arial" w:eastAsia="Times New Roman" w:hAnsi="Arial" w:cs="Arial"/>
                <w:sz w:val="20"/>
                <w:lang w:val="en-US"/>
              </w:rPr>
            </w:pPr>
            <w:r w:rsidRPr="00DE7477">
              <w:rPr>
                <w:rFonts w:ascii="Arial" w:eastAsia="Times New Roman" w:hAnsi="Arial" w:cs="Arial"/>
                <w:sz w:val="20"/>
                <w:lang w:val="en-US"/>
              </w:rPr>
              <w:t>4511</w:t>
            </w:r>
          </w:p>
        </w:tc>
        <w:tc>
          <w:tcPr>
            <w:tcW w:w="990" w:type="dxa"/>
            <w:hideMark/>
          </w:tcPr>
          <w:p w14:paraId="24258582" w14:textId="77777777" w:rsidR="00835269" w:rsidRPr="00DE7477" w:rsidRDefault="00835269" w:rsidP="005C22F6">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4E7F81F3" w14:textId="77777777" w:rsidR="00835269" w:rsidRPr="00DE7477" w:rsidRDefault="00835269" w:rsidP="005C22F6">
            <w:pPr>
              <w:rPr>
                <w:rFonts w:ascii="Arial" w:eastAsia="Times New Roman" w:hAnsi="Arial" w:cs="Arial"/>
                <w:sz w:val="20"/>
                <w:lang w:val="en-US"/>
              </w:rPr>
            </w:pPr>
            <w:r w:rsidRPr="00DE7477">
              <w:rPr>
                <w:rFonts w:ascii="Arial" w:eastAsia="Times New Roman" w:hAnsi="Arial" w:cs="Arial"/>
                <w:sz w:val="20"/>
                <w:lang w:val="en-US"/>
              </w:rPr>
              <w:t>10.3.8</w:t>
            </w:r>
          </w:p>
        </w:tc>
        <w:tc>
          <w:tcPr>
            <w:tcW w:w="3600" w:type="dxa"/>
            <w:hideMark/>
          </w:tcPr>
          <w:p w14:paraId="0CA92A30" w14:textId="77777777" w:rsidR="00835269" w:rsidRPr="00DE7477" w:rsidRDefault="00835269" w:rsidP="005C22F6">
            <w:pPr>
              <w:rPr>
                <w:rFonts w:ascii="Arial" w:eastAsia="Times New Roman" w:hAnsi="Arial" w:cs="Arial"/>
                <w:sz w:val="20"/>
                <w:lang w:val="en-US"/>
              </w:rPr>
            </w:pPr>
            <w:r w:rsidRPr="00DE7477">
              <w:rPr>
                <w:rFonts w:ascii="Arial" w:eastAsia="Times New Roman" w:hAnsi="Arial" w:cs="Arial"/>
                <w:sz w:val="20"/>
                <w:lang w:val="en-US"/>
              </w:rPr>
              <w:t>"frames with the TXVECTOR" should be "PPDUs with the TXVECTOR"</w:t>
            </w:r>
          </w:p>
        </w:tc>
        <w:tc>
          <w:tcPr>
            <w:tcW w:w="3600" w:type="dxa"/>
            <w:hideMark/>
          </w:tcPr>
          <w:p w14:paraId="50C41DEC" w14:textId="77777777" w:rsidR="00835269" w:rsidRPr="00DE7477" w:rsidRDefault="00835269" w:rsidP="005C22F6">
            <w:pPr>
              <w:rPr>
                <w:rFonts w:ascii="Arial" w:eastAsia="Times New Roman" w:hAnsi="Arial" w:cs="Arial"/>
                <w:sz w:val="20"/>
                <w:lang w:val="en-US"/>
              </w:rPr>
            </w:pPr>
            <w:r w:rsidRPr="00DE7477">
              <w:rPr>
                <w:rFonts w:ascii="Arial" w:eastAsia="Times New Roman" w:hAnsi="Arial" w:cs="Arial"/>
                <w:sz w:val="20"/>
                <w:lang w:val="en-US"/>
              </w:rPr>
              <w:t>Change as indicated in 10.3.8 (2x), 19.3.2</w:t>
            </w:r>
          </w:p>
        </w:tc>
      </w:tr>
    </w:tbl>
    <w:p w14:paraId="7CEEBF1D" w14:textId="7A2639B8" w:rsidR="00377D83" w:rsidRDefault="00377D83" w:rsidP="00377D83">
      <w:pPr>
        <w:rPr>
          <w:bCs/>
          <w:szCs w:val="22"/>
        </w:rPr>
      </w:pPr>
    </w:p>
    <w:p w14:paraId="278135D7" w14:textId="4C463909" w:rsidR="00835269" w:rsidRDefault="00835269" w:rsidP="00377D83">
      <w:pPr>
        <w:rPr>
          <w:bCs/>
          <w:szCs w:val="22"/>
        </w:rPr>
      </w:pPr>
      <w:r>
        <w:rPr>
          <w:bCs/>
          <w:szCs w:val="22"/>
          <w:u w:val="single"/>
        </w:rPr>
        <w:t>Discussion:</w:t>
      </w:r>
    </w:p>
    <w:p w14:paraId="3D06E8B5" w14:textId="4D1A4ACF" w:rsidR="00835269" w:rsidRDefault="00835269" w:rsidP="00377D83">
      <w:pPr>
        <w:rPr>
          <w:bCs/>
          <w:szCs w:val="22"/>
        </w:rPr>
      </w:pPr>
    </w:p>
    <w:p w14:paraId="04B4C5FD" w14:textId="305AE67A" w:rsidR="00835269" w:rsidRPr="005F5CD1" w:rsidRDefault="004A7807" w:rsidP="00377D83">
      <w:pPr>
        <w:rPr>
          <w:bCs/>
          <w:noProof/>
          <w:szCs w:val="22"/>
          <w:bdr w:val="single" w:sz="8" w:space="0" w:color="auto" w:shadow="1"/>
        </w:rPr>
      </w:pPr>
      <w:r>
        <w:rPr>
          <w:bCs/>
          <w:noProof/>
          <w:szCs w:val="22"/>
        </w:rPr>
        <mc:AlternateContent>
          <mc:Choice Requires="wpi">
            <w:drawing>
              <wp:anchor distT="0" distB="0" distL="114300" distR="114300" simplePos="0" relativeHeight="251667456" behindDoc="0" locked="0" layoutInCell="1" allowOverlap="1" wp14:anchorId="2A48A9F1" wp14:editId="3006CB8C">
                <wp:simplePos x="0" y="0"/>
                <wp:positionH relativeFrom="column">
                  <wp:posOffset>1483207</wp:posOffset>
                </wp:positionH>
                <wp:positionV relativeFrom="paragraph">
                  <wp:posOffset>430544</wp:posOffset>
                </wp:positionV>
                <wp:extent cx="1769400" cy="55440"/>
                <wp:effectExtent l="76200" t="133350" r="97790" b="173355"/>
                <wp:wrapNone/>
                <wp:docPr id="325" name="Ink 325"/>
                <wp:cNvGraphicFramePr/>
                <a:graphic xmlns:a="http://schemas.openxmlformats.org/drawingml/2006/main">
                  <a:graphicData uri="http://schemas.microsoft.com/office/word/2010/wordprocessingInk">
                    <w14:contentPart bwMode="auto" r:id="rId55">
                      <w14:nvContentPartPr>
                        <w14:cNvContentPartPr/>
                      </w14:nvContentPartPr>
                      <w14:xfrm>
                        <a:off x="0" y="0"/>
                        <a:ext cx="1769400" cy="55440"/>
                      </w14:xfrm>
                    </w14:contentPart>
                  </a:graphicData>
                </a:graphic>
              </wp:anchor>
            </w:drawing>
          </mc:Choice>
          <mc:Fallback>
            <w:pict>
              <v:shape w14:anchorId="6E55835D" id="Ink 325" o:spid="_x0000_s1026" type="#_x0000_t75" style="position:absolute;margin-left:112.55pt;margin-top:25.4pt;width:147.8pt;height:21.3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">
                <v:imagedata r:id="rId56" o:title=""/>
              </v:shape>
            </w:pict>
          </mc:Fallback>
        </mc:AlternateContent>
      </w:r>
      <w:r w:rsidR="005F5CD1" w:rsidRPr="005F5CD1">
        <w:rPr>
          <w:bCs/>
          <w:noProof/>
          <w:szCs w:val="22"/>
          <w:bdr w:val="single" w:sz="8" w:space="0" w:color="auto" w:shadow="1"/>
        </w:rPr>
        <w:drawing>
          <wp:inline distT="0" distB="0" distL="0" distR="0" wp14:anchorId="02363A9C" wp14:editId="1CBC1FA3">
            <wp:extent cx="6056630" cy="1341755"/>
            <wp:effectExtent l="0" t="0" r="127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56630" cy="1341755"/>
                    </a:xfrm>
                    <a:prstGeom prst="rect">
                      <a:avLst/>
                    </a:prstGeom>
                    <a:noFill/>
                    <a:ln>
                      <a:noFill/>
                    </a:ln>
                  </pic:spPr>
                </pic:pic>
              </a:graphicData>
            </a:graphic>
          </wp:inline>
        </w:drawing>
      </w:r>
    </w:p>
    <w:p w14:paraId="1460A532" w14:textId="5AAE18AC" w:rsidR="005F5CD1" w:rsidRDefault="005F5CD1" w:rsidP="00377D83">
      <w:pPr>
        <w:rPr>
          <w:bCs/>
          <w:szCs w:val="22"/>
        </w:rPr>
      </w:pPr>
    </w:p>
    <w:p w14:paraId="63F57073" w14:textId="68E5544E" w:rsidR="005F5CD1" w:rsidRDefault="005F5CD1" w:rsidP="00377D83">
      <w:pPr>
        <w:rPr>
          <w:bCs/>
          <w:szCs w:val="22"/>
        </w:rPr>
      </w:pPr>
      <w:r>
        <w:rPr>
          <w:bCs/>
          <w:szCs w:val="22"/>
        </w:rPr>
        <w:t>And in 19.3.2:</w:t>
      </w:r>
    </w:p>
    <w:p w14:paraId="40E01452" w14:textId="6F785B6A" w:rsidR="005F5CD1" w:rsidRDefault="005F5CD1" w:rsidP="00377D83">
      <w:pPr>
        <w:rPr>
          <w:bCs/>
          <w:szCs w:val="22"/>
        </w:rPr>
      </w:pPr>
    </w:p>
    <w:p w14:paraId="7757D23D" w14:textId="25A03F6E" w:rsidR="005F5CD1" w:rsidRPr="005F5CD1" w:rsidRDefault="004A7807" w:rsidP="00377D83">
      <w:pPr>
        <w:rPr>
          <w:bCs/>
          <w:noProof/>
          <w:szCs w:val="22"/>
          <w:bdr w:val="single" w:sz="8" w:space="0" w:color="auto" w:shadow="1"/>
        </w:rPr>
      </w:pPr>
      <w:r>
        <w:rPr>
          <w:bCs/>
          <w:noProof/>
          <w:szCs w:val="22"/>
        </w:rPr>
        <mc:AlternateContent>
          <mc:Choice Requires="wpi">
            <w:drawing>
              <wp:anchor distT="0" distB="0" distL="114300" distR="114300" simplePos="0" relativeHeight="251668480" behindDoc="0" locked="0" layoutInCell="1" allowOverlap="1" wp14:anchorId="0FAE3728" wp14:editId="2CB8A6F2">
                <wp:simplePos x="0" y="0"/>
                <wp:positionH relativeFrom="column">
                  <wp:posOffset>1477087</wp:posOffset>
                </wp:positionH>
                <wp:positionV relativeFrom="paragraph">
                  <wp:posOffset>158024</wp:posOffset>
                </wp:positionV>
                <wp:extent cx="1550160" cy="132120"/>
                <wp:effectExtent l="95250" t="133350" r="126365" b="172720"/>
                <wp:wrapNone/>
                <wp:docPr id="326" name="Ink 326"/>
                <wp:cNvGraphicFramePr/>
                <a:graphic xmlns:a="http://schemas.openxmlformats.org/drawingml/2006/main">
                  <a:graphicData uri="http://schemas.microsoft.com/office/word/2010/wordprocessingInk">
                    <w14:contentPart bwMode="auto" r:id="rId58">
                      <w14:nvContentPartPr>
                        <w14:cNvContentPartPr/>
                      </w14:nvContentPartPr>
                      <w14:xfrm>
                        <a:off x="0" y="0"/>
                        <a:ext cx="1550160" cy="132120"/>
                      </w14:xfrm>
                    </w14:contentPart>
                  </a:graphicData>
                </a:graphic>
              </wp:anchor>
            </w:drawing>
          </mc:Choice>
          <mc:Fallback>
            <w:pict>
              <v:shape w14:anchorId="5D557FBE" id="Ink 326" o:spid="_x0000_s1026" type="#_x0000_t75" style="position:absolute;margin-left:112.05pt;margin-top:3.95pt;width:130.55pt;height:27.3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10;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">
                <v:imagedata r:id="rId59" o:title=""/>
              </v:shape>
            </w:pict>
          </mc:Fallback>
        </mc:AlternateContent>
      </w:r>
      <w:r w:rsidR="005F5CD1" w:rsidRPr="005F5CD1">
        <w:rPr>
          <w:bCs/>
          <w:noProof/>
          <w:szCs w:val="22"/>
          <w:bdr w:val="single" w:sz="8" w:space="0" w:color="auto" w:shadow="1"/>
        </w:rPr>
        <w:drawing>
          <wp:inline distT="0" distB="0" distL="0" distR="0" wp14:anchorId="3093E80E" wp14:editId="1660EB69">
            <wp:extent cx="6035040" cy="548640"/>
            <wp:effectExtent l="0" t="0" r="3810" b="381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5040" cy="548640"/>
                    </a:xfrm>
                    <a:prstGeom prst="rect">
                      <a:avLst/>
                    </a:prstGeom>
                    <a:noFill/>
                    <a:ln>
                      <a:noFill/>
                    </a:ln>
                  </pic:spPr>
                </pic:pic>
              </a:graphicData>
            </a:graphic>
          </wp:inline>
        </w:drawing>
      </w:r>
    </w:p>
    <w:p w14:paraId="7D487436" w14:textId="24E8D4A3" w:rsidR="00835269" w:rsidRDefault="00835269" w:rsidP="00377D83">
      <w:pPr>
        <w:rPr>
          <w:bCs/>
          <w:szCs w:val="22"/>
        </w:rPr>
      </w:pPr>
    </w:p>
    <w:p w14:paraId="133241EA" w14:textId="72AF4301" w:rsidR="005F5CD1" w:rsidRDefault="004A7807" w:rsidP="00377D83">
      <w:pPr>
        <w:rPr>
          <w:bCs/>
          <w:szCs w:val="22"/>
        </w:rPr>
      </w:pPr>
      <w:r>
        <w:rPr>
          <w:bCs/>
          <w:szCs w:val="22"/>
        </w:rPr>
        <w:t>There are also 5 occurrences of “frame with the TXVECTOR”.</w:t>
      </w:r>
    </w:p>
    <w:p w14:paraId="33DF11F1" w14:textId="48AA65BD" w:rsidR="004A7807" w:rsidRDefault="004A7807" w:rsidP="00377D83">
      <w:pPr>
        <w:rPr>
          <w:bCs/>
          <w:szCs w:val="22"/>
        </w:rPr>
      </w:pPr>
    </w:p>
    <w:p w14:paraId="4C0DDE8C" w14:textId="5BC0D096" w:rsidR="004A7807" w:rsidRDefault="004A7807" w:rsidP="00377D83">
      <w:pPr>
        <w:rPr>
          <w:bCs/>
          <w:szCs w:val="22"/>
        </w:rPr>
      </w:pPr>
      <w:proofErr w:type="gramStart"/>
      <w:r>
        <w:rPr>
          <w:bCs/>
          <w:szCs w:val="22"/>
        </w:rPr>
        <w:t>The vast majority of</w:t>
      </w:r>
      <w:proofErr w:type="gramEnd"/>
      <w:r>
        <w:rPr>
          <w:bCs/>
          <w:szCs w:val="22"/>
        </w:rPr>
        <w:t xml:space="preserve"> other uses of “with the TXVECTOR” are applied to PSDU(s) or PPDU(s).</w:t>
      </w:r>
    </w:p>
    <w:p w14:paraId="0F0EE23D" w14:textId="4909E62C" w:rsidR="004A7807" w:rsidRDefault="004A7807" w:rsidP="00377D83">
      <w:pPr>
        <w:rPr>
          <w:bCs/>
          <w:szCs w:val="22"/>
        </w:rPr>
      </w:pPr>
    </w:p>
    <w:p w14:paraId="1BCFFFAD" w14:textId="37523483" w:rsidR="004A7807" w:rsidRDefault="004A7807" w:rsidP="00377D83">
      <w:pPr>
        <w:rPr>
          <w:bCs/>
          <w:szCs w:val="22"/>
        </w:rPr>
      </w:pPr>
      <w:r>
        <w:rPr>
          <w:bCs/>
          <w:szCs w:val="22"/>
        </w:rPr>
        <w:t>Since the TXVECTOR is provided at the PHY SAP, along with a MPDU (== PSDU) to be transmitted, it seems that either MPDU or PSDU are most likely the best usage.  There are zero occurrences of “MPDU(s) with the TXVECTOR”, however.</w:t>
      </w:r>
    </w:p>
    <w:p w14:paraId="65F1EBCD" w14:textId="0CF0077E" w:rsidR="004A7807" w:rsidRDefault="004A7807" w:rsidP="00377D83">
      <w:pPr>
        <w:rPr>
          <w:bCs/>
          <w:szCs w:val="22"/>
        </w:rPr>
      </w:pPr>
    </w:p>
    <w:p w14:paraId="62C83FA5" w14:textId="4D16320E" w:rsidR="0027127C" w:rsidRDefault="004A7807" w:rsidP="00377D83">
      <w:pPr>
        <w:rPr>
          <w:bCs/>
          <w:szCs w:val="22"/>
        </w:rPr>
      </w:pPr>
      <w:r>
        <w:rPr>
          <w:bCs/>
          <w:szCs w:val="22"/>
        </w:rPr>
        <w:t xml:space="preserve">In the cases in 10.3.8, </w:t>
      </w:r>
      <w:r w:rsidR="0027127C">
        <w:rPr>
          <w:bCs/>
          <w:szCs w:val="22"/>
        </w:rPr>
        <w:t>in the discussion of the Signal extension’s implication on clause 16 operation, it seems that PSDU is a logical object to reference.  Same thing in 19.3.2.</w:t>
      </w:r>
    </w:p>
    <w:p w14:paraId="678B33A0" w14:textId="62487A95" w:rsidR="0027127C" w:rsidRDefault="0027127C" w:rsidP="00377D83">
      <w:pPr>
        <w:rPr>
          <w:bCs/>
          <w:szCs w:val="22"/>
        </w:rPr>
      </w:pPr>
    </w:p>
    <w:p w14:paraId="28429609" w14:textId="0C892093" w:rsidR="00C034F6" w:rsidRDefault="00C034F6" w:rsidP="00C034F6">
      <w:pPr>
        <w:rPr>
          <w:bCs/>
          <w:szCs w:val="22"/>
        </w:rPr>
      </w:pPr>
      <w:r>
        <w:rPr>
          <w:bCs/>
          <w:szCs w:val="22"/>
        </w:rPr>
        <w:t xml:space="preserve">Arguably, </w:t>
      </w:r>
      <w:r w:rsidR="00F00CA3">
        <w:rPr>
          <w:bCs/>
          <w:szCs w:val="22"/>
        </w:rPr>
        <w:t xml:space="preserve">since </w:t>
      </w:r>
      <w:r>
        <w:rPr>
          <w:bCs/>
          <w:szCs w:val="22"/>
        </w:rPr>
        <w:t xml:space="preserve">these subclauses contain these details </w:t>
      </w:r>
      <w:r w:rsidR="00F00CA3">
        <w:rPr>
          <w:bCs/>
          <w:szCs w:val="22"/>
        </w:rPr>
        <w:t xml:space="preserve">of PHY operation, they </w:t>
      </w:r>
      <w:r>
        <w:rPr>
          <w:bCs/>
          <w:szCs w:val="22"/>
        </w:rPr>
        <w:t xml:space="preserve">should be moved to the PHY </w:t>
      </w:r>
      <w:r w:rsidR="00F00CA3">
        <w:rPr>
          <w:bCs/>
          <w:szCs w:val="22"/>
        </w:rPr>
        <w:t>service</w:t>
      </w:r>
      <w:r>
        <w:rPr>
          <w:bCs/>
          <w:szCs w:val="22"/>
        </w:rPr>
        <w:t xml:space="preserve"> clause (clause 8).  </w:t>
      </w:r>
      <w:proofErr w:type="gramStart"/>
      <w:r>
        <w:rPr>
          <w:bCs/>
          <w:szCs w:val="22"/>
        </w:rPr>
        <w:t>But,</w:t>
      </w:r>
      <w:proofErr w:type="gramEnd"/>
      <w:r>
        <w:rPr>
          <w:bCs/>
          <w:szCs w:val="22"/>
        </w:rPr>
        <w:t xml:space="preserve"> that is way beyond the scope of this comment.  Also, the </w:t>
      </w:r>
      <w:r w:rsidR="00F00CA3">
        <w:rPr>
          <w:bCs/>
          <w:szCs w:val="22"/>
        </w:rPr>
        <w:t>exi</w:t>
      </w:r>
      <w:r w:rsidR="006A5FE5">
        <w:rPr>
          <w:bCs/>
          <w:szCs w:val="22"/>
        </w:rPr>
        <w:t>s</w:t>
      </w:r>
      <w:r w:rsidR="00F00CA3">
        <w:rPr>
          <w:bCs/>
          <w:szCs w:val="22"/>
        </w:rPr>
        <w:t xml:space="preserve">ting </w:t>
      </w:r>
      <w:r>
        <w:rPr>
          <w:bCs/>
          <w:szCs w:val="22"/>
        </w:rPr>
        <w:t>occurrences of “PPDU with the TXVECTOR” should be checked for whether these should be PSDU; but again, this is beyond the scope of this comment.</w:t>
      </w:r>
    </w:p>
    <w:p w14:paraId="1D82AB1E" w14:textId="77777777" w:rsidR="00C034F6" w:rsidRDefault="00C034F6" w:rsidP="00C034F6">
      <w:pPr>
        <w:rPr>
          <w:bCs/>
          <w:szCs w:val="22"/>
        </w:rPr>
      </w:pPr>
    </w:p>
    <w:p w14:paraId="119390D4" w14:textId="3AEE94DC" w:rsidR="0027127C" w:rsidRDefault="0027127C" w:rsidP="00377D83">
      <w:pPr>
        <w:rPr>
          <w:bCs/>
          <w:szCs w:val="22"/>
        </w:rPr>
      </w:pPr>
      <w:r>
        <w:rPr>
          <w:bCs/>
          <w:szCs w:val="22"/>
        </w:rPr>
        <w:t xml:space="preserve">In the cases of “frame with the TXVECTOR” (singular “frame”), these occur in </w:t>
      </w:r>
      <w:r w:rsidR="00045DBC" w:rsidRPr="00045DBC">
        <w:rPr>
          <w:bCs/>
          <w:szCs w:val="22"/>
          <w:highlight w:val="cyan"/>
        </w:rPr>
        <w:t>two places:</w:t>
      </w:r>
      <w:r w:rsidR="00045DBC">
        <w:rPr>
          <w:bCs/>
          <w:szCs w:val="22"/>
        </w:rPr>
        <w:t xml:space="preserve"> </w:t>
      </w:r>
      <w:r>
        <w:rPr>
          <w:bCs/>
          <w:szCs w:val="22"/>
        </w:rPr>
        <w:t>rules for control response frame guard intervals, coding and format</w:t>
      </w:r>
      <w:r w:rsidRPr="00045DBC">
        <w:rPr>
          <w:bCs/>
          <w:szCs w:val="22"/>
        </w:rPr>
        <w:t xml:space="preserve">, and for S1G frame traveling pilots and preamble type.  </w:t>
      </w:r>
      <w:r w:rsidR="00C034F6" w:rsidRPr="00045DBC">
        <w:rPr>
          <w:bCs/>
          <w:szCs w:val="22"/>
        </w:rPr>
        <w:t>S</w:t>
      </w:r>
      <w:r w:rsidR="00C034F6">
        <w:rPr>
          <w:bCs/>
          <w:szCs w:val="22"/>
        </w:rPr>
        <w:t xml:space="preserve">ince </w:t>
      </w:r>
      <w:r w:rsidR="00045DBC" w:rsidRPr="00045DBC">
        <w:rPr>
          <w:bCs/>
          <w:szCs w:val="22"/>
          <w:highlight w:val="cyan"/>
        </w:rPr>
        <w:t>the control response frame examples</w:t>
      </w:r>
      <w:r w:rsidR="00C034F6">
        <w:rPr>
          <w:bCs/>
          <w:szCs w:val="22"/>
        </w:rPr>
        <w:t xml:space="preserve"> are in the context of a </w:t>
      </w:r>
      <w:proofErr w:type="gramStart"/>
      <w:r w:rsidR="00C034F6">
        <w:rPr>
          <w:bCs/>
          <w:szCs w:val="22"/>
        </w:rPr>
        <w:t>particular frame</w:t>
      </w:r>
      <w:proofErr w:type="gramEnd"/>
      <w:r w:rsidR="00C034F6">
        <w:rPr>
          <w:bCs/>
          <w:szCs w:val="22"/>
        </w:rPr>
        <w:t xml:space="preserve"> (MPDU) type, it does not make sense to reference a PSDU</w:t>
      </w:r>
      <w:r w:rsidR="00F00CA3">
        <w:rPr>
          <w:bCs/>
          <w:szCs w:val="22"/>
        </w:rPr>
        <w:t xml:space="preserve"> – we don’t talk about a PSDU “type” of (for example) “control response”</w:t>
      </w:r>
      <w:r>
        <w:rPr>
          <w:bCs/>
          <w:szCs w:val="22"/>
        </w:rPr>
        <w:t>.</w:t>
      </w:r>
      <w:r w:rsidR="00F00CA3">
        <w:rPr>
          <w:bCs/>
          <w:szCs w:val="22"/>
        </w:rPr>
        <w:t xml:space="preserve">  Therefore, propose that these occurrences remain “frame with the TXVECTOR …”</w:t>
      </w:r>
    </w:p>
    <w:p w14:paraId="6DD17E28" w14:textId="18E1B441" w:rsidR="00045DBC" w:rsidRDefault="00045DBC" w:rsidP="00377D83">
      <w:pPr>
        <w:rPr>
          <w:bCs/>
          <w:szCs w:val="22"/>
        </w:rPr>
      </w:pPr>
    </w:p>
    <w:p w14:paraId="25CCCE7F" w14:textId="68C09DF4" w:rsidR="00045DBC" w:rsidRDefault="00045DBC" w:rsidP="00377D83">
      <w:pPr>
        <w:rPr>
          <w:bCs/>
          <w:szCs w:val="22"/>
        </w:rPr>
      </w:pPr>
      <w:r w:rsidRPr="00045DBC">
        <w:rPr>
          <w:bCs/>
          <w:szCs w:val="22"/>
          <w:highlight w:val="cyan"/>
        </w:rPr>
        <w:t xml:space="preserve">The S1G frame traveling pilots and preamble type examples, however, are </w:t>
      </w:r>
      <w:proofErr w:type="gramStart"/>
      <w:r w:rsidRPr="00045DBC">
        <w:rPr>
          <w:bCs/>
          <w:szCs w:val="22"/>
          <w:highlight w:val="cyan"/>
        </w:rPr>
        <w:t>similar to</w:t>
      </w:r>
      <w:proofErr w:type="gramEnd"/>
      <w:r w:rsidRPr="00045DBC">
        <w:rPr>
          <w:bCs/>
          <w:szCs w:val="22"/>
          <w:highlight w:val="cyan"/>
        </w:rPr>
        <w:t xml:space="preserve"> the uses above that should be modified.</w:t>
      </w:r>
    </w:p>
    <w:p w14:paraId="52D0CC65" w14:textId="2F3E1097" w:rsidR="0027127C" w:rsidRDefault="0027127C" w:rsidP="00377D83">
      <w:pPr>
        <w:rPr>
          <w:bCs/>
          <w:szCs w:val="22"/>
        </w:rPr>
      </w:pPr>
    </w:p>
    <w:p w14:paraId="20DCDC07" w14:textId="0F445936" w:rsidR="0027127C" w:rsidRDefault="00C034F6" w:rsidP="00377D83">
      <w:pPr>
        <w:rPr>
          <w:bCs/>
          <w:szCs w:val="22"/>
        </w:rPr>
      </w:pPr>
      <w:r w:rsidRPr="00F00CA3">
        <w:rPr>
          <w:bCs/>
          <w:szCs w:val="22"/>
          <w:highlight w:val="yellow"/>
          <w:u w:val="single"/>
        </w:rPr>
        <w:t>Proposed Resolution:</w:t>
      </w:r>
    </w:p>
    <w:p w14:paraId="4C1F1514" w14:textId="5F787D66" w:rsidR="00C034F6" w:rsidRDefault="00C034F6" w:rsidP="00377D83">
      <w:pPr>
        <w:rPr>
          <w:bCs/>
          <w:szCs w:val="22"/>
        </w:rPr>
      </w:pPr>
    </w:p>
    <w:p w14:paraId="2C6FA9CB" w14:textId="374B590E" w:rsidR="00C034F6" w:rsidRDefault="00C034F6" w:rsidP="00377D83">
      <w:pPr>
        <w:rPr>
          <w:bCs/>
          <w:szCs w:val="22"/>
        </w:rPr>
      </w:pPr>
      <w:r>
        <w:rPr>
          <w:bCs/>
          <w:szCs w:val="22"/>
        </w:rPr>
        <w:t>Revised.</w:t>
      </w:r>
    </w:p>
    <w:p w14:paraId="60A44287" w14:textId="18992A15" w:rsidR="00C034F6" w:rsidRDefault="00C034F6" w:rsidP="00377D83">
      <w:pPr>
        <w:rPr>
          <w:bCs/>
          <w:szCs w:val="22"/>
        </w:rPr>
      </w:pPr>
    </w:p>
    <w:p w14:paraId="46F036D4" w14:textId="45DDF1FF" w:rsidR="00C034F6" w:rsidRDefault="00C034F6" w:rsidP="00377D83">
      <w:pPr>
        <w:rPr>
          <w:bCs/>
          <w:szCs w:val="22"/>
        </w:rPr>
      </w:pPr>
      <w:r>
        <w:rPr>
          <w:bCs/>
          <w:szCs w:val="22"/>
        </w:rPr>
        <w:lastRenderedPageBreak/>
        <w:t xml:space="preserve">At P1769.56 and P1769.57,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6E99A232" w14:textId="16F03AD9" w:rsidR="00C034F6" w:rsidRDefault="00C034F6" w:rsidP="00377D83">
      <w:pPr>
        <w:rPr>
          <w:bCs/>
          <w:szCs w:val="22"/>
        </w:rPr>
      </w:pPr>
    </w:p>
    <w:p w14:paraId="190E52DA" w14:textId="3A9B62BD" w:rsidR="00C034F6" w:rsidRDefault="00C034F6" w:rsidP="00377D83">
      <w:pPr>
        <w:rPr>
          <w:bCs/>
          <w:szCs w:val="22"/>
        </w:rPr>
      </w:pPr>
      <w:r>
        <w:rPr>
          <w:bCs/>
          <w:szCs w:val="22"/>
        </w:rPr>
        <w:t xml:space="preserve">At P2988.14, replace </w:t>
      </w:r>
      <w:r w:rsidRPr="00C034F6">
        <w:rPr>
          <w:bCs/>
          <w:szCs w:val="22"/>
        </w:rPr>
        <w:t xml:space="preserve">"frames with the TXVECTOR" </w:t>
      </w:r>
      <w:r>
        <w:rPr>
          <w:bCs/>
          <w:szCs w:val="22"/>
        </w:rPr>
        <w:t xml:space="preserve">with </w:t>
      </w:r>
      <w:r w:rsidRPr="00C034F6">
        <w:rPr>
          <w:bCs/>
          <w:szCs w:val="22"/>
        </w:rPr>
        <w:t>"P</w:t>
      </w:r>
      <w:r>
        <w:rPr>
          <w:bCs/>
          <w:szCs w:val="22"/>
        </w:rPr>
        <w:t>S</w:t>
      </w:r>
      <w:r w:rsidRPr="00C034F6">
        <w:rPr>
          <w:bCs/>
          <w:szCs w:val="22"/>
        </w:rPr>
        <w:t>DUs with the TXVECTOR"</w:t>
      </w:r>
      <w:r>
        <w:rPr>
          <w:bCs/>
          <w:szCs w:val="22"/>
        </w:rPr>
        <w:t>.</w:t>
      </w:r>
    </w:p>
    <w:p w14:paraId="7627BC62" w14:textId="6D72DFA1" w:rsidR="00045DBC" w:rsidRDefault="00045DBC" w:rsidP="00377D83">
      <w:pPr>
        <w:rPr>
          <w:bCs/>
          <w:szCs w:val="22"/>
        </w:rPr>
      </w:pPr>
    </w:p>
    <w:p w14:paraId="6AFA1035" w14:textId="71D10177" w:rsidR="00045DBC" w:rsidRDefault="00045DBC" w:rsidP="00377D83">
      <w:pPr>
        <w:rPr>
          <w:bCs/>
          <w:szCs w:val="22"/>
        </w:rPr>
      </w:pPr>
      <w:r w:rsidRPr="00045DBC">
        <w:rPr>
          <w:bCs/>
          <w:szCs w:val="22"/>
          <w:highlight w:val="cyan"/>
        </w:rPr>
        <w:t>At P2126.39, replace “frame with the TXVECTOR” with “PSDU with the TXVECTOR”.  Same thing at P2129.25.</w:t>
      </w:r>
    </w:p>
    <w:p w14:paraId="4EA0DBB2" w14:textId="0C19229E" w:rsidR="00C034F6" w:rsidRDefault="00C034F6" w:rsidP="00377D83">
      <w:pPr>
        <w:rPr>
          <w:bCs/>
          <w:szCs w:val="22"/>
        </w:rPr>
      </w:pPr>
    </w:p>
    <w:p w14:paraId="3B51D0E7" w14:textId="117B19D9" w:rsidR="00C034F6" w:rsidRPr="00C034F6" w:rsidRDefault="00F00CA3" w:rsidP="00377D83">
      <w:pPr>
        <w:rPr>
          <w:bCs/>
          <w:szCs w:val="22"/>
        </w:rPr>
      </w:pPr>
      <w:r>
        <w:rPr>
          <w:bCs/>
          <w:szCs w:val="22"/>
        </w:rPr>
        <w:t>Note to the commenter, there are also occurrences of “</w:t>
      </w:r>
      <w:r w:rsidR="00045DBC" w:rsidRPr="00045DBC">
        <w:rPr>
          <w:bCs/>
          <w:szCs w:val="22"/>
          <w:highlight w:val="cyan"/>
        </w:rPr>
        <w:t>control response</w:t>
      </w:r>
      <w:r w:rsidR="00045DBC">
        <w:rPr>
          <w:bCs/>
          <w:szCs w:val="22"/>
        </w:rPr>
        <w:t xml:space="preserve"> </w:t>
      </w:r>
      <w:r>
        <w:rPr>
          <w:bCs/>
          <w:szCs w:val="22"/>
        </w:rPr>
        <w:t>frame [singular] with the TXVECTOR”.  Coincidentally, these occurrences all involve noting the MPDU frame type of the referenced frame, and so these are left using the term “frame”.  Thus, there is inherent inconsistency in the Draft around this wording, depending on the context.</w:t>
      </w:r>
    </w:p>
    <w:p w14:paraId="419E5A35" w14:textId="77777777" w:rsidR="005F5CD1" w:rsidRPr="00835269" w:rsidRDefault="005F5CD1" w:rsidP="00377D83">
      <w:pPr>
        <w:rPr>
          <w:bCs/>
          <w:szCs w:val="22"/>
        </w:rPr>
      </w:pPr>
    </w:p>
    <w:p w14:paraId="0B9808B1" w14:textId="77777777" w:rsidR="00E56A2A" w:rsidRDefault="00835269">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E56A2A" w14:paraId="253B00D7"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62922C90"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1CC48E58"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B958D60"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735D79AF"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6412184C" w14:textId="77777777" w:rsidR="00E56A2A" w:rsidRDefault="00E56A2A"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E56A2A" w:rsidRPr="00DE7477" w14:paraId="731387F3" w14:textId="77777777" w:rsidTr="005C22F6">
        <w:trPr>
          <w:trHeight w:val="4781"/>
        </w:trPr>
        <w:tc>
          <w:tcPr>
            <w:tcW w:w="738" w:type="dxa"/>
            <w:hideMark/>
          </w:tcPr>
          <w:p w14:paraId="639BFACA" w14:textId="77777777" w:rsidR="00E56A2A" w:rsidRPr="00DE7477" w:rsidRDefault="00E56A2A" w:rsidP="005C22F6">
            <w:pPr>
              <w:jc w:val="right"/>
              <w:rPr>
                <w:rFonts w:ascii="Arial" w:eastAsia="Times New Roman" w:hAnsi="Arial" w:cs="Arial"/>
                <w:sz w:val="20"/>
                <w:lang w:val="en-US"/>
              </w:rPr>
            </w:pPr>
            <w:r w:rsidRPr="00DE7477">
              <w:rPr>
                <w:rFonts w:ascii="Arial" w:eastAsia="Times New Roman" w:hAnsi="Arial" w:cs="Arial"/>
                <w:sz w:val="20"/>
                <w:lang w:val="en-US"/>
              </w:rPr>
              <w:t>4507</w:t>
            </w:r>
          </w:p>
        </w:tc>
        <w:tc>
          <w:tcPr>
            <w:tcW w:w="990" w:type="dxa"/>
            <w:hideMark/>
          </w:tcPr>
          <w:p w14:paraId="71F10A8B" w14:textId="77777777" w:rsidR="00E56A2A" w:rsidRPr="00DE7477" w:rsidRDefault="00E56A2A" w:rsidP="005C22F6">
            <w:pPr>
              <w:jc w:val="right"/>
              <w:rPr>
                <w:rFonts w:ascii="Arial" w:eastAsia="Times New Roman" w:hAnsi="Arial" w:cs="Arial"/>
                <w:sz w:val="20"/>
                <w:lang w:val="en-US"/>
              </w:rPr>
            </w:pPr>
            <w:r w:rsidRPr="00DE7477">
              <w:rPr>
                <w:rFonts w:ascii="Arial" w:eastAsia="Times New Roman" w:hAnsi="Arial" w:cs="Arial"/>
                <w:sz w:val="20"/>
                <w:lang w:val="en-US"/>
              </w:rPr>
              <w:t>996.05</w:t>
            </w:r>
          </w:p>
        </w:tc>
        <w:tc>
          <w:tcPr>
            <w:tcW w:w="1080" w:type="dxa"/>
            <w:hideMark/>
          </w:tcPr>
          <w:p w14:paraId="472E7DAB" w14:textId="77777777" w:rsidR="00E56A2A" w:rsidRPr="00DE7477" w:rsidRDefault="00E56A2A" w:rsidP="005C22F6">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5D97D6AC" w14:textId="77777777" w:rsidR="00E56A2A" w:rsidRPr="00DE7477" w:rsidRDefault="00E56A2A" w:rsidP="005C22F6">
            <w:pPr>
              <w:rPr>
                <w:rFonts w:ascii="Arial" w:eastAsia="Times New Roman" w:hAnsi="Arial" w:cs="Arial"/>
                <w:sz w:val="20"/>
                <w:lang w:val="en-US"/>
              </w:rPr>
            </w:pPr>
            <w:r w:rsidRPr="00DE7477">
              <w:rPr>
                <w:rFonts w:ascii="Arial" w:eastAsia="Times New Roman" w:hAnsi="Arial" w:cs="Arial"/>
                <w:sz w:val="20"/>
                <w:lang w:val="en-US"/>
              </w:rPr>
              <w:t>"When the TIM is carried in an S1G PPDU, the traffic-indication virtual bitmap has the hierarchical structure shown in Figure 9-152 (Hierarchical structure of traffic-indication virtual bitmap carried in an S1G PPDU (11ah)), consists of 64NPNB bits and is organized into NP pages where each page consists of NB blocks, each block consists of eight subblocks, and each subblock consists of 8 bits (NP=4 and NB=32). Bit number N in the bitmap corresponds to bit number N[0:2] of the N[3:5]-</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subblock of the N[6:5+n1]-</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block of the N[6+n1:12]-</w:t>
            </w:r>
            <w:proofErr w:type="spellStart"/>
            <w:r w:rsidRPr="00DE7477">
              <w:rPr>
                <w:rFonts w:ascii="Arial" w:eastAsia="Times New Roman" w:hAnsi="Arial" w:cs="Arial"/>
                <w:sz w:val="20"/>
                <w:lang w:val="en-US"/>
              </w:rPr>
              <w:t>th</w:t>
            </w:r>
            <w:proofErr w:type="spellEnd"/>
            <w:r w:rsidRPr="00DE7477">
              <w:rPr>
                <w:rFonts w:ascii="Arial" w:eastAsia="Times New Roman" w:hAnsi="Arial" w:cs="Arial"/>
                <w:sz w:val="20"/>
                <w:lang w:val="en-US"/>
              </w:rPr>
              <w:t xml:space="preserve"> page, where n1 is log2NB and NB is power of 2. N[</w:t>
            </w:r>
            <w:proofErr w:type="spellStart"/>
            <w:proofErr w:type="gramStart"/>
            <w:r w:rsidRPr="00DE7477">
              <w:rPr>
                <w:rFonts w:ascii="Arial" w:eastAsia="Times New Roman" w:hAnsi="Arial" w:cs="Arial"/>
                <w:sz w:val="20"/>
                <w:lang w:val="en-US"/>
              </w:rPr>
              <w:t>a:b</w:t>
            </w:r>
            <w:proofErr w:type="spellEnd"/>
            <w:proofErr w:type="gramEnd"/>
            <w:r w:rsidRPr="00DE7477">
              <w:rPr>
                <w:rFonts w:ascii="Arial" w:eastAsia="Times New Roman" w:hAnsi="Arial" w:cs="Arial"/>
                <w:sz w:val="20"/>
                <w:lang w:val="en-US"/>
              </w:rPr>
              <w:t xml:space="preserve">] represents bits a to </w:t>
            </w:r>
            <w:proofErr w:type="spellStart"/>
            <w:r w:rsidRPr="00DE7477">
              <w:rPr>
                <w:rFonts w:ascii="Arial" w:eastAsia="Times New Roman" w:hAnsi="Arial" w:cs="Arial"/>
                <w:sz w:val="20"/>
                <w:lang w:val="en-US"/>
              </w:rPr>
              <w:t>b</w:t>
            </w:r>
            <w:proofErr w:type="spellEnd"/>
            <w:r w:rsidRPr="00DE7477">
              <w:rPr>
                <w:rFonts w:ascii="Arial" w:eastAsia="Times New Roman" w:hAnsi="Arial" w:cs="Arial"/>
                <w:sz w:val="20"/>
                <w:lang w:val="en-US"/>
              </w:rPr>
              <w:t xml:space="preserve"> inclusive of the bit number N." text duplicates figure</w:t>
            </w:r>
          </w:p>
        </w:tc>
        <w:tc>
          <w:tcPr>
            <w:tcW w:w="3600" w:type="dxa"/>
            <w:hideMark/>
          </w:tcPr>
          <w:p w14:paraId="25135E40" w14:textId="77777777" w:rsidR="00E56A2A" w:rsidRPr="00DE7477" w:rsidRDefault="00E56A2A" w:rsidP="005C22F6">
            <w:pPr>
              <w:rPr>
                <w:rFonts w:ascii="Arial" w:eastAsia="Times New Roman" w:hAnsi="Arial" w:cs="Arial"/>
                <w:sz w:val="20"/>
                <w:lang w:val="en-US"/>
              </w:rPr>
            </w:pPr>
            <w:r w:rsidRPr="00DE7477">
              <w:rPr>
                <w:rFonts w:ascii="Arial" w:eastAsia="Times New Roman" w:hAnsi="Arial" w:cs="Arial"/>
                <w:sz w:val="20"/>
                <w:lang w:val="en-US"/>
              </w:rPr>
              <w:t>Change to "When the TIM is carried in an S1G PPDU, the traffic-indication virtual bitmap has the hierarchical structure shown in Figure 9-152 (Hierarchical structure of traffic-indication virtual bitmap carried in an S1G PPDU (11ah))."</w:t>
            </w:r>
          </w:p>
        </w:tc>
      </w:tr>
    </w:tbl>
    <w:p w14:paraId="1E58630E" w14:textId="4F537927" w:rsidR="00835269" w:rsidRDefault="00835269">
      <w:pPr>
        <w:rPr>
          <w:bCs/>
          <w:szCs w:val="22"/>
        </w:rPr>
      </w:pPr>
    </w:p>
    <w:p w14:paraId="505B9B05" w14:textId="388B61E6" w:rsidR="00E56A2A" w:rsidRDefault="00E56A2A">
      <w:pPr>
        <w:rPr>
          <w:bCs/>
          <w:szCs w:val="22"/>
        </w:rPr>
      </w:pPr>
      <w:r>
        <w:rPr>
          <w:bCs/>
          <w:szCs w:val="22"/>
          <w:u w:val="single"/>
        </w:rPr>
        <w:t>Discussion:</w:t>
      </w:r>
    </w:p>
    <w:p w14:paraId="56378121" w14:textId="2A61C141" w:rsidR="00E56A2A" w:rsidRDefault="00E56A2A">
      <w:pPr>
        <w:rPr>
          <w:bCs/>
          <w:szCs w:val="22"/>
        </w:rPr>
      </w:pPr>
    </w:p>
    <w:p w14:paraId="033FB488" w14:textId="61A39EE0" w:rsidR="00E56A2A" w:rsidRPr="009E1118" w:rsidRDefault="009E1118">
      <w:pPr>
        <w:rPr>
          <w:bCs/>
          <w:noProof/>
          <w:szCs w:val="22"/>
          <w:bdr w:val="single" w:sz="8" w:space="0" w:color="auto" w:shadow="1"/>
        </w:rPr>
      </w:pPr>
      <w:r w:rsidRPr="009E1118">
        <w:rPr>
          <w:bCs/>
          <w:noProof/>
          <w:szCs w:val="22"/>
          <w:bdr w:val="single" w:sz="8" w:space="0" w:color="auto" w:shadow="1"/>
        </w:rPr>
        <w:drawing>
          <wp:inline distT="0" distB="0" distL="0" distR="0" wp14:anchorId="607499BB" wp14:editId="22E100B5">
            <wp:extent cx="6038850" cy="1769110"/>
            <wp:effectExtent l="0" t="0" r="0" b="254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38850" cy="1769110"/>
                    </a:xfrm>
                    <a:prstGeom prst="rect">
                      <a:avLst/>
                    </a:prstGeom>
                    <a:noFill/>
                    <a:ln>
                      <a:noFill/>
                    </a:ln>
                  </pic:spPr>
                </pic:pic>
              </a:graphicData>
            </a:graphic>
          </wp:inline>
        </w:drawing>
      </w:r>
    </w:p>
    <w:p w14:paraId="5D12E328" w14:textId="77777777" w:rsidR="009E1118" w:rsidRDefault="009E1118">
      <w:pPr>
        <w:rPr>
          <w:bCs/>
          <w:szCs w:val="22"/>
        </w:rPr>
      </w:pPr>
    </w:p>
    <w:p w14:paraId="1B849D12" w14:textId="5031B9CF" w:rsidR="00E56A2A" w:rsidRPr="009E1118" w:rsidRDefault="009E1118">
      <w:pPr>
        <w:rPr>
          <w:bCs/>
          <w:noProof/>
          <w:szCs w:val="22"/>
          <w:bdr w:val="single" w:sz="8" w:space="0" w:color="auto" w:shadow="1"/>
        </w:rPr>
      </w:pPr>
      <w:r w:rsidRPr="009E1118">
        <w:rPr>
          <w:bCs/>
          <w:noProof/>
          <w:szCs w:val="22"/>
          <w:bdr w:val="single" w:sz="8" w:space="0" w:color="auto" w:shadow="1"/>
        </w:rPr>
        <w:drawing>
          <wp:inline distT="0" distB="0" distL="0" distR="0" wp14:anchorId="40A46564" wp14:editId="47585194">
            <wp:extent cx="6097905" cy="2143760"/>
            <wp:effectExtent l="0" t="0" r="0" b="889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7905" cy="2143760"/>
                    </a:xfrm>
                    <a:prstGeom prst="rect">
                      <a:avLst/>
                    </a:prstGeom>
                    <a:noFill/>
                    <a:ln>
                      <a:noFill/>
                    </a:ln>
                  </pic:spPr>
                </pic:pic>
              </a:graphicData>
            </a:graphic>
          </wp:inline>
        </w:drawing>
      </w:r>
    </w:p>
    <w:p w14:paraId="1EB219E3" w14:textId="3197CB38" w:rsidR="009E1118" w:rsidRDefault="009E1118">
      <w:pPr>
        <w:rPr>
          <w:bCs/>
          <w:szCs w:val="22"/>
        </w:rPr>
      </w:pPr>
    </w:p>
    <w:p w14:paraId="275BEE33" w14:textId="06ECD567" w:rsidR="009E1118" w:rsidRDefault="009E1118">
      <w:pPr>
        <w:rPr>
          <w:bCs/>
          <w:szCs w:val="22"/>
        </w:rPr>
      </w:pPr>
      <w:r>
        <w:rPr>
          <w:bCs/>
          <w:szCs w:val="22"/>
        </w:rPr>
        <w:t>Agree with the commenter, the follow-on text seems to be representing Figure 9-152 in words.</w:t>
      </w:r>
    </w:p>
    <w:p w14:paraId="46C383BE" w14:textId="55A1FA1F" w:rsidR="009E1118" w:rsidRDefault="009E1118">
      <w:pPr>
        <w:rPr>
          <w:bCs/>
          <w:szCs w:val="22"/>
        </w:rPr>
      </w:pPr>
    </w:p>
    <w:p w14:paraId="0A2A6CB9" w14:textId="5B5622D2" w:rsidR="009E1118" w:rsidRDefault="009E1118">
      <w:pPr>
        <w:rPr>
          <w:bCs/>
          <w:szCs w:val="22"/>
        </w:rPr>
      </w:pPr>
      <w:r w:rsidRPr="009E1118">
        <w:rPr>
          <w:bCs/>
          <w:szCs w:val="22"/>
          <w:highlight w:val="yellow"/>
          <w:u w:val="single"/>
        </w:rPr>
        <w:lastRenderedPageBreak/>
        <w:t>Proposed Resolution:</w:t>
      </w:r>
    </w:p>
    <w:p w14:paraId="1282B965" w14:textId="3C0F08C5" w:rsidR="009E1118" w:rsidRDefault="009E1118">
      <w:pPr>
        <w:rPr>
          <w:bCs/>
          <w:szCs w:val="22"/>
        </w:rPr>
      </w:pPr>
    </w:p>
    <w:p w14:paraId="27D0466F" w14:textId="245C134D" w:rsidR="009E1118" w:rsidRPr="009E1118" w:rsidRDefault="009E1118">
      <w:pPr>
        <w:rPr>
          <w:bCs/>
          <w:szCs w:val="22"/>
        </w:rPr>
      </w:pPr>
      <w:r>
        <w:rPr>
          <w:bCs/>
          <w:szCs w:val="22"/>
        </w:rPr>
        <w:t>Accepted.</w:t>
      </w:r>
    </w:p>
    <w:p w14:paraId="19F1C6D4" w14:textId="77777777" w:rsidR="00762B54" w:rsidRDefault="00E56A2A">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62B54" w14:paraId="71E893DA"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6B656B22"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CCBF96E"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82CB107"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559018A2"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140DD672" w14:textId="77777777" w:rsidR="00762B54" w:rsidRDefault="00762B54"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762B54" w:rsidRPr="00DE7477" w14:paraId="6FAD2308" w14:textId="77777777" w:rsidTr="005C22F6">
        <w:trPr>
          <w:trHeight w:val="3315"/>
        </w:trPr>
        <w:tc>
          <w:tcPr>
            <w:tcW w:w="738" w:type="dxa"/>
            <w:hideMark/>
          </w:tcPr>
          <w:p w14:paraId="027CF421" w14:textId="77777777" w:rsidR="00762B54" w:rsidRPr="00DE7477" w:rsidRDefault="00762B54" w:rsidP="005C22F6">
            <w:pPr>
              <w:jc w:val="right"/>
              <w:rPr>
                <w:rFonts w:ascii="Arial" w:eastAsia="Times New Roman" w:hAnsi="Arial" w:cs="Arial"/>
                <w:sz w:val="20"/>
                <w:lang w:val="en-US"/>
              </w:rPr>
            </w:pPr>
            <w:r w:rsidRPr="00DE7477">
              <w:rPr>
                <w:rFonts w:ascii="Arial" w:eastAsia="Times New Roman" w:hAnsi="Arial" w:cs="Arial"/>
                <w:sz w:val="20"/>
                <w:lang w:val="en-US"/>
              </w:rPr>
              <w:t>4492</w:t>
            </w:r>
          </w:p>
        </w:tc>
        <w:tc>
          <w:tcPr>
            <w:tcW w:w="990" w:type="dxa"/>
            <w:hideMark/>
          </w:tcPr>
          <w:p w14:paraId="0EAE590D" w14:textId="77777777" w:rsidR="00762B54" w:rsidRPr="00DE7477" w:rsidRDefault="00762B54" w:rsidP="005C22F6">
            <w:pPr>
              <w:jc w:val="right"/>
              <w:rPr>
                <w:rFonts w:ascii="Arial" w:eastAsia="Times New Roman" w:hAnsi="Arial" w:cs="Arial"/>
                <w:sz w:val="20"/>
                <w:lang w:val="en-US"/>
              </w:rPr>
            </w:pPr>
            <w:r w:rsidRPr="00DE7477">
              <w:rPr>
                <w:rFonts w:ascii="Arial" w:eastAsia="Times New Roman" w:hAnsi="Arial" w:cs="Arial"/>
                <w:sz w:val="20"/>
                <w:lang w:val="en-US"/>
              </w:rPr>
              <w:t>994.53</w:t>
            </w:r>
          </w:p>
        </w:tc>
        <w:tc>
          <w:tcPr>
            <w:tcW w:w="1080" w:type="dxa"/>
            <w:hideMark/>
          </w:tcPr>
          <w:p w14:paraId="519B1101" w14:textId="77777777" w:rsidR="00762B54" w:rsidRPr="00DE7477" w:rsidRDefault="00762B54" w:rsidP="005C22F6">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44E83692" w14:textId="77777777" w:rsidR="00762B54" w:rsidRPr="00DE7477" w:rsidRDefault="00762B54" w:rsidP="005C22F6">
            <w:pPr>
              <w:rPr>
                <w:rFonts w:ascii="Arial" w:eastAsia="Times New Roman" w:hAnsi="Arial" w:cs="Arial"/>
                <w:sz w:val="20"/>
                <w:lang w:val="en-US"/>
              </w:rPr>
            </w:pPr>
            <w:r w:rsidRPr="00DE7477">
              <w:rPr>
                <w:rFonts w:ascii="Arial" w:eastAsia="Times New Roman" w:hAnsi="Arial" w:cs="Arial"/>
                <w:sz w:val="20"/>
                <w:lang w:val="en-US"/>
              </w:rPr>
              <w:t>Figure 9-149--TIM element format suggests the Bitmap Control field might be absent but the Partial Virtual Bitmap field present, and there is nothing to say this is not allowed</w:t>
            </w:r>
          </w:p>
        </w:tc>
        <w:tc>
          <w:tcPr>
            <w:tcW w:w="3600" w:type="dxa"/>
            <w:hideMark/>
          </w:tcPr>
          <w:p w14:paraId="1B824566" w14:textId="77777777" w:rsidR="00762B54" w:rsidRPr="00DE7477" w:rsidRDefault="00762B54" w:rsidP="005C22F6">
            <w:pPr>
              <w:rPr>
                <w:rFonts w:ascii="Arial" w:eastAsia="Times New Roman" w:hAnsi="Arial" w:cs="Arial"/>
                <w:sz w:val="20"/>
                <w:lang w:val="en-US"/>
              </w:rPr>
            </w:pPr>
            <w:r w:rsidRPr="00DE7477">
              <w:rPr>
                <w:rFonts w:ascii="Arial" w:eastAsia="Times New Roman" w:hAnsi="Arial" w:cs="Arial"/>
                <w:sz w:val="20"/>
                <w:lang w:val="en-US"/>
              </w:rPr>
              <w:t>After "If all bits in the virtual bitmap are 0 and all the bits of the Bitmap Control field</w:t>
            </w:r>
            <w:r w:rsidRPr="00DE7477">
              <w:rPr>
                <w:rFonts w:ascii="Arial" w:eastAsia="Times New Roman" w:hAnsi="Arial" w:cs="Arial"/>
                <w:sz w:val="20"/>
                <w:lang w:val="en-US"/>
              </w:rPr>
              <w:br/>
              <w:t>are 0, both the Partial Virtual Bitmap field and the Bitmap Control field are not present in the TIM element</w:t>
            </w:r>
            <w:r w:rsidRPr="00DE7477">
              <w:rPr>
                <w:rFonts w:ascii="Arial" w:eastAsia="Times New Roman" w:hAnsi="Arial" w:cs="Arial"/>
                <w:sz w:val="20"/>
                <w:lang w:val="en-US"/>
              </w:rPr>
              <w:br/>
              <w:t>and the Length field of the TIM element is set to 2." at 997.6 add "The Bitmap Control field is present if the Partial Virtual Bitmap field is present."</w:t>
            </w:r>
          </w:p>
        </w:tc>
      </w:tr>
    </w:tbl>
    <w:p w14:paraId="20E1CC83" w14:textId="6025E6F6" w:rsidR="00E56A2A" w:rsidRDefault="00E56A2A">
      <w:pPr>
        <w:rPr>
          <w:bCs/>
          <w:szCs w:val="22"/>
        </w:rPr>
      </w:pPr>
    </w:p>
    <w:p w14:paraId="291A4B5A" w14:textId="6C5683C3" w:rsidR="00762B54" w:rsidRDefault="00762B54">
      <w:pPr>
        <w:rPr>
          <w:bCs/>
          <w:szCs w:val="22"/>
        </w:rPr>
      </w:pPr>
      <w:r>
        <w:rPr>
          <w:bCs/>
          <w:szCs w:val="22"/>
          <w:u w:val="single"/>
        </w:rPr>
        <w:t>Discussion:</w:t>
      </w:r>
    </w:p>
    <w:p w14:paraId="4E09D297" w14:textId="69E0C358" w:rsidR="00762B54" w:rsidRDefault="00762B54">
      <w:pPr>
        <w:rPr>
          <w:bCs/>
          <w:szCs w:val="22"/>
        </w:rPr>
      </w:pPr>
    </w:p>
    <w:p w14:paraId="6EB2F4A9" w14:textId="4AD58309" w:rsidR="00762B54" w:rsidRPr="00965B5F" w:rsidRDefault="00762B54">
      <w:pPr>
        <w:rPr>
          <w:bCs/>
          <w:noProof/>
          <w:szCs w:val="22"/>
          <w:bdr w:val="single" w:sz="8" w:space="0" w:color="auto" w:shadow="1"/>
        </w:rPr>
      </w:pPr>
      <w:r w:rsidRPr="00965B5F">
        <w:rPr>
          <w:bCs/>
          <w:noProof/>
          <w:szCs w:val="22"/>
          <w:bdr w:val="single" w:sz="8" w:space="0" w:color="auto" w:shadow="1"/>
        </w:rPr>
        <w:drawing>
          <wp:inline distT="0" distB="0" distL="0" distR="0" wp14:anchorId="1ECEB7DA" wp14:editId="6F988FE7">
            <wp:extent cx="6085840" cy="1288415"/>
            <wp:effectExtent l="0" t="0" r="0" b="698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85840" cy="1288415"/>
                    </a:xfrm>
                    <a:prstGeom prst="rect">
                      <a:avLst/>
                    </a:prstGeom>
                    <a:noFill/>
                    <a:ln>
                      <a:noFill/>
                    </a:ln>
                  </pic:spPr>
                </pic:pic>
              </a:graphicData>
            </a:graphic>
          </wp:inline>
        </w:drawing>
      </w:r>
    </w:p>
    <w:p w14:paraId="2CF67B5F" w14:textId="7C10BC52" w:rsidR="00762B54" w:rsidRDefault="00762B54">
      <w:pPr>
        <w:rPr>
          <w:bCs/>
          <w:szCs w:val="22"/>
        </w:rPr>
      </w:pPr>
    </w:p>
    <w:p w14:paraId="29157DA4" w14:textId="7A689280" w:rsidR="00762B54" w:rsidRDefault="0090069F">
      <w:pPr>
        <w:rPr>
          <w:bCs/>
          <w:szCs w:val="22"/>
        </w:rPr>
      </w:pPr>
      <w:r>
        <w:rPr>
          <w:bCs/>
          <w:szCs w:val="22"/>
        </w:rPr>
        <w:t xml:space="preserve">The paragraph on P997 does cover the cases where </w:t>
      </w:r>
      <w:proofErr w:type="gramStart"/>
      <w:r>
        <w:rPr>
          <w:bCs/>
          <w:szCs w:val="22"/>
        </w:rPr>
        <w:t>either/both of the fields</w:t>
      </w:r>
      <w:proofErr w:type="gramEnd"/>
      <w:r>
        <w:rPr>
          <w:bCs/>
          <w:szCs w:val="22"/>
        </w:rPr>
        <w:t xml:space="preserve"> are not present due to there being no non-zero bits.  This does seem like the right place to note that if the Partial Virtual Bitmap is present, the Bitmap Control must be present.</w:t>
      </w:r>
    </w:p>
    <w:p w14:paraId="18C9364F" w14:textId="7A352746" w:rsidR="0090069F" w:rsidRDefault="0090069F">
      <w:pPr>
        <w:rPr>
          <w:bCs/>
          <w:szCs w:val="22"/>
        </w:rPr>
      </w:pPr>
    </w:p>
    <w:p w14:paraId="64309992" w14:textId="4B573BC2" w:rsidR="0090069F" w:rsidRDefault="0090069F">
      <w:pPr>
        <w:rPr>
          <w:bCs/>
          <w:szCs w:val="22"/>
        </w:rPr>
      </w:pPr>
      <w:r>
        <w:rPr>
          <w:bCs/>
          <w:szCs w:val="22"/>
        </w:rPr>
        <w:t>However, the line reference in the Proposed Change is incorrect (P997.6 is not after the text quoted, P997.8 is).</w:t>
      </w:r>
    </w:p>
    <w:p w14:paraId="68B80D68" w14:textId="77E72E29" w:rsidR="0090069F" w:rsidRDefault="0090069F">
      <w:pPr>
        <w:rPr>
          <w:bCs/>
          <w:szCs w:val="22"/>
        </w:rPr>
      </w:pPr>
    </w:p>
    <w:p w14:paraId="7AE2E3DC" w14:textId="3FF647A9" w:rsidR="0090069F" w:rsidRDefault="0090069F">
      <w:pPr>
        <w:rPr>
          <w:bCs/>
          <w:szCs w:val="22"/>
        </w:rPr>
      </w:pPr>
      <w:r w:rsidRPr="0090069F">
        <w:rPr>
          <w:bCs/>
          <w:szCs w:val="22"/>
          <w:highlight w:val="yellow"/>
          <w:u w:val="single"/>
        </w:rPr>
        <w:t>Proposed Resolution:</w:t>
      </w:r>
    </w:p>
    <w:p w14:paraId="66280592" w14:textId="286A9073" w:rsidR="0090069F" w:rsidRDefault="0090069F">
      <w:pPr>
        <w:rPr>
          <w:bCs/>
          <w:szCs w:val="22"/>
        </w:rPr>
      </w:pPr>
    </w:p>
    <w:p w14:paraId="1B346086" w14:textId="385AB6BA" w:rsidR="0090069F" w:rsidRDefault="0090069F">
      <w:pPr>
        <w:rPr>
          <w:bCs/>
          <w:szCs w:val="22"/>
        </w:rPr>
      </w:pPr>
      <w:r>
        <w:rPr>
          <w:bCs/>
          <w:szCs w:val="22"/>
        </w:rPr>
        <w:t>Revised.</w:t>
      </w:r>
    </w:p>
    <w:p w14:paraId="0B20E127" w14:textId="076A5802" w:rsidR="0090069F" w:rsidRDefault="0090069F">
      <w:pPr>
        <w:rPr>
          <w:bCs/>
          <w:szCs w:val="22"/>
        </w:rPr>
      </w:pPr>
    </w:p>
    <w:p w14:paraId="15BEF91B" w14:textId="16C480D3" w:rsidR="0090069F" w:rsidRPr="0090069F" w:rsidRDefault="0090069F">
      <w:pPr>
        <w:rPr>
          <w:bCs/>
          <w:szCs w:val="22"/>
        </w:rPr>
      </w:pPr>
      <w:r>
        <w:rPr>
          <w:bCs/>
          <w:szCs w:val="22"/>
        </w:rPr>
        <w:t>At P997.8, after “</w:t>
      </w:r>
      <w:r w:rsidRPr="0090069F">
        <w:rPr>
          <w:bCs/>
          <w:szCs w:val="22"/>
        </w:rPr>
        <w:t>the Length field of the TIM element is set to 2." add "The Bitmap Control field is present if the Partial Virtual Bitmap field is present."</w:t>
      </w:r>
    </w:p>
    <w:p w14:paraId="5D596BEC" w14:textId="77777777" w:rsidR="00965B5F" w:rsidRPr="00762B54" w:rsidRDefault="00965B5F">
      <w:pPr>
        <w:rPr>
          <w:bCs/>
          <w:szCs w:val="22"/>
        </w:rPr>
      </w:pPr>
    </w:p>
    <w:p w14:paraId="76E56046" w14:textId="77777777" w:rsidR="00526AB0" w:rsidRDefault="00762B54">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26AB0" w14:paraId="6577BEC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58AB62E0"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1FD188C"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5A37F4A"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C56F7DA"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6F21FC" w14:textId="77777777" w:rsidR="00526AB0" w:rsidRDefault="00526AB0"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26AB0" w:rsidRPr="00DE7477" w14:paraId="4D2B99F6" w14:textId="77777777" w:rsidTr="005C22F6">
        <w:trPr>
          <w:trHeight w:val="2040"/>
        </w:trPr>
        <w:tc>
          <w:tcPr>
            <w:tcW w:w="738" w:type="dxa"/>
            <w:hideMark/>
          </w:tcPr>
          <w:p w14:paraId="3DDF9ADC" w14:textId="77777777" w:rsidR="00526AB0" w:rsidRPr="00DE7477" w:rsidRDefault="00526AB0" w:rsidP="005C22F6">
            <w:pPr>
              <w:jc w:val="right"/>
              <w:rPr>
                <w:rFonts w:ascii="Arial" w:eastAsia="Times New Roman" w:hAnsi="Arial" w:cs="Arial"/>
                <w:sz w:val="20"/>
                <w:lang w:val="en-US"/>
              </w:rPr>
            </w:pPr>
            <w:r w:rsidRPr="00DE7477">
              <w:rPr>
                <w:rFonts w:ascii="Arial" w:eastAsia="Times New Roman" w:hAnsi="Arial" w:cs="Arial"/>
                <w:sz w:val="20"/>
                <w:lang w:val="en-US"/>
              </w:rPr>
              <w:t>4491</w:t>
            </w:r>
          </w:p>
        </w:tc>
        <w:tc>
          <w:tcPr>
            <w:tcW w:w="990" w:type="dxa"/>
            <w:hideMark/>
          </w:tcPr>
          <w:p w14:paraId="4644C256" w14:textId="77777777" w:rsidR="00526AB0" w:rsidRPr="00DE7477" w:rsidRDefault="00526AB0" w:rsidP="005C22F6">
            <w:pPr>
              <w:jc w:val="right"/>
              <w:rPr>
                <w:rFonts w:ascii="Arial" w:eastAsia="Times New Roman" w:hAnsi="Arial" w:cs="Arial"/>
                <w:sz w:val="20"/>
                <w:lang w:val="en-US"/>
              </w:rPr>
            </w:pPr>
            <w:r w:rsidRPr="00DE7477">
              <w:rPr>
                <w:rFonts w:ascii="Arial" w:eastAsia="Times New Roman" w:hAnsi="Arial" w:cs="Arial"/>
                <w:sz w:val="20"/>
                <w:lang w:val="en-US"/>
              </w:rPr>
              <w:t>1618.27</w:t>
            </w:r>
          </w:p>
        </w:tc>
        <w:tc>
          <w:tcPr>
            <w:tcW w:w="1080" w:type="dxa"/>
            <w:hideMark/>
          </w:tcPr>
          <w:p w14:paraId="56E043F8" w14:textId="77777777" w:rsidR="00526AB0" w:rsidRPr="00DE7477" w:rsidRDefault="00526AB0" w:rsidP="005C22F6">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749C5C0E" w14:textId="77777777" w:rsidR="00526AB0" w:rsidRPr="00DE7477" w:rsidRDefault="00526AB0" w:rsidP="005C22F6">
            <w:pPr>
              <w:rPr>
                <w:rFonts w:ascii="Arial" w:eastAsia="Times New Roman" w:hAnsi="Arial" w:cs="Arial"/>
                <w:sz w:val="20"/>
                <w:lang w:val="en-US"/>
              </w:rPr>
            </w:pPr>
            <w:r w:rsidRPr="00DE7477">
              <w:rPr>
                <w:rFonts w:ascii="Arial" w:eastAsia="Times New Roman" w:hAnsi="Arial" w:cs="Arial"/>
                <w:sz w:val="20"/>
                <w:lang w:val="en-US"/>
              </w:rPr>
              <w:t xml:space="preserve">Figure 9-951--TIM frame Action </w:t>
            </w:r>
            <w:proofErr w:type="gramStart"/>
            <w:r w:rsidRPr="00DE7477">
              <w:rPr>
                <w:rFonts w:ascii="Arial" w:eastAsia="Times New Roman" w:hAnsi="Arial" w:cs="Arial"/>
                <w:sz w:val="20"/>
                <w:lang w:val="en-US"/>
              </w:rPr>
              <w:t>field(</w:t>
            </w:r>
            <w:proofErr w:type="gramEnd"/>
            <w:r w:rsidRPr="00DE7477">
              <w:rPr>
                <w:rFonts w:ascii="Arial" w:eastAsia="Times New Roman" w:hAnsi="Arial" w:cs="Arial"/>
                <w:sz w:val="20"/>
                <w:lang w:val="en-US"/>
              </w:rPr>
              <w:t>#2568) format shows the TIM Element field (which contains a TIM element) as being 6-256 octets, but Figure 9-149--TIM element format shows it might only contain 4 octets</w:t>
            </w:r>
          </w:p>
        </w:tc>
        <w:tc>
          <w:tcPr>
            <w:tcW w:w="3600" w:type="dxa"/>
            <w:hideMark/>
          </w:tcPr>
          <w:p w14:paraId="2D84728F" w14:textId="77777777" w:rsidR="00526AB0" w:rsidRPr="00DE7477" w:rsidRDefault="00526AB0" w:rsidP="005C22F6">
            <w:pPr>
              <w:rPr>
                <w:rFonts w:ascii="Arial" w:eastAsia="Times New Roman" w:hAnsi="Arial" w:cs="Arial"/>
                <w:sz w:val="20"/>
                <w:lang w:val="en-US"/>
              </w:rPr>
            </w:pPr>
            <w:r w:rsidRPr="00DE7477">
              <w:rPr>
                <w:rFonts w:ascii="Arial" w:eastAsia="Times New Roman" w:hAnsi="Arial" w:cs="Arial"/>
                <w:sz w:val="20"/>
                <w:lang w:val="en-US"/>
              </w:rPr>
              <w:t>Change "6-256" to "4-256"</w:t>
            </w:r>
          </w:p>
        </w:tc>
      </w:tr>
    </w:tbl>
    <w:p w14:paraId="7EA5EF85" w14:textId="1CBE4D2F" w:rsidR="00762B54" w:rsidRDefault="00762B54">
      <w:pPr>
        <w:rPr>
          <w:bCs/>
          <w:szCs w:val="22"/>
        </w:rPr>
      </w:pPr>
    </w:p>
    <w:p w14:paraId="4BA3BD3E" w14:textId="467DD844" w:rsidR="00526AB0" w:rsidRDefault="00526AB0">
      <w:pPr>
        <w:rPr>
          <w:bCs/>
          <w:szCs w:val="22"/>
        </w:rPr>
      </w:pPr>
      <w:r>
        <w:rPr>
          <w:bCs/>
          <w:szCs w:val="22"/>
          <w:u w:val="single"/>
        </w:rPr>
        <w:t>Discussion:</w:t>
      </w:r>
    </w:p>
    <w:p w14:paraId="64DE9319" w14:textId="49BE2396" w:rsidR="00526AB0" w:rsidRDefault="00526AB0">
      <w:pPr>
        <w:rPr>
          <w:bCs/>
          <w:szCs w:val="22"/>
        </w:rPr>
      </w:pPr>
    </w:p>
    <w:p w14:paraId="1E6814D9" w14:textId="28640F88" w:rsidR="00526AB0" w:rsidRPr="0088266F" w:rsidRDefault="0088266F">
      <w:pPr>
        <w:rPr>
          <w:bCs/>
          <w:noProof/>
          <w:szCs w:val="22"/>
          <w:bdr w:val="single" w:sz="8" w:space="0" w:color="auto" w:shadow="1"/>
        </w:rPr>
      </w:pPr>
      <w:r w:rsidRPr="0088266F">
        <w:rPr>
          <w:bCs/>
          <w:noProof/>
          <w:szCs w:val="22"/>
          <w:bdr w:val="single" w:sz="8" w:space="0" w:color="auto" w:shadow="1"/>
        </w:rPr>
        <w:drawing>
          <wp:inline distT="0" distB="0" distL="0" distR="0" wp14:anchorId="66E73528" wp14:editId="7D3BB0E3">
            <wp:extent cx="6035040" cy="1828800"/>
            <wp:effectExtent l="0" t="0" r="381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5040" cy="1828800"/>
                    </a:xfrm>
                    <a:prstGeom prst="rect">
                      <a:avLst/>
                    </a:prstGeom>
                    <a:noFill/>
                    <a:ln>
                      <a:noFill/>
                    </a:ln>
                  </pic:spPr>
                </pic:pic>
              </a:graphicData>
            </a:graphic>
          </wp:inline>
        </w:drawing>
      </w:r>
    </w:p>
    <w:p w14:paraId="21B495F8" w14:textId="66E53E6A" w:rsidR="0088266F" w:rsidRPr="0088266F" w:rsidRDefault="0088266F">
      <w:pPr>
        <w:rPr>
          <w:bCs/>
          <w:noProof/>
          <w:szCs w:val="22"/>
          <w:bdr w:val="single" w:sz="8" w:space="0" w:color="auto" w:shadow="1"/>
        </w:rPr>
      </w:pPr>
      <w:r w:rsidRPr="0088266F">
        <w:rPr>
          <w:bCs/>
          <w:noProof/>
          <w:szCs w:val="22"/>
          <w:bdr w:val="single" w:sz="8" w:space="0" w:color="auto" w:shadow="1"/>
        </w:rPr>
        <w:drawing>
          <wp:inline distT="0" distB="0" distL="0" distR="0" wp14:anchorId="4EEC0F34" wp14:editId="2DF68F53">
            <wp:extent cx="5984875" cy="374015"/>
            <wp:effectExtent l="0" t="0" r="0" b="698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84875" cy="374015"/>
                    </a:xfrm>
                    <a:prstGeom prst="rect">
                      <a:avLst/>
                    </a:prstGeom>
                    <a:noFill/>
                    <a:ln>
                      <a:noFill/>
                    </a:ln>
                  </pic:spPr>
                </pic:pic>
              </a:graphicData>
            </a:graphic>
          </wp:inline>
        </w:drawing>
      </w:r>
    </w:p>
    <w:p w14:paraId="3C947F81" w14:textId="309BED09" w:rsidR="00762B54" w:rsidRDefault="00762B54">
      <w:pPr>
        <w:rPr>
          <w:bCs/>
          <w:szCs w:val="22"/>
        </w:rPr>
      </w:pPr>
    </w:p>
    <w:p w14:paraId="68E144FD" w14:textId="3C248F22" w:rsidR="0088266F" w:rsidRDefault="0088266F">
      <w:pPr>
        <w:rPr>
          <w:bCs/>
          <w:szCs w:val="22"/>
        </w:rPr>
      </w:pPr>
      <w:r>
        <w:rPr>
          <w:bCs/>
          <w:szCs w:val="22"/>
        </w:rPr>
        <w:t>As specified in 9.4.2.5, a TIM element length could be 4-256 octets:</w:t>
      </w:r>
    </w:p>
    <w:p w14:paraId="6193F094" w14:textId="038146D2" w:rsidR="0088266F" w:rsidRDefault="0088266F">
      <w:pPr>
        <w:rPr>
          <w:bCs/>
          <w:szCs w:val="22"/>
        </w:rPr>
      </w:pPr>
    </w:p>
    <w:p w14:paraId="11868CBB" w14:textId="5A4B4117" w:rsidR="0088266F" w:rsidRDefault="0088266F">
      <w:pPr>
        <w:rPr>
          <w:bCs/>
          <w:szCs w:val="22"/>
        </w:rPr>
      </w:pPr>
      <w:r>
        <w:rPr>
          <w:bCs/>
          <w:noProof/>
          <w:szCs w:val="22"/>
        </w:rPr>
        <w:drawing>
          <wp:inline distT="0" distB="0" distL="0" distR="0" wp14:anchorId="6F27A765" wp14:editId="5EEF2E46">
            <wp:extent cx="6050280" cy="1781175"/>
            <wp:effectExtent l="0" t="0" r="7620"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50280" cy="1781175"/>
                    </a:xfrm>
                    <a:prstGeom prst="rect">
                      <a:avLst/>
                    </a:prstGeom>
                    <a:noFill/>
                    <a:ln>
                      <a:noFill/>
                    </a:ln>
                  </pic:spPr>
                </pic:pic>
              </a:graphicData>
            </a:graphic>
          </wp:inline>
        </w:drawing>
      </w:r>
    </w:p>
    <w:p w14:paraId="140CFA82" w14:textId="77777777" w:rsidR="0088266F" w:rsidRDefault="0088266F">
      <w:pPr>
        <w:rPr>
          <w:bCs/>
          <w:szCs w:val="22"/>
        </w:rPr>
      </w:pPr>
    </w:p>
    <w:p w14:paraId="6CACAF3E" w14:textId="535E2B06" w:rsidR="0088266F" w:rsidRDefault="00FD4A20">
      <w:pPr>
        <w:rPr>
          <w:bCs/>
          <w:szCs w:val="22"/>
        </w:rPr>
      </w:pPr>
      <w:r w:rsidRPr="00FD4A20">
        <w:rPr>
          <w:bCs/>
          <w:szCs w:val="22"/>
          <w:highlight w:val="yellow"/>
          <w:u w:val="single"/>
        </w:rPr>
        <w:t>Proposed Resolution:</w:t>
      </w:r>
    </w:p>
    <w:p w14:paraId="5EA55B32" w14:textId="08A87B16" w:rsidR="00FD4A20" w:rsidRDefault="00FD4A20">
      <w:pPr>
        <w:rPr>
          <w:bCs/>
          <w:szCs w:val="22"/>
        </w:rPr>
      </w:pPr>
    </w:p>
    <w:p w14:paraId="4286C060" w14:textId="76F429FB" w:rsidR="00FD4A20" w:rsidRPr="00FD4A20" w:rsidRDefault="00FD4A20">
      <w:pPr>
        <w:rPr>
          <w:bCs/>
          <w:szCs w:val="22"/>
        </w:rPr>
      </w:pPr>
      <w:r>
        <w:rPr>
          <w:bCs/>
          <w:szCs w:val="22"/>
        </w:rPr>
        <w:t>Accepted.</w:t>
      </w:r>
    </w:p>
    <w:p w14:paraId="384DCE6E" w14:textId="77777777" w:rsidR="00525487" w:rsidRDefault="00526AB0">
      <w:pPr>
        <w:rPr>
          <w:bCs/>
          <w:szCs w:val="22"/>
        </w:rPr>
      </w:pPr>
      <w:r>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25487" w14:paraId="02A130AC"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1BF52CB4"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27C0A798"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24EA4085"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49BA0109"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FC6A47C" w14:textId="77777777" w:rsidR="00525487" w:rsidRDefault="00525487"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25487" w:rsidRPr="00DE7477" w14:paraId="6EF76320" w14:textId="77777777" w:rsidTr="005C22F6">
        <w:trPr>
          <w:trHeight w:val="2805"/>
        </w:trPr>
        <w:tc>
          <w:tcPr>
            <w:tcW w:w="738" w:type="dxa"/>
            <w:hideMark/>
          </w:tcPr>
          <w:p w14:paraId="7CD4E144" w14:textId="77777777" w:rsidR="00525487" w:rsidRPr="00DE7477" w:rsidRDefault="00525487" w:rsidP="005C22F6">
            <w:pPr>
              <w:jc w:val="right"/>
              <w:rPr>
                <w:rFonts w:ascii="Arial" w:eastAsia="Times New Roman" w:hAnsi="Arial" w:cs="Arial"/>
                <w:sz w:val="20"/>
                <w:lang w:val="en-US"/>
              </w:rPr>
            </w:pPr>
            <w:r w:rsidRPr="00DE7477">
              <w:rPr>
                <w:rFonts w:ascii="Arial" w:eastAsia="Times New Roman" w:hAnsi="Arial" w:cs="Arial"/>
                <w:sz w:val="20"/>
                <w:lang w:val="en-US"/>
              </w:rPr>
              <w:t>4561</w:t>
            </w:r>
          </w:p>
        </w:tc>
        <w:tc>
          <w:tcPr>
            <w:tcW w:w="990" w:type="dxa"/>
            <w:hideMark/>
          </w:tcPr>
          <w:p w14:paraId="0DD2E30C" w14:textId="77777777" w:rsidR="00525487" w:rsidRPr="00DE7477" w:rsidRDefault="00525487" w:rsidP="005C22F6">
            <w:pPr>
              <w:jc w:val="right"/>
              <w:rPr>
                <w:rFonts w:ascii="Arial" w:eastAsia="Times New Roman" w:hAnsi="Arial" w:cs="Arial"/>
                <w:sz w:val="20"/>
                <w:lang w:val="en-US"/>
              </w:rPr>
            </w:pPr>
            <w:r w:rsidRPr="00DE7477">
              <w:rPr>
                <w:rFonts w:ascii="Arial" w:eastAsia="Times New Roman" w:hAnsi="Arial" w:cs="Arial"/>
                <w:sz w:val="20"/>
                <w:lang w:val="en-US"/>
              </w:rPr>
              <w:t>838.04</w:t>
            </w:r>
          </w:p>
        </w:tc>
        <w:tc>
          <w:tcPr>
            <w:tcW w:w="1080" w:type="dxa"/>
            <w:hideMark/>
          </w:tcPr>
          <w:p w14:paraId="6E5CF8C8" w14:textId="77777777" w:rsidR="00525487" w:rsidRPr="00DE7477" w:rsidRDefault="00525487" w:rsidP="005C22F6">
            <w:pPr>
              <w:rPr>
                <w:rFonts w:ascii="Arial" w:eastAsia="Times New Roman" w:hAnsi="Arial" w:cs="Arial"/>
                <w:sz w:val="20"/>
                <w:lang w:val="en-US"/>
              </w:rPr>
            </w:pPr>
            <w:r w:rsidRPr="00DE7477">
              <w:rPr>
                <w:rFonts w:ascii="Arial" w:eastAsia="Times New Roman" w:hAnsi="Arial" w:cs="Arial"/>
                <w:sz w:val="20"/>
                <w:lang w:val="en-US"/>
              </w:rPr>
              <w:t>9.3.1.9</w:t>
            </w:r>
          </w:p>
        </w:tc>
        <w:tc>
          <w:tcPr>
            <w:tcW w:w="3600" w:type="dxa"/>
            <w:hideMark/>
          </w:tcPr>
          <w:p w14:paraId="7FC0FE0C" w14:textId="77777777" w:rsidR="00525487" w:rsidRPr="00DE7477" w:rsidRDefault="00525487" w:rsidP="005C22F6">
            <w:pPr>
              <w:rPr>
                <w:rFonts w:ascii="Arial" w:eastAsia="Times New Roman" w:hAnsi="Arial" w:cs="Arial"/>
                <w:sz w:val="20"/>
                <w:lang w:val="en-US"/>
              </w:rPr>
            </w:pPr>
            <w:r w:rsidRPr="00DE7477">
              <w:rPr>
                <w:rFonts w:ascii="Arial" w:eastAsia="Times New Roman" w:hAnsi="Arial" w:cs="Arial"/>
                <w:sz w:val="20"/>
                <w:lang w:val="en-US"/>
              </w:rPr>
              <w:t>"The Frame Control field is defined in 9.3.1 (Control frames). (MDR</w:t>
            </w:r>
            <w:proofErr w:type="gramStart"/>
            <w:r w:rsidRPr="00DE7477">
              <w:rPr>
                <w:rFonts w:ascii="Arial" w:eastAsia="Times New Roman" w:hAnsi="Arial" w:cs="Arial"/>
                <w:sz w:val="20"/>
                <w:lang w:val="en-US"/>
              </w:rPr>
              <w:t>2)The</w:t>
            </w:r>
            <w:proofErr w:type="gramEnd"/>
            <w:r w:rsidRPr="00DE7477">
              <w:rPr>
                <w:rFonts w:ascii="Arial" w:eastAsia="Times New Roman" w:hAnsi="Arial" w:cs="Arial"/>
                <w:sz w:val="20"/>
                <w:lang w:val="en-US"/>
              </w:rPr>
              <w:t xml:space="preserve"> subtype field is the value from</w:t>
            </w:r>
            <w:r w:rsidRPr="00DE7477">
              <w:rPr>
                <w:rFonts w:ascii="Arial" w:eastAsia="Times New Roman" w:hAnsi="Arial" w:cs="Arial"/>
                <w:sz w:val="20"/>
                <w:lang w:val="en-US"/>
              </w:rPr>
              <w:br/>
              <w:t>Table 9-1 (Valid type and subtype combinations) of 9.2.4.1.3 (Type and Subtype subfields) that corresponds</w:t>
            </w:r>
            <w:r w:rsidRPr="00DE7477">
              <w:rPr>
                <w:rFonts w:ascii="Arial" w:eastAsia="Times New Roman" w:hAnsi="Arial" w:cs="Arial"/>
                <w:sz w:val="20"/>
                <w:lang w:val="en-US"/>
              </w:rPr>
              <w:br/>
              <w:t>to Control Wrapper frame." -- we don't say this for any other frame</w:t>
            </w:r>
          </w:p>
        </w:tc>
        <w:tc>
          <w:tcPr>
            <w:tcW w:w="3600" w:type="dxa"/>
            <w:hideMark/>
          </w:tcPr>
          <w:p w14:paraId="29DF1A0E" w14:textId="77777777" w:rsidR="00525487" w:rsidRPr="00DE7477" w:rsidRDefault="00525487" w:rsidP="005C22F6">
            <w:pPr>
              <w:rPr>
                <w:rFonts w:ascii="Arial" w:eastAsia="Times New Roman" w:hAnsi="Arial" w:cs="Arial"/>
                <w:sz w:val="20"/>
                <w:lang w:val="en-US"/>
              </w:rPr>
            </w:pPr>
            <w:r w:rsidRPr="00DE7477">
              <w:rPr>
                <w:rFonts w:ascii="Arial" w:eastAsia="Times New Roman" w:hAnsi="Arial" w:cs="Arial"/>
                <w:sz w:val="20"/>
                <w:lang w:val="en-US"/>
              </w:rPr>
              <w:t>Delete the cited text</w:t>
            </w:r>
          </w:p>
        </w:tc>
      </w:tr>
    </w:tbl>
    <w:p w14:paraId="3FE549D8" w14:textId="23A2ACE0" w:rsidR="00526AB0" w:rsidRDefault="00526AB0">
      <w:pPr>
        <w:rPr>
          <w:bCs/>
          <w:szCs w:val="22"/>
        </w:rPr>
      </w:pPr>
    </w:p>
    <w:p w14:paraId="32CED6BB" w14:textId="2E3AD0E4" w:rsidR="00525487" w:rsidRDefault="00525487">
      <w:pPr>
        <w:rPr>
          <w:bCs/>
          <w:szCs w:val="22"/>
        </w:rPr>
      </w:pPr>
      <w:r>
        <w:rPr>
          <w:bCs/>
          <w:szCs w:val="22"/>
          <w:u w:val="single"/>
        </w:rPr>
        <w:t>Discussion:</w:t>
      </w:r>
    </w:p>
    <w:p w14:paraId="216C817D" w14:textId="5AB056E6" w:rsidR="00525487" w:rsidRDefault="00525487">
      <w:pPr>
        <w:rPr>
          <w:bCs/>
          <w:szCs w:val="22"/>
        </w:rPr>
      </w:pPr>
    </w:p>
    <w:p w14:paraId="3A02A220" w14:textId="305C3AA3" w:rsidR="00525487" w:rsidRPr="006A5FE5" w:rsidRDefault="006A5FE5">
      <w:pPr>
        <w:rPr>
          <w:bCs/>
          <w:noProof/>
          <w:szCs w:val="22"/>
          <w:bdr w:val="single" w:sz="8" w:space="0" w:color="auto" w:shadow="1"/>
        </w:rPr>
      </w:pPr>
      <w:r w:rsidRPr="006A5FE5">
        <w:rPr>
          <w:bCs/>
          <w:noProof/>
          <w:szCs w:val="22"/>
          <w:bdr w:val="single" w:sz="8" w:space="0" w:color="auto" w:shadow="1"/>
        </w:rPr>
        <w:drawing>
          <wp:inline distT="0" distB="0" distL="0" distR="0" wp14:anchorId="4DF4E629" wp14:editId="74A31B53">
            <wp:extent cx="6035040" cy="4846320"/>
            <wp:effectExtent l="0" t="0" r="38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5040" cy="4846320"/>
                    </a:xfrm>
                    <a:prstGeom prst="rect">
                      <a:avLst/>
                    </a:prstGeom>
                    <a:noFill/>
                    <a:ln>
                      <a:noFill/>
                    </a:ln>
                  </pic:spPr>
                </pic:pic>
              </a:graphicData>
            </a:graphic>
          </wp:inline>
        </w:drawing>
      </w:r>
    </w:p>
    <w:p w14:paraId="144F558E" w14:textId="10B2E6B8" w:rsidR="00525487" w:rsidRDefault="00525487">
      <w:pPr>
        <w:rPr>
          <w:bCs/>
          <w:szCs w:val="22"/>
        </w:rPr>
      </w:pPr>
    </w:p>
    <w:p w14:paraId="3A49D778" w14:textId="73B0D17E" w:rsidR="006A5FE5" w:rsidRDefault="006A5FE5">
      <w:pPr>
        <w:rPr>
          <w:bCs/>
          <w:szCs w:val="22"/>
        </w:rPr>
      </w:pPr>
      <w:r>
        <w:rPr>
          <w:bCs/>
          <w:szCs w:val="22"/>
        </w:rPr>
        <w:t>This Control Wrapper frame does appear to be the only frame definition that explicitly says this, and it is not necessary as the Frame Control field is clearly defined in the overall Control Frame format in 9.3.1.1.</w:t>
      </w:r>
    </w:p>
    <w:p w14:paraId="6161BF64" w14:textId="7DF83977" w:rsidR="006A5FE5" w:rsidRDefault="006A5FE5">
      <w:pPr>
        <w:rPr>
          <w:bCs/>
          <w:szCs w:val="22"/>
        </w:rPr>
      </w:pPr>
    </w:p>
    <w:p w14:paraId="36C177C7" w14:textId="62CFC030" w:rsidR="006A5FE5" w:rsidRDefault="006A5FE5">
      <w:pPr>
        <w:rPr>
          <w:bCs/>
          <w:szCs w:val="22"/>
        </w:rPr>
      </w:pPr>
      <w:r w:rsidRPr="006A5FE5">
        <w:rPr>
          <w:bCs/>
          <w:szCs w:val="22"/>
          <w:highlight w:val="yellow"/>
          <w:u w:val="single"/>
        </w:rPr>
        <w:t>Proposed Resolution:</w:t>
      </w:r>
    </w:p>
    <w:p w14:paraId="570CEB59" w14:textId="25AD8894" w:rsidR="006A5FE5" w:rsidRDefault="006A5FE5">
      <w:pPr>
        <w:rPr>
          <w:bCs/>
          <w:szCs w:val="22"/>
        </w:rPr>
      </w:pPr>
    </w:p>
    <w:p w14:paraId="1902523F" w14:textId="22E261EF" w:rsidR="00556719" w:rsidRDefault="006A5FE5">
      <w:pPr>
        <w:rPr>
          <w:bCs/>
          <w:szCs w:val="22"/>
        </w:rPr>
      </w:pPr>
      <w:r>
        <w:rPr>
          <w:bCs/>
          <w:szCs w:val="22"/>
        </w:rPr>
        <w:t>Accepted.</w:t>
      </w:r>
      <w:r w:rsidR="00525487">
        <w:rPr>
          <w:bCs/>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09D01D86"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091A0BAA"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lastRenderedPageBreak/>
              <w:t>CID</w:t>
            </w:r>
          </w:p>
        </w:tc>
        <w:tc>
          <w:tcPr>
            <w:tcW w:w="990" w:type="dxa"/>
            <w:tcBorders>
              <w:top w:val="single" w:sz="4" w:space="0" w:color="auto"/>
              <w:left w:val="single" w:sz="4" w:space="0" w:color="auto"/>
              <w:bottom w:val="single" w:sz="4" w:space="0" w:color="auto"/>
              <w:right w:val="single" w:sz="4" w:space="0" w:color="auto"/>
            </w:tcBorders>
            <w:hideMark/>
          </w:tcPr>
          <w:p w14:paraId="473E24E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361A182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221D0AB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4F3044E6"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556719" w:rsidRPr="00DE7477" w14:paraId="3F1850D9" w14:textId="77777777" w:rsidTr="005C22F6">
        <w:trPr>
          <w:trHeight w:val="4151"/>
        </w:trPr>
        <w:tc>
          <w:tcPr>
            <w:tcW w:w="738" w:type="dxa"/>
            <w:hideMark/>
          </w:tcPr>
          <w:p w14:paraId="10095BB9" w14:textId="77777777" w:rsidR="00556719" w:rsidRPr="00DE7477" w:rsidRDefault="00556719" w:rsidP="005C22F6">
            <w:pPr>
              <w:jc w:val="right"/>
              <w:rPr>
                <w:rFonts w:ascii="Arial" w:eastAsia="Times New Roman" w:hAnsi="Arial" w:cs="Arial"/>
                <w:sz w:val="20"/>
                <w:lang w:val="en-US"/>
              </w:rPr>
            </w:pPr>
            <w:r w:rsidRPr="00DE7477">
              <w:rPr>
                <w:rFonts w:ascii="Arial" w:eastAsia="Times New Roman" w:hAnsi="Arial" w:cs="Arial"/>
                <w:sz w:val="20"/>
                <w:lang w:val="en-US"/>
              </w:rPr>
              <w:t>4774</w:t>
            </w:r>
          </w:p>
        </w:tc>
        <w:tc>
          <w:tcPr>
            <w:tcW w:w="990" w:type="dxa"/>
            <w:hideMark/>
          </w:tcPr>
          <w:p w14:paraId="52108AF8" w14:textId="77777777" w:rsidR="00556719" w:rsidRPr="00DE7477" w:rsidRDefault="00556719" w:rsidP="005C22F6">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5FB01FDD"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02C33DFA"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 xml:space="preserve">There is no concept of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anymore.</w:t>
            </w:r>
          </w:p>
        </w:tc>
        <w:tc>
          <w:tcPr>
            <w:tcW w:w="3600" w:type="dxa"/>
            <w:hideMark/>
          </w:tcPr>
          <w:p w14:paraId="172D4763" w14:textId="77777777" w:rsidR="00556719" w:rsidRPr="00DE7477" w:rsidRDefault="00556719" w:rsidP="005C22F6">
            <w:pPr>
              <w:rPr>
                <w:rFonts w:ascii="Arial" w:eastAsia="Times New Roman" w:hAnsi="Arial" w:cs="Arial"/>
                <w:sz w:val="20"/>
                <w:lang w:val="en-US"/>
              </w:rPr>
            </w:pPr>
            <w:r w:rsidRPr="00DE7477">
              <w:rPr>
                <w:rFonts w:ascii="Arial" w:eastAsia="Times New Roman" w:hAnsi="Arial" w:cs="Arial"/>
                <w:sz w:val="20"/>
                <w:lang w:val="en-US"/>
              </w:rPr>
              <w:t xml:space="preserve">Delete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 class".  Same thing at line 5.</w:t>
            </w:r>
            <w:r w:rsidRPr="00DE7477">
              <w:rPr>
                <w:rFonts w:ascii="Arial" w:eastAsia="Times New Roman" w:hAnsi="Arial" w:cs="Arial"/>
                <w:sz w:val="20"/>
                <w:lang w:val="en-US"/>
              </w:rPr>
              <w:br/>
            </w:r>
            <w:r w:rsidRPr="00DE7477">
              <w:rPr>
                <w:rFonts w:ascii="Arial" w:eastAsia="Times New Roman" w:hAnsi="Arial" w:cs="Arial"/>
                <w:sz w:val="20"/>
                <w:lang w:val="en-US"/>
              </w:rPr>
              <w:br/>
              <w:t>Delete the paragraph at P299.29, discussing two service classes for non-QoS STAs.</w:t>
            </w:r>
            <w:r w:rsidRPr="00DE7477">
              <w:rPr>
                <w:rFonts w:ascii="Arial" w:eastAsia="Times New Roman" w:hAnsi="Arial" w:cs="Arial"/>
                <w:sz w:val="20"/>
                <w:lang w:val="en-US"/>
              </w:rPr>
              <w:br/>
            </w:r>
            <w:r w:rsidRPr="00DE7477">
              <w:rPr>
                <w:rFonts w:ascii="Arial" w:eastAsia="Times New Roman" w:hAnsi="Arial" w:cs="Arial"/>
                <w:sz w:val="20"/>
                <w:lang w:val="en-US"/>
              </w:rPr>
              <w:br/>
              <w:t xml:space="preserve">At the start of subclause 5.1.1.4, insert a paragraph, "In Non-QoS STAs, the value of the service class parameter in invoked MAC Service Primitives (see 5.2) is ignored.  The value of the service class parameter in generated MAC Service Primitives is set to </w:t>
            </w:r>
            <w:proofErr w:type="spellStart"/>
            <w:r w:rsidRPr="00DE7477">
              <w:rPr>
                <w:rFonts w:ascii="Arial" w:eastAsia="Times New Roman" w:hAnsi="Arial" w:cs="Arial"/>
                <w:sz w:val="20"/>
                <w:lang w:val="en-US"/>
              </w:rPr>
              <w:t>ReorderableGroupAddressed</w:t>
            </w:r>
            <w:proofErr w:type="spellEnd"/>
            <w:r w:rsidRPr="00DE7477">
              <w:rPr>
                <w:rFonts w:ascii="Arial" w:eastAsia="Times New Roman" w:hAnsi="Arial" w:cs="Arial"/>
                <w:sz w:val="20"/>
                <w:lang w:val="en-US"/>
              </w:rPr>
              <w:t>."</w:t>
            </w:r>
          </w:p>
        </w:tc>
      </w:tr>
    </w:tbl>
    <w:p w14:paraId="583CBBBA" w14:textId="5A4EB854" w:rsidR="00525487" w:rsidRDefault="00525487">
      <w:pPr>
        <w:rPr>
          <w:bCs/>
          <w:szCs w:val="22"/>
        </w:rPr>
      </w:pPr>
    </w:p>
    <w:p w14:paraId="6BD31CD7" w14:textId="7C3B0E6D" w:rsidR="003B03DD" w:rsidRDefault="00556719" w:rsidP="00CD66FA">
      <w:pPr>
        <w:rPr>
          <w:bCs/>
          <w:szCs w:val="22"/>
        </w:rPr>
      </w:pPr>
      <w:r>
        <w:rPr>
          <w:bCs/>
          <w:szCs w:val="22"/>
          <w:u w:val="single"/>
        </w:rPr>
        <w:t>Discussion:</w:t>
      </w:r>
    </w:p>
    <w:p w14:paraId="00A55853" w14:textId="2ADB7AC2" w:rsidR="00556719" w:rsidRDefault="00556719" w:rsidP="00CD66FA">
      <w:pPr>
        <w:rPr>
          <w:bCs/>
          <w:szCs w:val="22"/>
        </w:rPr>
      </w:pPr>
    </w:p>
    <w:p w14:paraId="41012909" w14:textId="490A03B7" w:rsidR="00556719" w:rsidRDefault="00F70BA3" w:rsidP="00CD66FA">
      <w:pPr>
        <w:rPr>
          <w:bCs/>
          <w:szCs w:val="22"/>
        </w:rPr>
      </w:pPr>
      <w:r>
        <w:rPr>
          <w:bCs/>
          <w:szCs w:val="22"/>
        </w:rPr>
        <w:t>There are exactly two occurrences of “</w:t>
      </w:r>
      <w:proofErr w:type="spellStart"/>
      <w:r>
        <w:rPr>
          <w:bCs/>
          <w:szCs w:val="22"/>
        </w:rPr>
        <w:t>StrictlyOrdered</w:t>
      </w:r>
      <w:proofErr w:type="spellEnd"/>
      <w:r>
        <w:rPr>
          <w:bCs/>
          <w:szCs w:val="22"/>
        </w:rPr>
        <w:t xml:space="preserve">” (or “strictly ordered”) in the Draft, at the </w:t>
      </w:r>
      <w:r w:rsidR="005C22F6">
        <w:rPr>
          <w:bCs/>
          <w:szCs w:val="22"/>
        </w:rPr>
        <w:t xml:space="preserve">P2187 </w:t>
      </w:r>
      <w:r>
        <w:rPr>
          <w:bCs/>
          <w:szCs w:val="22"/>
        </w:rPr>
        <w:t xml:space="preserve">locations cited in the Proposed Changes.  </w:t>
      </w:r>
    </w:p>
    <w:p w14:paraId="0821CE87" w14:textId="7EC31AED" w:rsidR="00556719" w:rsidRDefault="00556719" w:rsidP="00CD66FA">
      <w:pPr>
        <w:rPr>
          <w:bCs/>
          <w:szCs w:val="22"/>
        </w:rPr>
      </w:pPr>
    </w:p>
    <w:p w14:paraId="1DECE931" w14:textId="60E7B85B" w:rsidR="00F70BA3" w:rsidRPr="005C22F6" w:rsidRDefault="005C22F6" w:rsidP="00CD66FA">
      <w:pPr>
        <w:rPr>
          <w:bCs/>
          <w:noProof/>
          <w:szCs w:val="22"/>
          <w:bdr w:val="single" w:sz="8" w:space="0" w:color="auto" w:shadow="1"/>
        </w:rPr>
      </w:pPr>
      <w:r w:rsidRPr="005C22F6">
        <w:rPr>
          <w:bCs/>
          <w:noProof/>
          <w:szCs w:val="22"/>
          <w:bdr w:val="single" w:sz="8" w:space="0" w:color="auto" w:shadow="1"/>
        </w:rPr>
        <mc:AlternateContent>
          <mc:Choice Requires="wpi">
            <w:drawing>
              <wp:anchor distT="0" distB="0" distL="114300" distR="114300" simplePos="0" relativeHeight="251610624" behindDoc="0" locked="0" layoutInCell="1" allowOverlap="1" wp14:anchorId="34986190" wp14:editId="5AC855D5">
                <wp:simplePos x="0" y="0"/>
                <wp:positionH relativeFrom="column">
                  <wp:posOffset>1584002</wp:posOffset>
                </wp:positionH>
                <wp:positionV relativeFrom="paragraph">
                  <wp:posOffset>743573</wp:posOffset>
                </wp:positionV>
                <wp:extent cx="795600" cy="33840"/>
                <wp:effectExtent l="57150" t="152400" r="24130" b="156845"/>
                <wp:wrapNone/>
                <wp:docPr id="337" name="Ink 337"/>
                <wp:cNvGraphicFramePr/>
                <a:graphic xmlns:a="http://schemas.openxmlformats.org/drawingml/2006/main">
                  <a:graphicData uri="http://schemas.microsoft.com/office/word/2010/wordprocessingInk">
                    <w14:contentPart bwMode="auto" r:id="rId68">
                      <w14:nvContentPartPr>
                        <w14:cNvContentPartPr/>
                      </w14:nvContentPartPr>
                      <w14:xfrm>
                        <a:off x="0" y="0"/>
                        <a:ext cx="795600" cy="33840"/>
                      </w14:xfrm>
                    </w14:contentPart>
                  </a:graphicData>
                </a:graphic>
              </wp:anchor>
            </w:drawing>
          </mc:Choice>
          <mc:Fallback>
            <w:pict>
              <v:shape w14:anchorId="38704C8B" id="Ink 337" o:spid="_x0000_s1026" type="#_x0000_t75" style="position:absolute;margin-left:120.45pt;margin-top:50.05pt;width:71.2pt;height:19.65pt;z-index:25161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&#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">
                <v:imagedata r:id="rId69" o:title=""/>
              </v:shape>
            </w:pict>
          </mc:Fallback>
        </mc:AlternateContent>
      </w:r>
      <w:r w:rsidRPr="005C22F6">
        <w:rPr>
          <w:bCs/>
          <w:noProof/>
          <w:szCs w:val="22"/>
          <w:bdr w:val="single" w:sz="8" w:space="0" w:color="auto" w:shadow="1"/>
        </w:rPr>
        <mc:AlternateContent>
          <mc:Choice Requires="wpi">
            <w:drawing>
              <wp:anchor distT="0" distB="0" distL="114300" distR="114300" simplePos="0" relativeHeight="251608576" behindDoc="0" locked="0" layoutInCell="1" allowOverlap="1" wp14:anchorId="5046A62F" wp14:editId="4DA1FAC7">
                <wp:simplePos x="0" y="0"/>
                <wp:positionH relativeFrom="column">
                  <wp:posOffset>4790162</wp:posOffset>
                </wp:positionH>
                <wp:positionV relativeFrom="paragraph">
                  <wp:posOffset>251093</wp:posOffset>
                </wp:positionV>
                <wp:extent cx="724320" cy="11880"/>
                <wp:effectExtent l="95250" t="133350" r="114300" b="160020"/>
                <wp:wrapNone/>
                <wp:docPr id="336" name="Ink 336"/>
                <wp:cNvGraphicFramePr/>
                <a:graphic xmlns:a="http://schemas.openxmlformats.org/drawingml/2006/main">
                  <a:graphicData uri="http://schemas.microsoft.com/office/word/2010/wordprocessingInk">
                    <w14:contentPart bwMode="auto" r:id="rId70">
                      <w14:nvContentPartPr>
                        <w14:cNvContentPartPr/>
                      </w14:nvContentPartPr>
                      <w14:xfrm>
                        <a:off x="0" y="0"/>
                        <a:ext cx="724320" cy="11880"/>
                      </w14:xfrm>
                    </w14:contentPart>
                  </a:graphicData>
                </a:graphic>
              </wp:anchor>
            </w:drawing>
          </mc:Choice>
          <mc:Fallback>
            <w:pict>
              <v:shape w14:anchorId="799140BB" id="Ink 336" o:spid="_x0000_s1026" type="#_x0000_t75" style="position:absolute;margin-left:372.95pt;margin-top:11.25pt;width:65.55pt;height:17.95pt;z-index:25160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">
                <v:imagedata r:id="rId71" o:title=""/>
              </v:shape>
            </w:pict>
          </mc:Fallback>
        </mc:AlternateContent>
      </w:r>
      <w:r w:rsidRPr="005C22F6">
        <w:rPr>
          <w:bCs/>
          <w:noProof/>
          <w:szCs w:val="22"/>
          <w:bdr w:val="single" w:sz="8" w:space="0" w:color="auto" w:shadow="1"/>
        </w:rPr>
        <w:drawing>
          <wp:inline distT="0" distB="0" distL="0" distR="0" wp14:anchorId="08C982DD" wp14:editId="6962E931">
            <wp:extent cx="6035040" cy="1005840"/>
            <wp:effectExtent l="0" t="0" r="3810" b="381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5040" cy="1005840"/>
                    </a:xfrm>
                    <a:prstGeom prst="rect">
                      <a:avLst/>
                    </a:prstGeom>
                    <a:noFill/>
                    <a:ln>
                      <a:noFill/>
                    </a:ln>
                  </pic:spPr>
                </pic:pic>
              </a:graphicData>
            </a:graphic>
          </wp:inline>
        </w:drawing>
      </w:r>
    </w:p>
    <w:p w14:paraId="341068C5" w14:textId="5291A11F" w:rsidR="005C22F6" w:rsidRDefault="005C22F6" w:rsidP="00CD66FA">
      <w:pPr>
        <w:rPr>
          <w:bCs/>
          <w:szCs w:val="22"/>
        </w:rPr>
      </w:pPr>
    </w:p>
    <w:p w14:paraId="37DF0CD0" w14:textId="167F7A59" w:rsidR="005C22F6" w:rsidRDefault="005C22F6" w:rsidP="00CD66FA">
      <w:pPr>
        <w:rPr>
          <w:bCs/>
          <w:szCs w:val="22"/>
        </w:rPr>
      </w:pPr>
      <w:r>
        <w:rPr>
          <w:bCs/>
          <w:szCs w:val="22"/>
        </w:rPr>
        <w:t>The cited locations on P299 (subclause 5.1.1.1) and in 5.1.1.4 are the only locations that discuss the concept “service class” for non-QoS STAs, without a restriction that only “</w:t>
      </w:r>
      <w:proofErr w:type="spellStart"/>
      <w:r>
        <w:rPr>
          <w:bCs/>
          <w:szCs w:val="22"/>
        </w:rPr>
        <w:t>ReorderableGroupAddressed</w:t>
      </w:r>
      <w:proofErr w:type="spellEnd"/>
      <w:r>
        <w:rPr>
          <w:bCs/>
          <w:szCs w:val="22"/>
        </w:rPr>
        <w:t>” is allowed.  So, these two locations are the only other places that need to be modified to complete the restriction to only “</w:t>
      </w:r>
      <w:proofErr w:type="spellStart"/>
      <w:r>
        <w:rPr>
          <w:bCs/>
          <w:szCs w:val="22"/>
        </w:rPr>
        <w:t>ReorderableGroupAddressed</w:t>
      </w:r>
      <w:proofErr w:type="spellEnd"/>
      <w:r>
        <w:rPr>
          <w:bCs/>
          <w:szCs w:val="22"/>
        </w:rPr>
        <w:t>” service class for non-QoS STAs.</w:t>
      </w:r>
    </w:p>
    <w:p w14:paraId="33857369" w14:textId="2007C757" w:rsidR="005C22F6" w:rsidRDefault="005C22F6" w:rsidP="00CD66FA">
      <w:pPr>
        <w:rPr>
          <w:bCs/>
          <w:szCs w:val="22"/>
        </w:rPr>
      </w:pPr>
    </w:p>
    <w:p w14:paraId="6577120B" w14:textId="7993F576" w:rsidR="005C22F6" w:rsidRDefault="005C22F6" w:rsidP="00CD66FA">
      <w:pPr>
        <w:rPr>
          <w:bCs/>
          <w:szCs w:val="22"/>
        </w:rPr>
      </w:pPr>
      <w:r>
        <w:rPr>
          <w:bCs/>
          <w:szCs w:val="22"/>
        </w:rPr>
        <w:t>The paragraph at P299.29:</w:t>
      </w:r>
    </w:p>
    <w:p w14:paraId="29096577" w14:textId="027B068E" w:rsidR="00F70BA3" w:rsidRPr="005C22F6" w:rsidRDefault="005C22F6" w:rsidP="00CD66FA">
      <w:pPr>
        <w:rPr>
          <w:bCs/>
          <w:noProof/>
          <w:szCs w:val="22"/>
          <w:bdr w:val="single" w:sz="8" w:space="0" w:color="auto" w:shadow="1"/>
        </w:rPr>
      </w:pPr>
      <w:r w:rsidRPr="005C22F6">
        <w:rPr>
          <w:bCs/>
          <w:noProof/>
          <w:szCs w:val="22"/>
          <w:bdr w:val="single" w:sz="8" w:space="0" w:color="auto" w:shadow="1"/>
        </w:rPr>
        <w:drawing>
          <wp:inline distT="0" distB="0" distL="0" distR="0" wp14:anchorId="7D8E6E46" wp14:editId="5CF6C89D">
            <wp:extent cx="5981700" cy="666750"/>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1700" cy="666750"/>
                    </a:xfrm>
                    <a:prstGeom prst="rect">
                      <a:avLst/>
                    </a:prstGeom>
                    <a:noFill/>
                    <a:ln>
                      <a:noFill/>
                    </a:ln>
                  </pic:spPr>
                </pic:pic>
              </a:graphicData>
            </a:graphic>
          </wp:inline>
        </w:drawing>
      </w:r>
    </w:p>
    <w:p w14:paraId="6F93490B" w14:textId="417E9BF5" w:rsidR="005C22F6" w:rsidRDefault="005C22F6" w:rsidP="00CD66FA">
      <w:pPr>
        <w:rPr>
          <w:bCs/>
          <w:szCs w:val="22"/>
        </w:rPr>
      </w:pPr>
      <w:r>
        <w:rPr>
          <w:bCs/>
          <w:szCs w:val="22"/>
        </w:rPr>
        <w:t xml:space="preserve">Note that this paragraph </w:t>
      </w:r>
      <w:proofErr w:type="gramStart"/>
      <w:r>
        <w:rPr>
          <w:bCs/>
          <w:szCs w:val="22"/>
        </w:rPr>
        <w:t>say</w:t>
      </w:r>
      <w:proofErr w:type="gramEnd"/>
      <w:r>
        <w:rPr>
          <w:bCs/>
          <w:szCs w:val="22"/>
        </w:rPr>
        <w:t xml:space="preserve"> “as discussed in more detail below”, except it is not discussed below (that has been removed already).</w:t>
      </w:r>
    </w:p>
    <w:p w14:paraId="3131D9DA" w14:textId="0EDE28C2" w:rsidR="005C22F6" w:rsidRDefault="005C22F6" w:rsidP="00CD66FA">
      <w:pPr>
        <w:rPr>
          <w:bCs/>
          <w:szCs w:val="22"/>
        </w:rPr>
      </w:pPr>
    </w:p>
    <w:p w14:paraId="7BCE494E" w14:textId="0CC3DC35" w:rsidR="005C22F6" w:rsidRDefault="005C22F6" w:rsidP="00CD66FA">
      <w:pPr>
        <w:rPr>
          <w:bCs/>
          <w:szCs w:val="22"/>
        </w:rPr>
      </w:pPr>
      <w:r>
        <w:rPr>
          <w:bCs/>
          <w:szCs w:val="22"/>
        </w:rPr>
        <w:t xml:space="preserve">Subclause 5.1.1.4 is where the service class parameter </w:t>
      </w:r>
      <w:r w:rsidR="00AA3B9E">
        <w:rPr>
          <w:bCs/>
          <w:szCs w:val="22"/>
        </w:rPr>
        <w:t>to the MAC SAP is discussed:</w:t>
      </w:r>
    </w:p>
    <w:p w14:paraId="0C66AE38" w14:textId="065A00E4" w:rsidR="005C22F6" w:rsidRPr="005C22F6" w:rsidRDefault="005C22F6" w:rsidP="00CD66FA">
      <w:pPr>
        <w:rPr>
          <w:bCs/>
          <w:noProof/>
          <w:szCs w:val="22"/>
          <w:bdr w:val="single" w:sz="8" w:space="0" w:color="auto" w:shadow="1"/>
        </w:rPr>
      </w:pPr>
      <w:r w:rsidRPr="005C22F6">
        <w:rPr>
          <w:bCs/>
          <w:noProof/>
          <w:szCs w:val="22"/>
          <w:bdr w:val="single" w:sz="8" w:space="0" w:color="auto" w:shadow="1"/>
        </w:rPr>
        <w:lastRenderedPageBreak/>
        <w:drawing>
          <wp:inline distT="0" distB="0" distL="0" distR="0" wp14:anchorId="3190F308" wp14:editId="2D6231DF">
            <wp:extent cx="6115685" cy="2660015"/>
            <wp:effectExtent l="0" t="0" r="0" b="698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685" cy="2660015"/>
                    </a:xfrm>
                    <a:prstGeom prst="rect">
                      <a:avLst/>
                    </a:prstGeom>
                    <a:noFill/>
                    <a:ln>
                      <a:noFill/>
                    </a:ln>
                  </pic:spPr>
                </pic:pic>
              </a:graphicData>
            </a:graphic>
          </wp:inline>
        </w:drawing>
      </w:r>
    </w:p>
    <w:p w14:paraId="45E0E280" w14:textId="2AE5015D" w:rsidR="005C22F6" w:rsidRPr="005C22F6" w:rsidRDefault="005C22F6" w:rsidP="00CD66FA">
      <w:pPr>
        <w:rPr>
          <w:bCs/>
          <w:noProof/>
          <w:szCs w:val="22"/>
          <w:bdr w:val="single" w:sz="8" w:space="0" w:color="auto" w:shadow="1"/>
        </w:rPr>
      </w:pPr>
      <w:r w:rsidRPr="005C22F6">
        <w:rPr>
          <w:bCs/>
          <w:noProof/>
          <w:szCs w:val="22"/>
          <w:bdr w:val="single" w:sz="8" w:space="0" w:color="auto" w:shadow="1"/>
        </w:rPr>
        <w:drawing>
          <wp:inline distT="0" distB="0" distL="0" distR="0" wp14:anchorId="05911D25" wp14:editId="7845DABA">
            <wp:extent cx="5991225" cy="1840865"/>
            <wp:effectExtent l="0" t="0" r="9525" b="698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91225" cy="1840865"/>
                    </a:xfrm>
                    <a:prstGeom prst="rect">
                      <a:avLst/>
                    </a:prstGeom>
                    <a:noFill/>
                    <a:ln>
                      <a:noFill/>
                    </a:ln>
                  </pic:spPr>
                </pic:pic>
              </a:graphicData>
            </a:graphic>
          </wp:inline>
        </w:drawing>
      </w:r>
    </w:p>
    <w:p w14:paraId="6FD8A885" w14:textId="50E397D9" w:rsidR="005C22F6" w:rsidRDefault="005C22F6" w:rsidP="00CD66FA">
      <w:pPr>
        <w:rPr>
          <w:bCs/>
          <w:szCs w:val="22"/>
        </w:rPr>
      </w:pPr>
    </w:p>
    <w:p w14:paraId="46453B52" w14:textId="4967CA89" w:rsidR="00AA3B9E" w:rsidRDefault="00AA3B9E" w:rsidP="00CD66FA">
      <w:pPr>
        <w:rPr>
          <w:bCs/>
          <w:szCs w:val="22"/>
        </w:rPr>
      </w:pPr>
      <w:r>
        <w:rPr>
          <w:bCs/>
          <w:szCs w:val="22"/>
        </w:rPr>
        <w:t xml:space="preserve">The last paragraph of this subclause deals with receiving a non-QoS Data frame.  This could be in the context of a non-QoS STA receiving the frame, or a QoS STA receiving the frame.  The current text seems correct for a QoS STA receiving the frame.  But a non-QoS STA receiving the frame needs to yield a value of service class in the indication primitive that is understood by the non-QoS upper layers.  </w:t>
      </w:r>
    </w:p>
    <w:p w14:paraId="2DD1C509" w14:textId="6380A6E2" w:rsidR="00AA3B9E" w:rsidRDefault="00AA3B9E" w:rsidP="00CD66FA">
      <w:pPr>
        <w:rPr>
          <w:bCs/>
          <w:szCs w:val="22"/>
        </w:rPr>
      </w:pPr>
    </w:p>
    <w:p w14:paraId="598F2A48" w14:textId="4279B5FF" w:rsidR="00AA3B9E" w:rsidRDefault="00AA3B9E" w:rsidP="00CD66FA">
      <w:pPr>
        <w:rPr>
          <w:bCs/>
          <w:szCs w:val="22"/>
        </w:rPr>
      </w:pPr>
      <w:r>
        <w:rPr>
          <w:bCs/>
          <w:szCs w:val="22"/>
        </w:rPr>
        <w:t>Thus, the Proposed Changes appear correct.  But, for completeness, it would be better to note in the last paragraph of 5.1.1.4 that the existing text applies if the non-QoS Data frame is received at a QoS STA.  And, then, for clarity, the new text about a non-QoS STA receiving such a frame should be located here (at the end of the subclause, not the beginning).</w:t>
      </w:r>
    </w:p>
    <w:p w14:paraId="5247C7BC" w14:textId="26C657CE" w:rsidR="00D749F3" w:rsidRDefault="00D749F3" w:rsidP="00CD66FA">
      <w:pPr>
        <w:rPr>
          <w:bCs/>
          <w:szCs w:val="22"/>
        </w:rPr>
      </w:pPr>
    </w:p>
    <w:p w14:paraId="222351E1" w14:textId="0CF118AF" w:rsidR="00D749F3" w:rsidRDefault="00D749F3" w:rsidP="00CD66FA">
      <w:pPr>
        <w:rPr>
          <w:bCs/>
          <w:szCs w:val="22"/>
        </w:rPr>
      </w:pPr>
      <w:r w:rsidRPr="00D749F3">
        <w:rPr>
          <w:bCs/>
          <w:szCs w:val="22"/>
          <w:highlight w:val="cyan"/>
        </w:rPr>
        <w:t>Also, one straggling vestige of strictly ordered is the +HTC/Order bit in the Frame Control header of control frames in some cases, as shown in Figure 9-27.  The use of this bit position as a “+HTC/Order” subfield, rather than just a “+HTC” subfield was removed previously, but the field in Figure 9-27 was missed.</w:t>
      </w:r>
    </w:p>
    <w:p w14:paraId="55D690B3" w14:textId="237A0CAE" w:rsidR="00AA3B9E" w:rsidRDefault="00AA3B9E" w:rsidP="00CD66FA">
      <w:pPr>
        <w:rPr>
          <w:bCs/>
          <w:szCs w:val="22"/>
        </w:rPr>
      </w:pPr>
    </w:p>
    <w:p w14:paraId="1C452709" w14:textId="14027B6E" w:rsidR="00AA3B9E" w:rsidRDefault="00AA3B9E" w:rsidP="00CD66FA">
      <w:pPr>
        <w:rPr>
          <w:bCs/>
          <w:szCs w:val="22"/>
        </w:rPr>
      </w:pPr>
      <w:r>
        <w:rPr>
          <w:bCs/>
          <w:szCs w:val="22"/>
          <w:u w:val="single"/>
        </w:rPr>
        <w:t>Proposed Resolution:</w:t>
      </w:r>
    </w:p>
    <w:p w14:paraId="3E45D931" w14:textId="18AA096A" w:rsidR="00AA3B9E" w:rsidRDefault="00AA3B9E" w:rsidP="00CD66FA">
      <w:pPr>
        <w:rPr>
          <w:bCs/>
          <w:szCs w:val="22"/>
        </w:rPr>
      </w:pPr>
    </w:p>
    <w:p w14:paraId="4E37EE77" w14:textId="36798D55" w:rsidR="00AA3B9E" w:rsidRDefault="00AA3B9E" w:rsidP="00CD66FA">
      <w:pPr>
        <w:rPr>
          <w:bCs/>
          <w:szCs w:val="22"/>
        </w:rPr>
      </w:pPr>
      <w:r>
        <w:rPr>
          <w:bCs/>
          <w:szCs w:val="22"/>
        </w:rPr>
        <w:t>Revised.</w:t>
      </w:r>
    </w:p>
    <w:p w14:paraId="702FB5CA" w14:textId="715E0442" w:rsidR="00AA3B9E" w:rsidRDefault="00AA3B9E" w:rsidP="00CD66FA">
      <w:pPr>
        <w:rPr>
          <w:bCs/>
          <w:szCs w:val="22"/>
        </w:rPr>
      </w:pPr>
    </w:p>
    <w:p w14:paraId="08C8BF6D" w14:textId="6AE19214" w:rsidR="00AA3B9E" w:rsidRPr="00AA3B9E" w:rsidRDefault="00AA3B9E" w:rsidP="00AA3B9E">
      <w:pPr>
        <w:rPr>
          <w:bCs/>
          <w:szCs w:val="22"/>
        </w:rPr>
      </w:pPr>
      <w:r>
        <w:rPr>
          <w:bCs/>
          <w:szCs w:val="22"/>
        </w:rPr>
        <w:t xml:space="preserve">At </w:t>
      </w:r>
      <w:r w:rsidRPr="00AA3B9E">
        <w:rPr>
          <w:bCs/>
          <w:szCs w:val="22"/>
        </w:rPr>
        <w:t xml:space="preserve">2187.02, delete "except those that have the </w:t>
      </w:r>
      <w:proofErr w:type="spellStart"/>
      <w:r w:rsidRPr="00AA3B9E">
        <w:rPr>
          <w:bCs/>
          <w:szCs w:val="22"/>
        </w:rPr>
        <w:t>StrictlyOrdered</w:t>
      </w:r>
      <w:proofErr w:type="spellEnd"/>
      <w:r w:rsidRPr="00AA3B9E">
        <w:rPr>
          <w:bCs/>
          <w:szCs w:val="22"/>
        </w:rPr>
        <w:t xml:space="preserve"> service class".  Same thing at line 5.</w:t>
      </w:r>
    </w:p>
    <w:p w14:paraId="18647B23" w14:textId="77777777" w:rsidR="00AA3B9E" w:rsidRPr="00AA3B9E" w:rsidRDefault="00AA3B9E" w:rsidP="00AA3B9E">
      <w:pPr>
        <w:rPr>
          <w:bCs/>
          <w:szCs w:val="22"/>
        </w:rPr>
      </w:pPr>
    </w:p>
    <w:p w14:paraId="61D4AC94" w14:textId="77777777" w:rsidR="00AA3B9E" w:rsidRPr="00AA3B9E" w:rsidRDefault="00AA3B9E" w:rsidP="00AA3B9E">
      <w:pPr>
        <w:rPr>
          <w:bCs/>
          <w:szCs w:val="22"/>
        </w:rPr>
      </w:pPr>
      <w:r w:rsidRPr="00AA3B9E">
        <w:rPr>
          <w:bCs/>
          <w:szCs w:val="22"/>
        </w:rPr>
        <w:t>Delete the paragraph at P299.29, discussing two service classes for non-QoS STAs.</w:t>
      </w:r>
    </w:p>
    <w:p w14:paraId="36ED92D1" w14:textId="7E428EED" w:rsidR="00AA3B9E" w:rsidRDefault="00AA3B9E" w:rsidP="00AA3B9E">
      <w:pPr>
        <w:rPr>
          <w:bCs/>
          <w:szCs w:val="22"/>
        </w:rPr>
      </w:pPr>
    </w:p>
    <w:p w14:paraId="5A7210A2" w14:textId="02E0B781" w:rsidR="00AA3B9E" w:rsidRDefault="00AA3B9E" w:rsidP="00AA3B9E">
      <w:pPr>
        <w:rPr>
          <w:bCs/>
          <w:szCs w:val="22"/>
        </w:rPr>
      </w:pPr>
      <w:r>
        <w:rPr>
          <w:bCs/>
          <w:szCs w:val="22"/>
        </w:rPr>
        <w:t>In the (currently) last paragraph of 5.1.1.4, change “from a STA” to “at a QoS STA from any other STA”.</w:t>
      </w:r>
    </w:p>
    <w:p w14:paraId="25D3702E" w14:textId="77777777" w:rsidR="00AA3B9E" w:rsidRPr="00AA3B9E" w:rsidRDefault="00AA3B9E" w:rsidP="00AA3B9E">
      <w:pPr>
        <w:rPr>
          <w:bCs/>
          <w:szCs w:val="22"/>
        </w:rPr>
      </w:pPr>
    </w:p>
    <w:p w14:paraId="3ED65E2C" w14:textId="6EF8BB93" w:rsidR="00AA3B9E" w:rsidRDefault="00AA3B9E" w:rsidP="00AA3B9E">
      <w:pPr>
        <w:rPr>
          <w:bCs/>
          <w:szCs w:val="22"/>
        </w:rPr>
      </w:pPr>
      <w:r w:rsidRPr="00AA3B9E">
        <w:rPr>
          <w:bCs/>
          <w:szCs w:val="22"/>
        </w:rPr>
        <w:lastRenderedPageBreak/>
        <w:t xml:space="preserve">At the </w:t>
      </w:r>
      <w:r>
        <w:rPr>
          <w:bCs/>
          <w:szCs w:val="22"/>
        </w:rPr>
        <w:t>end</w:t>
      </w:r>
      <w:r w:rsidRPr="00AA3B9E">
        <w:rPr>
          <w:bCs/>
          <w:szCs w:val="22"/>
        </w:rPr>
        <w:t xml:space="preserve"> of subclause 5.1.1.4, insert a paragraph, "I</w:t>
      </w:r>
      <w:r w:rsidRPr="009D73CE">
        <w:rPr>
          <w:bCs/>
          <w:szCs w:val="22"/>
        </w:rPr>
        <w:t xml:space="preserve">n </w:t>
      </w:r>
      <w:r w:rsidR="009D73CE" w:rsidRPr="009D73CE">
        <w:rPr>
          <w:bCs/>
          <w:szCs w:val="22"/>
          <w:highlight w:val="cyan"/>
        </w:rPr>
        <w:t>n</w:t>
      </w:r>
      <w:r w:rsidRPr="009D73CE">
        <w:rPr>
          <w:bCs/>
          <w:szCs w:val="22"/>
        </w:rPr>
        <w:t>on-Qo</w:t>
      </w:r>
      <w:r w:rsidRPr="00AA3B9E">
        <w:rPr>
          <w:bCs/>
          <w:szCs w:val="22"/>
        </w:rPr>
        <w:t xml:space="preserve">S STAs, the value of the service class parameter in invoked MAC </w:t>
      </w:r>
      <w:r w:rsidR="009D73CE" w:rsidRPr="009D73CE">
        <w:rPr>
          <w:bCs/>
          <w:szCs w:val="22"/>
          <w:highlight w:val="cyan"/>
        </w:rPr>
        <w:t>s</w:t>
      </w:r>
      <w:r w:rsidRPr="00AA3B9E">
        <w:rPr>
          <w:bCs/>
          <w:szCs w:val="22"/>
        </w:rPr>
        <w:t xml:space="preserve">ervice </w:t>
      </w:r>
      <w:r w:rsidR="009D73CE" w:rsidRPr="009D73CE">
        <w:rPr>
          <w:bCs/>
          <w:szCs w:val="22"/>
          <w:highlight w:val="cyan"/>
        </w:rPr>
        <w:t>p</w:t>
      </w:r>
      <w:r w:rsidRPr="00AA3B9E">
        <w:rPr>
          <w:bCs/>
          <w:szCs w:val="22"/>
        </w:rPr>
        <w:t xml:space="preserve">rimitives (see 5.2) is ignored.  The value of the service class parameter in generated MAC </w:t>
      </w:r>
      <w:r w:rsidR="009D73CE" w:rsidRPr="009D73CE">
        <w:rPr>
          <w:bCs/>
          <w:szCs w:val="22"/>
          <w:highlight w:val="cyan"/>
        </w:rPr>
        <w:t>s</w:t>
      </w:r>
      <w:r w:rsidRPr="00AA3B9E">
        <w:rPr>
          <w:bCs/>
          <w:szCs w:val="22"/>
        </w:rPr>
        <w:t xml:space="preserve">ervice </w:t>
      </w:r>
      <w:bookmarkStart w:id="0" w:name="_GoBack"/>
      <w:bookmarkEnd w:id="0"/>
      <w:r w:rsidR="009D73CE" w:rsidRPr="009D73CE">
        <w:rPr>
          <w:bCs/>
          <w:szCs w:val="22"/>
          <w:highlight w:val="cyan"/>
        </w:rPr>
        <w:t>p</w:t>
      </w:r>
      <w:r w:rsidRPr="00AA3B9E">
        <w:rPr>
          <w:bCs/>
          <w:szCs w:val="22"/>
        </w:rPr>
        <w:t xml:space="preserve">rimitives is set to </w:t>
      </w:r>
      <w:proofErr w:type="spellStart"/>
      <w:r w:rsidRPr="00AA3B9E">
        <w:rPr>
          <w:bCs/>
          <w:szCs w:val="22"/>
        </w:rPr>
        <w:t>ReorderableGroupAddressed</w:t>
      </w:r>
      <w:proofErr w:type="spellEnd"/>
      <w:r w:rsidRPr="00AA3B9E">
        <w:rPr>
          <w:bCs/>
          <w:szCs w:val="22"/>
        </w:rPr>
        <w:t>."</w:t>
      </w:r>
    </w:p>
    <w:p w14:paraId="4FD1F07B" w14:textId="440374ED" w:rsidR="00D749F3" w:rsidRDefault="00D749F3" w:rsidP="00AA3B9E">
      <w:pPr>
        <w:rPr>
          <w:bCs/>
          <w:szCs w:val="22"/>
        </w:rPr>
      </w:pPr>
    </w:p>
    <w:p w14:paraId="53A9848F" w14:textId="2AC397C6" w:rsidR="00D749F3" w:rsidRPr="00AA3B9E" w:rsidRDefault="00D749F3" w:rsidP="00AA3B9E">
      <w:pPr>
        <w:rPr>
          <w:bCs/>
          <w:szCs w:val="22"/>
        </w:rPr>
      </w:pPr>
      <w:r w:rsidRPr="00D749F3">
        <w:rPr>
          <w:bCs/>
          <w:szCs w:val="22"/>
          <w:highlight w:val="cyan"/>
        </w:rPr>
        <w:t>In Figure 9-27, change the subfield “+HTC/Order” to be “+HTC”.</w:t>
      </w:r>
    </w:p>
    <w:p w14:paraId="67BEDE21" w14:textId="205C7F3E" w:rsidR="00556719" w:rsidRDefault="00556719">
      <w:pPr>
        <w:rPr>
          <w:bCs/>
          <w:szCs w:val="22"/>
        </w:rPr>
      </w:pPr>
      <w:r>
        <w:rPr>
          <w:bCs/>
          <w:szCs w:val="22"/>
        </w:rPr>
        <w:br w:type="page"/>
      </w:r>
    </w:p>
    <w:p w14:paraId="178A2C8A" w14:textId="77777777" w:rsidR="00556719" w:rsidRPr="00556719" w:rsidRDefault="00556719" w:rsidP="00CD66FA">
      <w:pPr>
        <w:rPr>
          <w:bCs/>
          <w:szCs w:val="22"/>
        </w:rPr>
      </w:pPr>
    </w:p>
    <w:p w14:paraId="290EBE6A" w14:textId="79C9145B" w:rsidR="00F13906" w:rsidRPr="00F13906" w:rsidRDefault="00F13906" w:rsidP="00EF4D4B">
      <w:pPr>
        <w:rPr>
          <w:b/>
          <w:sz w:val="40"/>
        </w:rPr>
      </w:pPr>
      <w:r w:rsidRPr="00F13906">
        <w:rPr>
          <w:b/>
          <w:sz w:val="40"/>
        </w:rPr>
        <w:t>Marked as “Insufficient detail”, until/unless a submission is provided:</w:t>
      </w:r>
    </w:p>
    <w:p w14:paraId="321EE012" w14:textId="77777777" w:rsidR="00F13906" w:rsidRDefault="00F13906" w:rsidP="00EF4D4B"/>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F13906" w:rsidRPr="007837C2" w14:paraId="323A41D7" w14:textId="77777777" w:rsidTr="000B2985">
        <w:trPr>
          <w:trHeight w:val="524"/>
        </w:trPr>
        <w:tc>
          <w:tcPr>
            <w:tcW w:w="738" w:type="dxa"/>
            <w:hideMark/>
          </w:tcPr>
          <w:p w14:paraId="4A02121C" w14:textId="77777777" w:rsidR="00F13906" w:rsidRPr="007837C2" w:rsidRDefault="00F13906" w:rsidP="000B2985">
            <w:pPr>
              <w:autoSpaceDE w:val="0"/>
              <w:autoSpaceDN w:val="0"/>
              <w:adjustRightInd w:val="0"/>
              <w:rPr>
                <w:rFonts w:ascii="Arial" w:hAnsi="Arial" w:cs="Arial"/>
                <w:b/>
                <w:bCs/>
                <w:sz w:val="20"/>
                <w:lang w:eastAsia="ja-JP" w:bidi="he-IL"/>
              </w:rPr>
            </w:pPr>
            <w:bookmarkStart w:id="1" w:name="_Hlk18602778"/>
            <w:r w:rsidRPr="007837C2">
              <w:rPr>
                <w:rFonts w:ascii="Arial" w:hAnsi="Arial" w:cs="Arial"/>
                <w:b/>
                <w:bCs/>
                <w:sz w:val="20"/>
                <w:lang w:eastAsia="ja-JP" w:bidi="he-IL"/>
              </w:rPr>
              <w:t>CID</w:t>
            </w:r>
          </w:p>
        </w:tc>
        <w:tc>
          <w:tcPr>
            <w:tcW w:w="990" w:type="dxa"/>
            <w:hideMark/>
          </w:tcPr>
          <w:p w14:paraId="4C7D9EDA"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A43F381"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E15B53"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797996" w14:textId="77777777" w:rsidR="00F13906" w:rsidRPr="007837C2" w:rsidRDefault="00F13906" w:rsidP="000B2985">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1"/>
    </w:tbl>
    <w:p w14:paraId="11C8BF44" w14:textId="2DA2991A" w:rsidR="00EF4D4B" w:rsidRDefault="00EF4D4B" w:rsidP="00EF4D4B"/>
    <w:p w14:paraId="17491260" w14:textId="77777777" w:rsidR="004D540D" w:rsidRDefault="004D540D" w:rsidP="00EF4D4B"/>
    <w:p w14:paraId="20B82079" w14:textId="77777777" w:rsidR="007F078C" w:rsidRDefault="004D540D" w:rsidP="004D540D">
      <w:pPr>
        <w:rPr>
          <w:b/>
          <w:sz w:val="20"/>
        </w:rPr>
      </w:pPr>
      <w:r>
        <w:rPr>
          <w:b/>
          <w:sz w:val="20"/>
        </w:rPr>
        <w:br w:type="page"/>
      </w:r>
    </w:p>
    <w:p w14:paraId="2C440011" w14:textId="77777777" w:rsidR="00C45154" w:rsidRDefault="00C45154" w:rsidP="00C45154">
      <w:pPr>
        <w:rPr>
          <w:b/>
          <w:sz w:val="40"/>
        </w:rPr>
      </w:pPr>
      <w:r>
        <w:rPr>
          <w:b/>
          <w:sz w:val="40"/>
        </w:rPr>
        <w:lastRenderedPageBreak/>
        <w:t>Not ready for review, yet:</w:t>
      </w:r>
    </w:p>
    <w:p w14:paraId="47C36856" w14:textId="77777777" w:rsidR="00C45154" w:rsidRDefault="00C45154" w:rsidP="00C4515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556719" w14:paraId="2EDA750D" w14:textId="77777777" w:rsidTr="005C22F6">
        <w:trPr>
          <w:trHeight w:val="524"/>
        </w:trPr>
        <w:tc>
          <w:tcPr>
            <w:tcW w:w="738" w:type="dxa"/>
            <w:tcBorders>
              <w:top w:val="single" w:sz="4" w:space="0" w:color="auto"/>
              <w:left w:val="single" w:sz="4" w:space="0" w:color="auto"/>
              <w:bottom w:val="single" w:sz="4" w:space="0" w:color="auto"/>
              <w:right w:val="single" w:sz="4" w:space="0" w:color="auto"/>
            </w:tcBorders>
            <w:hideMark/>
          </w:tcPr>
          <w:p w14:paraId="3681E8BD"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CID</w:t>
            </w:r>
          </w:p>
        </w:tc>
        <w:tc>
          <w:tcPr>
            <w:tcW w:w="990" w:type="dxa"/>
            <w:tcBorders>
              <w:top w:val="single" w:sz="4" w:space="0" w:color="auto"/>
              <w:left w:val="single" w:sz="4" w:space="0" w:color="auto"/>
              <w:bottom w:val="single" w:sz="4" w:space="0" w:color="auto"/>
              <w:right w:val="single" w:sz="4" w:space="0" w:color="auto"/>
            </w:tcBorders>
            <w:hideMark/>
          </w:tcPr>
          <w:p w14:paraId="30CA6E95"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Page</w:t>
            </w:r>
          </w:p>
        </w:tc>
        <w:tc>
          <w:tcPr>
            <w:tcW w:w="1080" w:type="dxa"/>
            <w:tcBorders>
              <w:top w:val="single" w:sz="4" w:space="0" w:color="auto"/>
              <w:left w:val="single" w:sz="4" w:space="0" w:color="auto"/>
              <w:bottom w:val="single" w:sz="4" w:space="0" w:color="auto"/>
              <w:right w:val="single" w:sz="4" w:space="0" w:color="auto"/>
            </w:tcBorders>
            <w:hideMark/>
          </w:tcPr>
          <w:p w14:paraId="61010E63"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Clause</w:t>
            </w:r>
          </w:p>
        </w:tc>
        <w:tc>
          <w:tcPr>
            <w:tcW w:w="3600" w:type="dxa"/>
            <w:tcBorders>
              <w:top w:val="single" w:sz="4" w:space="0" w:color="auto"/>
              <w:left w:val="single" w:sz="4" w:space="0" w:color="auto"/>
              <w:bottom w:val="single" w:sz="4" w:space="0" w:color="auto"/>
              <w:right w:val="single" w:sz="4" w:space="0" w:color="auto"/>
            </w:tcBorders>
            <w:hideMark/>
          </w:tcPr>
          <w:p w14:paraId="0091D80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Comment</w:t>
            </w:r>
          </w:p>
        </w:tc>
        <w:tc>
          <w:tcPr>
            <w:tcW w:w="3600" w:type="dxa"/>
            <w:tcBorders>
              <w:top w:val="single" w:sz="4" w:space="0" w:color="auto"/>
              <w:left w:val="single" w:sz="4" w:space="0" w:color="auto"/>
              <w:bottom w:val="single" w:sz="4" w:space="0" w:color="auto"/>
              <w:right w:val="single" w:sz="4" w:space="0" w:color="auto"/>
            </w:tcBorders>
            <w:hideMark/>
          </w:tcPr>
          <w:p w14:paraId="7618C214" w14:textId="77777777" w:rsidR="00556719" w:rsidRDefault="00556719" w:rsidP="005C22F6">
            <w:pPr>
              <w:autoSpaceDE w:val="0"/>
              <w:autoSpaceDN w:val="0"/>
              <w:adjustRightInd w:val="0"/>
              <w:rPr>
                <w:rFonts w:ascii="Arial" w:hAnsi="Arial" w:cs="Arial"/>
                <w:b/>
                <w:bCs/>
                <w:sz w:val="20"/>
                <w:lang w:eastAsia="ja-JP" w:bidi="he-IL"/>
              </w:rPr>
            </w:pPr>
            <w:r>
              <w:rPr>
                <w:rFonts w:ascii="Arial" w:hAnsi="Arial" w:cs="Arial"/>
                <w:b/>
                <w:bCs/>
                <w:sz w:val="20"/>
                <w:lang w:eastAsia="ja-JP" w:bidi="he-IL"/>
              </w:rPr>
              <w:t>Proposed Change</w:t>
            </w:r>
          </w:p>
        </w:tc>
      </w:tr>
      <w:tr w:rsidR="00DE7477" w:rsidRPr="00DE7477" w14:paraId="39155B30" w14:textId="77777777" w:rsidTr="00DE7477">
        <w:trPr>
          <w:trHeight w:val="1275"/>
        </w:trPr>
        <w:tc>
          <w:tcPr>
            <w:tcW w:w="738" w:type="dxa"/>
            <w:hideMark/>
          </w:tcPr>
          <w:p w14:paraId="0FD111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4808</w:t>
            </w:r>
          </w:p>
        </w:tc>
        <w:tc>
          <w:tcPr>
            <w:tcW w:w="990" w:type="dxa"/>
            <w:hideMark/>
          </w:tcPr>
          <w:p w14:paraId="62A5707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1543.10</w:t>
            </w:r>
          </w:p>
        </w:tc>
        <w:tc>
          <w:tcPr>
            <w:tcW w:w="1080" w:type="dxa"/>
            <w:hideMark/>
          </w:tcPr>
          <w:p w14:paraId="7FD7800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9.6.7.16</w:t>
            </w:r>
          </w:p>
        </w:tc>
        <w:tc>
          <w:tcPr>
            <w:tcW w:w="3600" w:type="dxa"/>
            <w:hideMark/>
          </w:tcPr>
          <w:p w14:paraId="0956A83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RSNE, and FTE, are not "optionally present" if security is required.  They _are_ present if security is required.</w:t>
            </w:r>
          </w:p>
        </w:tc>
        <w:tc>
          <w:tcPr>
            <w:tcW w:w="3600" w:type="dxa"/>
            <w:hideMark/>
          </w:tcPr>
          <w:p w14:paraId="5C8017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"optionally" at P1543.10 and P1543.18.</w:t>
            </w:r>
          </w:p>
        </w:tc>
      </w:tr>
      <w:tr w:rsidR="00DE7477" w:rsidRPr="00DE7477" w14:paraId="44884A2A" w14:textId="77777777" w:rsidTr="00DE7477">
        <w:trPr>
          <w:trHeight w:val="1530"/>
        </w:trPr>
        <w:tc>
          <w:tcPr>
            <w:tcW w:w="738" w:type="dxa"/>
            <w:hideMark/>
          </w:tcPr>
          <w:p w14:paraId="035812C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4806</w:t>
            </w:r>
          </w:p>
        </w:tc>
        <w:tc>
          <w:tcPr>
            <w:tcW w:w="990" w:type="dxa"/>
            <w:hideMark/>
          </w:tcPr>
          <w:p w14:paraId="64D57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2235.37</w:t>
            </w:r>
          </w:p>
        </w:tc>
        <w:tc>
          <w:tcPr>
            <w:tcW w:w="1080" w:type="dxa"/>
            <w:hideMark/>
          </w:tcPr>
          <w:p w14:paraId="6BDF3C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6E22E2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Sub-bullet (2) requires allocation of multiple, distinct AIDs for the STAs in the MMS element.  How is this allocation communicated back to those STAs?</w:t>
            </w:r>
          </w:p>
        </w:tc>
        <w:tc>
          <w:tcPr>
            <w:tcW w:w="3600" w:type="dxa"/>
            <w:hideMark/>
          </w:tcPr>
          <w:p w14:paraId="4B6032C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Add facility (Association Response frame contents, and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parameter) to communicate these AIDs back to the peer.</w:t>
            </w:r>
          </w:p>
        </w:tc>
      </w:tr>
      <w:tr w:rsidR="00DE7477" w:rsidRPr="00DE7477" w14:paraId="476B710A" w14:textId="77777777" w:rsidTr="00DE7477">
        <w:trPr>
          <w:trHeight w:val="6375"/>
        </w:trPr>
        <w:tc>
          <w:tcPr>
            <w:tcW w:w="738" w:type="dxa"/>
            <w:hideMark/>
          </w:tcPr>
          <w:p w14:paraId="3B92199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4805</w:t>
            </w:r>
          </w:p>
        </w:tc>
        <w:tc>
          <w:tcPr>
            <w:tcW w:w="990" w:type="dxa"/>
            <w:hideMark/>
          </w:tcPr>
          <w:p w14:paraId="6EED1BC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2235.34</w:t>
            </w:r>
          </w:p>
        </w:tc>
        <w:tc>
          <w:tcPr>
            <w:tcW w:w="1080" w:type="dxa"/>
            <w:hideMark/>
          </w:tcPr>
          <w:p w14:paraId="1950BF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11.3.5.3</w:t>
            </w:r>
          </w:p>
        </w:tc>
        <w:tc>
          <w:tcPr>
            <w:tcW w:w="3600" w:type="dxa"/>
            <w:hideMark/>
          </w:tcPr>
          <w:p w14:paraId="49CF492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This text requires an MMS element be passed to the MLME-</w:t>
            </w:r>
            <w:proofErr w:type="spellStart"/>
            <w:r w:rsidRPr="00DE7477">
              <w:rPr>
                <w:rFonts w:ascii="Arial" w:eastAsia="Times New Roman" w:hAnsi="Arial" w:cs="Arial"/>
                <w:sz w:val="20"/>
                <w:lang w:val="en-US"/>
              </w:rPr>
              <w:t>ASSOCIATION.response</w:t>
            </w:r>
            <w:proofErr w:type="spellEnd"/>
            <w:r w:rsidRPr="00DE7477">
              <w:rPr>
                <w:rFonts w:ascii="Arial" w:eastAsia="Times New Roman" w:hAnsi="Arial" w:cs="Arial"/>
                <w:sz w:val="20"/>
                <w:lang w:val="en-US"/>
              </w:rPr>
              <w:t xml:space="preserve"> (sic), under some circumstances.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xml:space="preserve"> primitive has no such parameter.  Add it.</w:t>
            </w:r>
          </w:p>
        </w:tc>
        <w:tc>
          <w:tcPr>
            <w:tcW w:w="3600" w:type="dxa"/>
            <w:hideMark/>
          </w:tcPr>
          <w:p w14:paraId="3036F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Insert a row for an MMS </w:t>
            </w:r>
            <w:proofErr w:type="spellStart"/>
            <w:r w:rsidRPr="00DE7477">
              <w:rPr>
                <w:rFonts w:ascii="Arial" w:eastAsia="Times New Roman" w:hAnsi="Arial" w:cs="Arial"/>
                <w:sz w:val="20"/>
                <w:lang w:val="en-US"/>
              </w:rPr>
              <w:t>paramter</w:t>
            </w:r>
            <w:proofErr w:type="spellEnd"/>
            <w:r w:rsidRPr="00DE7477">
              <w:rPr>
                <w:rFonts w:ascii="Arial" w:eastAsia="Times New Roman" w:hAnsi="Arial" w:cs="Arial"/>
                <w:sz w:val="20"/>
                <w:lang w:val="en-US"/>
              </w:rPr>
              <w:t xml:space="preserve"> in the parameters table for the MLME-</w:t>
            </w:r>
            <w:proofErr w:type="spellStart"/>
            <w:r w:rsidRPr="00DE7477">
              <w:rPr>
                <w:rFonts w:ascii="Arial" w:eastAsia="Times New Roman" w:hAnsi="Arial" w:cs="Arial"/>
                <w:sz w:val="20"/>
                <w:lang w:val="en-US"/>
              </w:rPr>
              <w:t>ASSOCIATE.response</w:t>
            </w:r>
            <w:proofErr w:type="spellEnd"/>
            <w:r w:rsidRPr="00DE7477">
              <w:rPr>
                <w:rFonts w:ascii="Arial" w:eastAsia="Times New Roman" w:hAnsi="Arial" w:cs="Arial"/>
                <w:sz w:val="20"/>
                <w:lang w:val="en-US"/>
              </w:rPr>
              <w:t>.  Match the contents to the MMS row in the parameters Table in the MLME-</w:t>
            </w:r>
            <w:proofErr w:type="spellStart"/>
            <w:r w:rsidRPr="00DE7477">
              <w:rPr>
                <w:rFonts w:ascii="Arial" w:eastAsia="Times New Roman" w:hAnsi="Arial" w:cs="Arial"/>
                <w:sz w:val="20"/>
                <w:lang w:val="en-US"/>
              </w:rPr>
              <w:t>ASSOCIATE.request</w:t>
            </w:r>
            <w:proofErr w:type="spellEnd"/>
            <w:r w:rsidRPr="00DE7477">
              <w:rPr>
                <w:rFonts w:ascii="Arial" w:eastAsia="Times New Roman" w:hAnsi="Arial" w:cs="Arial"/>
                <w:sz w:val="20"/>
                <w:lang w:val="en-US"/>
              </w:rPr>
              <w:t>, except change the Description to "Specifies the parameters within the Multiple MAC Sublayers element that are supported by the MAC entity, and were received from the MM-SME coordinated STA. The parameter is present if dot11MultipleMACActivated is</w:t>
            </w:r>
            <w:r w:rsidRPr="00DE7477">
              <w:rPr>
                <w:rFonts w:ascii="Arial" w:eastAsia="Times New Roman" w:hAnsi="Arial" w:cs="Arial"/>
                <w:sz w:val="20"/>
                <w:lang w:val="en-US"/>
              </w:rPr>
              <w:br/>
              <w:t>true and the corresponding MLME-</w:t>
            </w:r>
            <w:proofErr w:type="spellStart"/>
            <w:r w:rsidRPr="00DE7477">
              <w:rPr>
                <w:rFonts w:ascii="Arial" w:eastAsia="Times New Roman" w:hAnsi="Arial" w:cs="Arial"/>
                <w:sz w:val="20"/>
                <w:lang w:val="en-US"/>
              </w:rPr>
              <w:t>ASSOCIATE.indication</w:t>
            </w:r>
            <w:proofErr w:type="spellEnd"/>
            <w:r w:rsidRPr="00DE7477">
              <w:rPr>
                <w:rFonts w:ascii="Arial" w:eastAsia="Times New Roman" w:hAnsi="Arial" w:cs="Arial"/>
                <w:sz w:val="20"/>
                <w:lang w:val="en-US"/>
              </w:rPr>
              <w:t xml:space="preserve"> primitive included an MMS parameter, and is absent otherwise."</w:t>
            </w:r>
          </w:p>
        </w:tc>
      </w:tr>
      <w:tr w:rsidR="00DE7477" w:rsidRPr="00DE7477" w14:paraId="5420AA88" w14:textId="77777777" w:rsidTr="00DE7477">
        <w:trPr>
          <w:trHeight w:val="3060"/>
        </w:trPr>
        <w:tc>
          <w:tcPr>
            <w:tcW w:w="738" w:type="dxa"/>
            <w:hideMark/>
          </w:tcPr>
          <w:p w14:paraId="7FDC6FD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4802</w:t>
            </w:r>
          </w:p>
        </w:tc>
        <w:tc>
          <w:tcPr>
            <w:tcW w:w="990" w:type="dxa"/>
            <w:hideMark/>
          </w:tcPr>
          <w:p w14:paraId="46BB517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1056.02</w:t>
            </w:r>
          </w:p>
        </w:tc>
        <w:tc>
          <w:tcPr>
            <w:tcW w:w="1080" w:type="dxa"/>
            <w:hideMark/>
          </w:tcPr>
          <w:p w14:paraId="1B310B4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9.4.2.21.7</w:t>
            </w:r>
          </w:p>
        </w:tc>
        <w:tc>
          <w:tcPr>
            <w:tcW w:w="3600" w:type="dxa"/>
            <w:hideMark/>
          </w:tcPr>
          <w:p w14:paraId="438ACD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While considerably less likely, it is still possible for a beacon Measurement Report's Reported Frame Body to exceed the maximum element size, even for Reporting Detail type 1.  Recommend moving this text about truncating elements and/or using fragmentation (when supported) to apply in all cases.</w:t>
            </w:r>
          </w:p>
        </w:tc>
        <w:tc>
          <w:tcPr>
            <w:tcW w:w="3600" w:type="dxa"/>
            <w:hideMark/>
          </w:tcPr>
          <w:p w14:paraId="3EEE39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Break the paragraph into two, after the first sentence (at the full stop on line 2).  Start the new paragraph with, "Some elements in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or the Reported Frame Body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itself, might be large."</w:t>
            </w:r>
          </w:p>
        </w:tc>
      </w:tr>
      <w:tr w:rsidR="00DE7477" w:rsidRPr="00DE7477" w14:paraId="01B6CF0D" w14:textId="77777777" w:rsidTr="00DE7477">
        <w:trPr>
          <w:trHeight w:val="2040"/>
        </w:trPr>
        <w:tc>
          <w:tcPr>
            <w:tcW w:w="738" w:type="dxa"/>
            <w:hideMark/>
          </w:tcPr>
          <w:p w14:paraId="043B04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4799</w:t>
            </w:r>
          </w:p>
        </w:tc>
        <w:tc>
          <w:tcPr>
            <w:tcW w:w="990" w:type="dxa"/>
            <w:hideMark/>
          </w:tcPr>
          <w:p w14:paraId="67319EA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2153.65</w:t>
            </w:r>
          </w:p>
        </w:tc>
        <w:tc>
          <w:tcPr>
            <w:tcW w:w="1080" w:type="dxa"/>
            <w:hideMark/>
          </w:tcPr>
          <w:p w14:paraId="759F436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79E9BA1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It's not clear what list of elements are implied by, "The AP or PCP may include all other elements in the </w:t>
            </w:r>
            <w:proofErr w:type="spellStart"/>
            <w:r w:rsidRPr="00DE7477">
              <w:rPr>
                <w:rFonts w:ascii="Arial" w:eastAsia="Times New Roman" w:hAnsi="Arial" w:cs="Arial"/>
                <w:sz w:val="20"/>
                <w:lang w:val="en-US"/>
              </w:rPr>
              <w:t>nontransmitted</w:t>
            </w:r>
            <w:proofErr w:type="spellEnd"/>
            <w:r w:rsidRPr="00DE7477">
              <w:rPr>
                <w:rFonts w:ascii="Arial" w:eastAsia="Times New Roman" w:hAnsi="Arial" w:cs="Arial"/>
                <w:sz w:val="20"/>
                <w:lang w:val="en-US"/>
              </w:rPr>
              <w:t xml:space="preserve"> BSSID profile."  This list should be restricted to those allowed per 9.4.2.45.</w:t>
            </w:r>
          </w:p>
        </w:tc>
        <w:tc>
          <w:tcPr>
            <w:tcW w:w="3600" w:type="dxa"/>
            <w:hideMark/>
          </w:tcPr>
          <w:p w14:paraId="1695890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Insert "allowed per 9.4.2.45" after "all other elements"</w:t>
            </w:r>
          </w:p>
        </w:tc>
      </w:tr>
      <w:tr w:rsidR="00DE7477" w:rsidRPr="00DE7477" w14:paraId="32ECDC96" w14:textId="77777777" w:rsidTr="00DE7477">
        <w:trPr>
          <w:trHeight w:val="2805"/>
        </w:trPr>
        <w:tc>
          <w:tcPr>
            <w:tcW w:w="738" w:type="dxa"/>
            <w:hideMark/>
          </w:tcPr>
          <w:p w14:paraId="5D31E2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4797</w:t>
            </w:r>
          </w:p>
        </w:tc>
        <w:tc>
          <w:tcPr>
            <w:tcW w:w="990" w:type="dxa"/>
            <w:hideMark/>
          </w:tcPr>
          <w:p w14:paraId="5DD35AC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104E5C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292D93A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Per the changes in 11-19/0551r17 (https://mentor.ieee.org/802.11/dcn/19/11-19-0551-17-000m-revmd-lb236-comments-assigned-to-hamilton.docx), as agreed on CID 2692 during working group ballot, bullet (e) is redundant, and should be deleted.</w:t>
            </w:r>
          </w:p>
        </w:tc>
        <w:tc>
          <w:tcPr>
            <w:tcW w:w="3600" w:type="dxa"/>
            <w:hideMark/>
          </w:tcPr>
          <w:p w14:paraId="5485FAA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bullet (e)</w:t>
            </w:r>
          </w:p>
        </w:tc>
      </w:tr>
      <w:tr w:rsidR="00DE7477" w:rsidRPr="00DE7477" w14:paraId="77321DF6" w14:textId="77777777" w:rsidTr="00DE7477">
        <w:trPr>
          <w:trHeight w:val="1785"/>
        </w:trPr>
        <w:tc>
          <w:tcPr>
            <w:tcW w:w="738" w:type="dxa"/>
            <w:hideMark/>
          </w:tcPr>
          <w:p w14:paraId="43D748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4641</w:t>
            </w:r>
          </w:p>
        </w:tc>
        <w:tc>
          <w:tcPr>
            <w:tcW w:w="990" w:type="dxa"/>
            <w:hideMark/>
          </w:tcPr>
          <w:p w14:paraId="34F6C1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2061.33</w:t>
            </w:r>
          </w:p>
        </w:tc>
        <w:tc>
          <w:tcPr>
            <w:tcW w:w="1080" w:type="dxa"/>
            <w:hideMark/>
          </w:tcPr>
          <w:p w14:paraId="795AD5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2CB37A5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"If the initiator receives the expected feedback" should be "If the beam tracking initiator receives the expected feedback"; ditto in that sentence "responder" -&gt; "beam tracking responder"</w:t>
            </w:r>
          </w:p>
        </w:tc>
        <w:tc>
          <w:tcPr>
            <w:tcW w:w="3600" w:type="dxa"/>
            <w:hideMark/>
          </w:tcPr>
          <w:p w14:paraId="7C69857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3DE284D0" w14:textId="77777777" w:rsidTr="00DE7477">
        <w:trPr>
          <w:trHeight w:val="3570"/>
        </w:trPr>
        <w:tc>
          <w:tcPr>
            <w:tcW w:w="738" w:type="dxa"/>
            <w:hideMark/>
          </w:tcPr>
          <w:p w14:paraId="58B470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4782</w:t>
            </w:r>
          </w:p>
        </w:tc>
        <w:tc>
          <w:tcPr>
            <w:tcW w:w="990" w:type="dxa"/>
            <w:hideMark/>
          </w:tcPr>
          <w:p w14:paraId="1D56AF3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2164.58</w:t>
            </w:r>
          </w:p>
        </w:tc>
        <w:tc>
          <w:tcPr>
            <w:tcW w:w="1080" w:type="dxa"/>
            <w:hideMark/>
          </w:tcPr>
          <w:p w14:paraId="218C008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11.1.4.3.4</w:t>
            </w:r>
          </w:p>
        </w:tc>
        <w:tc>
          <w:tcPr>
            <w:tcW w:w="3600" w:type="dxa"/>
            <w:hideMark/>
          </w:tcPr>
          <w:p w14:paraId="12FC51E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From the draft: "If a FILS STA receives one or more Probe Request frame(s), subject to the criteria above, and the STA has dot11FILSOmitReplicateProbeResponses equal to true, the responding STA shall select the response with the next Beacon frame or one or more Probe Response frames as a response to all Probe Request frames(11ai)."  Huh?</w:t>
            </w:r>
          </w:p>
        </w:tc>
        <w:tc>
          <w:tcPr>
            <w:tcW w:w="3600" w:type="dxa"/>
            <w:hideMark/>
          </w:tcPr>
          <w:p w14:paraId="74DF84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Replace the sentence with: "If a FILS STA receives one or more Probe Request frame(s) and the STA has dot11FILSOmitReplicateProbeResponses equal to true, then the responding STA shall respond, subject to the criteria above, by letting the response be the next Beacon frame, a broadcast Probe Response frame, or one or more directed Probe Response frames."</w:t>
            </w:r>
          </w:p>
        </w:tc>
      </w:tr>
      <w:tr w:rsidR="00DE7477" w:rsidRPr="00DE7477" w14:paraId="31942B84" w14:textId="77777777" w:rsidTr="00DE7477">
        <w:trPr>
          <w:trHeight w:val="765"/>
        </w:trPr>
        <w:tc>
          <w:tcPr>
            <w:tcW w:w="738" w:type="dxa"/>
            <w:hideMark/>
          </w:tcPr>
          <w:p w14:paraId="360E047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4488</w:t>
            </w:r>
          </w:p>
        </w:tc>
        <w:tc>
          <w:tcPr>
            <w:tcW w:w="990" w:type="dxa"/>
            <w:hideMark/>
          </w:tcPr>
          <w:p w14:paraId="52CF22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6F7CA18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1B4EF0A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E71DF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"Remaining BIs field"</w:t>
            </w:r>
          </w:p>
        </w:tc>
      </w:tr>
      <w:tr w:rsidR="00DE7477" w:rsidRPr="00DE7477" w14:paraId="1D27D6F0" w14:textId="77777777" w:rsidTr="00DE7477">
        <w:trPr>
          <w:trHeight w:val="1020"/>
        </w:trPr>
        <w:tc>
          <w:tcPr>
            <w:tcW w:w="738" w:type="dxa"/>
            <w:hideMark/>
          </w:tcPr>
          <w:p w14:paraId="1C562A2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4723</w:t>
            </w:r>
          </w:p>
        </w:tc>
        <w:tc>
          <w:tcPr>
            <w:tcW w:w="990" w:type="dxa"/>
            <w:hideMark/>
          </w:tcPr>
          <w:p w14:paraId="309C647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1165.59</w:t>
            </w:r>
          </w:p>
        </w:tc>
        <w:tc>
          <w:tcPr>
            <w:tcW w:w="1080" w:type="dxa"/>
            <w:hideMark/>
          </w:tcPr>
          <w:p w14:paraId="7AC760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4DC57A5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Wrapped Key field contains the encrypted GTK" is confusing -- is it wrapped or encrypted?</w:t>
            </w:r>
          </w:p>
        </w:tc>
        <w:tc>
          <w:tcPr>
            <w:tcW w:w="3600" w:type="dxa"/>
            <w:hideMark/>
          </w:tcPr>
          <w:p w14:paraId="2BF2D02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Wrapped Key field contains the wrapped GTK"</w:t>
            </w:r>
          </w:p>
        </w:tc>
      </w:tr>
      <w:tr w:rsidR="00DE7477" w:rsidRPr="00DE7477" w14:paraId="129E3D77" w14:textId="77777777" w:rsidTr="00DE7477">
        <w:trPr>
          <w:trHeight w:val="3060"/>
        </w:trPr>
        <w:tc>
          <w:tcPr>
            <w:tcW w:w="738" w:type="dxa"/>
            <w:hideMark/>
          </w:tcPr>
          <w:p w14:paraId="1C6D713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4722</w:t>
            </w:r>
          </w:p>
        </w:tc>
        <w:tc>
          <w:tcPr>
            <w:tcW w:w="990" w:type="dxa"/>
            <w:hideMark/>
          </w:tcPr>
          <w:p w14:paraId="2D9CC4B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1166.25</w:t>
            </w:r>
          </w:p>
        </w:tc>
        <w:tc>
          <w:tcPr>
            <w:tcW w:w="1080" w:type="dxa"/>
            <w:hideMark/>
          </w:tcPr>
          <w:p w14:paraId="723263E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9.4.2.47</w:t>
            </w:r>
          </w:p>
        </w:tc>
        <w:tc>
          <w:tcPr>
            <w:tcW w:w="3600" w:type="dxa"/>
            <w:hideMark/>
          </w:tcPr>
          <w:p w14:paraId="122ECE0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length of the resulting AES-Key-</w:t>
            </w:r>
            <w:r w:rsidRPr="00DE7477">
              <w:rPr>
                <w:rFonts w:ascii="Arial" w:eastAsia="Times New Roman" w:hAnsi="Arial" w:cs="Arial"/>
                <w:sz w:val="20"/>
                <w:lang w:val="en-US"/>
              </w:rPr>
              <w:br/>
              <w:t>wrapped IGTK in the Wrapped Key field is Key Length + 8 octets." -- this is true for the NIST key wrap algorithm (CID 2510 resolution) but might not be of other key wrap algorithms in the future, so risk of spec rot.  Also, "AES-Key-wrapped" is not defined</w:t>
            </w:r>
          </w:p>
        </w:tc>
        <w:tc>
          <w:tcPr>
            <w:tcW w:w="3600" w:type="dxa"/>
            <w:hideMark/>
          </w:tcPr>
          <w:p w14:paraId="28A30FB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 and last sentence of referenced subclause (on BIGTK)</w:t>
            </w:r>
          </w:p>
        </w:tc>
      </w:tr>
      <w:tr w:rsidR="00DE7477" w:rsidRPr="00DE7477" w14:paraId="44CC4BB2" w14:textId="77777777" w:rsidTr="00DE7477">
        <w:trPr>
          <w:trHeight w:val="1530"/>
        </w:trPr>
        <w:tc>
          <w:tcPr>
            <w:tcW w:w="738" w:type="dxa"/>
            <w:hideMark/>
          </w:tcPr>
          <w:p w14:paraId="5BA8C6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4709</w:t>
            </w:r>
          </w:p>
        </w:tc>
        <w:tc>
          <w:tcPr>
            <w:tcW w:w="990" w:type="dxa"/>
            <w:hideMark/>
          </w:tcPr>
          <w:p w14:paraId="74C9DA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EE30B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672AF3C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5D699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10.6.7 and 10.6.8</w:t>
            </w:r>
          </w:p>
        </w:tc>
      </w:tr>
      <w:tr w:rsidR="00DE7477" w:rsidRPr="00DE7477" w14:paraId="46C2E375" w14:textId="77777777" w:rsidTr="00DE7477">
        <w:trPr>
          <w:trHeight w:val="1530"/>
        </w:trPr>
        <w:tc>
          <w:tcPr>
            <w:tcW w:w="738" w:type="dxa"/>
            <w:hideMark/>
          </w:tcPr>
          <w:p w14:paraId="6C80D77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4708</w:t>
            </w:r>
          </w:p>
        </w:tc>
        <w:tc>
          <w:tcPr>
            <w:tcW w:w="990" w:type="dxa"/>
            <w:hideMark/>
          </w:tcPr>
          <w:p w14:paraId="25D7988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5B02221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10.6.7</w:t>
            </w:r>
          </w:p>
        </w:tc>
        <w:tc>
          <w:tcPr>
            <w:tcW w:w="3600" w:type="dxa"/>
            <w:hideMark/>
          </w:tcPr>
          <w:p w14:paraId="7BE1CF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20E330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Merge 10.6.7 and 10.6.8 into 10.6.5.  I think perhaps the other Mark has some ideas about this</w:t>
            </w:r>
          </w:p>
        </w:tc>
      </w:tr>
      <w:tr w:rsidR="00DE7477" w:rsidRPr="00DE7477" w14:paraId="3CA1571E" w14:textId="77777777" w:rsidTr="00DE7477">
        <w:trPr>
          <w:trHeight w:val="1530"/>
        </w:trPr>
        <w:tc>
          <w:tcPr>
            <w:tcW w:w="738" w:type="dxa"/>
            <w:hideMark/>
          </w:tcPr>
          <w:p w14:paraId="3D9CD5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4700</w:t>
            </w:r>
          </w:p>
        </w:tc>
        <w:tc>
          <w:tcPr>
            <w:tcW w:w="990" w:type="dxa"/>
            <w:hideMark/>
          </w:tcPr>
          <w:p w14:paraId="44B83D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6B12128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9.4.5</w:t>
            </w:r>
          </w:p>
        </w:tc>
        <w:tc>
          <w:tcPr>
            <w:tcW w:w="3600" w:type="dxa"/>
            <w:hideMark/>
          </w:tcPr>
          <w:p w14:paraId="2F5E3FF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Instead of ISO 14962 just refer to ASCII</w:t>
            </w:r>
          </w:p>
        </w:tc>
        <w:tc>
          <w:tcPr>
            <w:tcW w:w="3600" w:type="dxa"/>
            <w:hideMark/>
          </w:tcPr>
          <w:p w14:paraId="4DC93FC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9.4.5.4 and 9.4.5.21 change " is a 3-octet ISO 14962:1997 encoded string" to " is an ASCII string" and "ISO 14962:1997)" to "ASCII)"</w:t>
            </w:r>
          </w:p>
        </w:tc>
      </w:tr>
      <w:tr w:rsidR="00DE7477" w:rsidRPr="00DE7477" w14:paraId="37CDFEE3" w14:textId="77777777" w:rsidTr="00DE7477">
        <w:trPr>
          <w:trHeight w:val="1275"/>
        </w:trPr>
        <w:tc>
          <w:tcPr>
            <w:tcW w:w="738" w:type="dxa"/>
            <w:hideMark/>
          </w:tcPr>
          <w:p w14:paraId="1497E3D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4658</w:t>
            </w:r>
          </w:p>
        </w:tc>
        <w:tc>
          <w:tcPr>
            <w:tcW w:w="990" w:type="dxa"/>
            <w:hideMark/>
          </w:tcPr>
          <w:p w14:paraId="220D06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1464.28</w:t>
            </w:r>
          </w:p>
        </w:tc>
        <w:tc>
          <w:tcPr>
            <w:tcW w:w="1080" w:type="dxa"/>
            <w:hideMark/>
          </w:tcPr>
          <w:p w14:paraId="68C8C4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9.4.2.246</w:t>
            </w:r>
          </w:p>
        </w:tc>
        <w:tc>
          <w:tcPr>
            <w:tcW w:w="3600" w:type="dxa"/>
            <w:hideMark/>
          </w:tcPr>
          <w:p w14:paraId="79253B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"concatenated list of " -- it can hardly be anything else.  For other lists we don't </w:t>
            </w:r>
            <w:proofErr w:type="spellStart"/>
            <w:r w:rsidRPr="00DE7477">
              <w:rPr>
                <w:rFonts w:ascii="Arial" w:eastAsia="Times New Roman" w:hAnsi="Arial" w:cs="Arial"/>
                <w:sz w:val="20"/>
                <w:lang w:val="en-US"/>
              </w:rPr>
              <w:t>explcitly</w:t>
            </w:r>
            <w:proofErr w:type="spellEnd"/>
            <w:r w:rsidRPr="00DE7477">
              <w:rPr>
                <w:rFonts w:ascii="Arial" w:eastAsia="Times New Roman" w:hAnsi="Arial" w:cs="Arial"/>
                <w:sz w:val="20"/>
                <w:lang w:val="en-US"/>
              </w:rPr>
              <w:t xml:space="preserve"> say it's a concatenation</w:t>
            </w:r>
          </w:p>
        </w:tc>
        <w:tc>
          <w:tcPr>
            <w:tcW w:w="3600" w:type="dxa"/>
            <w:hideMark/>
          </w:tcPr>
          <w:p w14:paraId="2460FCC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"concatenated"</w:t>
            </w:r>
          </w:p>
        </w:tc>
      </w:tr>
      <w:tr w:rsidR="00DE7477" w:rsidRPr="00DE7477" w14:paraId="1F9AFDC4" w14:textId="77777777" w:rsidTr="00DE7477">
        <w:trPr>
          <w:trHeight w:val="510"/>
        </w:trPr>
        <w:tc>
          <w:tcPr>
            <w:tcW w:w="738" w:type="dxa"/>
            <w:hideMark/>
          </w:tcPr>
          <w:p w14:paraId="74B824D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4653</w:t>
            </w:r>
          </w:p>
        </w:tc>
        <w:tc>
          <w:tcPr>
            <w:tcW w:w="990" w:type="dxa"/>
            <w:hideMark/>
          </w:tcPr>
          <w:p w14:paraId="5769B51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885.35</w:t>
            </w:r>
          </w:p>
        </w:tc>
        <w:tc>
          <w:tcPr>
            <w:tcW w:w="1080" w:type="dxa"/>
            <w:hideMark/>
          </w:tcPr>
          <w:p w14:paraId="0D5589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9.3.3.11</w:t>
            </w:r>
          </w:p>
        </w:tc>
        <w:tc>
          <w:tcPr>
            <w:tcW w:w="3600" w:type="dxa"/>
            <w:hideMark/>
          </w:tcPr>
          <w:p w14:paraId="2585F26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"conditionally present" is not clear</w:t>
            </w:r>
          </w:p>
        </w:tc>
        <w:tc>
          <w:tcPr>
            <w:tcW w:w="3600" w:type="dxa"/>
            <w:hideMark/>
          </w:tcPr>
          <w:p w14:paraId="1EB1A1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"optionally present"</w:t>
            </w:r>
          </w:p>
        </w:tc>
      </w:tr>
      <w:tr w:rsidR="00DE7477" w:rsidRPr="00DE7477" w14:paraId="06B18224" w14:textId="77777777" w:rsidTr="00DE7477">
        <w:trPr>
          <w:trHeight w:val="510"/>
        </w:trPr>
        <w:tc>
          <w:tcPr>
            <w:tcW w:w="738" w:type="dxa"/>
            <w:hideMark/>
          </w:tcPr>
          <w:p w14:paraId="18060C5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4795</w:t>
            </w:r>
          </w:p>
        </w:tc>
        <w:tc>
          <w:tcPr>
            <w:tcW w:w="990" w:type="dxa"/>
            <w:hideMark/>
          </w:tcPr>
          <w:p w14:paraId="3B13372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2060.28</w:t>
            </w:r>
          </w:p>
        </w:tc>
        <w:tc>
          <w:tcPr>
            <w:tcW w:w="1080" w:type="dxa"/>
            <w:hideMark/>
          </w:tcPr>
          <w:p w14:paraId="6B38723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10.42.7</w:t>
            </w:r>
          </w:p>
        </w:tc>
        <w:tc>
          <w:tcPr>
            <w:tcW w:w="3600" w:type="dxa"/>
            <w:hideMark/>
          </w:tcPr>
          <w:p w14:paraId="6F82A3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No such thing </w:t>
            </w:r>
            <w:proofErr w:type="gramStart"/>
            <w:r w:rsidRPr="00DE7477">
              <w:rPr>
                <w:rFonts w:ascii="Arial" w:eastAsia="Times New Roman" w:hAnsi="Arial" w:cs="Arial"/>
                <w:sz w:val="20"/>
                <w:lang w:val="en-US"/>
              </w:rPr>
              <w:t>as  "</w:t>
            </w:r>
            <w:proofErr w:type="gramEnd"/>
            <w:r w:rsidRPr="00DE7477">
              <w:rPr>
                <w:rFonts w:ascii="Arial" w:eastAsia="Times New Roman" w:hAnsi="Arial" w:cs="Arial"/>
                <w:sz w:val="20"/>
                <w:lang w:val="en-US"/>
              </w:rPr>
              <w:t>TRN-R-PACKET" type.</w:t>
            </w:r>
          </w:p>
        </w:tc>
        <w:tc>
          <w:tcPr>
            <w:tcW w:w="3600" w:type="dxa"/>
            <w:hideMark/>
          </w:tcPr>
          <w:p w14:paraId="01B48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"TRN-R-PACKET" to "TRN-R" throughout.</w:t>
            </w:r>
          </w:p>
        </w:tc>
      </w:tr>
      <w:tr w:rsidR="00DE7477" w:rsidRPr="00DE7477" w14:paraId="05B7531D" w14:textId="77777777" w:rsidTr="00DE7477">
        <w:trPr>
          <w:trHeight w:val="4335"/>
        </w:trPr>
        <w:tc>
          <w:tcPr>
            <w:tcW w:w="738" w:type="dxa"/>
            <w:hideMark/>
          </w:tcPr>
          <w:p w14:paraId="62DA52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4234</w:t>
            </w:r>
          </w:p>
        </w:tc>
        <w:tc>
          <w:tcPr>
            <w:tcW w:w="990" w:type="dxa"/>
            <w:hideMark/>
          </w:tcPr>
          <w:p w14:paraId="6C8F9A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793.14</w:t>
            </w:r>
          </w:p>
        </w:tc>
        <w:tc>
          <w:tcPr>
            <w:tcW w:w="1080" w:type="dxa"/>
            <w:hideMark/>
          </w:tcPr>
          <w:p w14:paraId="5C363F3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9.2.4.2</w:t>
            </w:r>
          </w:p>
        </w:tc>
        <w:tc>
          <w:tcPr>
            <w:tcW w:w="3600" w:type="dxa"/>
            <w:hideMark/>
          </w:tcPr>
          <w:p w14:paraId="282352A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Duration/ID field sent by (QoS) STAs in Extension frames is not specified</w:t>
            </w:r>
          </w:p>
        </w:tc>
        <w:tc>
          <w:tcPr>
            <w:tcW w:w="3600" w:type="dxa"/>
            <w:hideMark/>
          </w:tcPr>
          <w:p w14:paraId="6E27BE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"In Data and Management frames sent by QoS STAs, the Duration/ID field contains a duration value</w:t>
            </w:r>
            <w:r w:rsidRPr="00DE7477">
              <w:rPr>
                <w:rFonts w:ascii="Arial" w:eastAsia="Times New Roman" w:hAnsi="Arial" w:cs="Arial"/>
                <w:sz w:val="20"/>
                <w:lang w:val="en-US"/>
              </w:rPr>
              <w:br/>
              <w:t>as defined for each frame type in 9.2.5 (Duration/ID field (QoS STA))." to "In Data, Management and Extension frames sent by QoS STAs, the Duration/ID field contains a duration value</w:t>
            </w:r>
            <w:r w:rsidRPr="00DE7477">
              <w:rPr>
                <w:rFonts w:ascii="Arial" w:eastAsia="Times New Roman" w:hAnsi="Arial" w:cs="Arial"/>
                <w:sz w:val="20"/>
                <w:lang w:val="en-US"/>
              </w:rPr>
              <w:br/>
              <w:t>as defined for each frame type in 9.2.5 (Duration/ID field (QoS STA)) and 9.3.4.3."</w:t>
            </w:r>
          </w:p>
        </w:tc>
      </w:tr>
      <w:tr w:rsidR="00DE7477" w:rsidRPr="00DE7477" w14:paraId="6366A312" w14:textId="77777777" w:rsidTr="00DE7477">
        <w:trPr>
          <w:trHeight w:val="2295"/>
        </w:trPr>
        <w:tc>
          <w:tcPr>
            <w:tcW w:w="738" w:type="dxa"/>
            <w:hideMark/>
          </w:tcPr>
          <w:p w14:paraId="64FC2AC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4318</w:t>
            </w:r>
          </w:p>
        </w:tc>
        <w:tc>
          <w:tcPr>
            <w:tcW w:w="990" w:type="dxa"/>
            <w:hideMark/>
          </w:tcPr>
          <w:p w14:paraId="390199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0D7D51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1BA31C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5B839E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Change to "An STA shall not transmit in a VHT PPDU an MPDU that exceeds the maximum MPDU length capability indicated in the VHT Capabilities element received from the recipient STA";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for S1G instead of VHT in 10.12.5</w:t>
            </w:r>
          </w:p>
        </w:tc>
      </w:tr>
      <w:tr w:rsidR="00DE7477" w:rsidRPr="00DE7477" w14:paraId="56016B5D" w14:textId="77777777" w:rsidTr="00DE7477">
        <w:trPr>
          <w:trHeight w:val="2295"/>
        </w:trPr>
        <w:tc>
          <w:tcPr>
            <w:tcW w:w="738" w:type="dxa"/>
            <w:hideMark/>
          </w:tcPr>
          <w:p w14:paraId="738AE28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4317</w:t>
            </w:r>
          </w:p>
        </w:tc>
        <w:tc>
          <w:tcPr>
            <w:tcW w:w="990" w:type="dxa"/>
            <w:hideMark/>
          </w:tcPr>
          <w:p w14:paraId="3221FC1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2504.37</w:t>
            </w:r>
          </w:p>
        </w:tc>
        <w:tc>
          <w:tcPr>
            <w:tcW w:w="1080" w:type="dxa"/>
            <w:hideMark/>
          </w:tcPr>
          <w:p w14:paraId="5CD1A3B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11.39.1</w:t>
            </w:r>
          </w:p>
        </w:tc>
        <w:tc>
          <w:tcPr>
            <w:tcW w:w="3600" w:type="dxa"/>
            <w:hideMark/>
          </w:tcPr>
          <w:p w14:paraId="7181E89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STA shall not transmit an MPDU in a VHT PPDU to a STA that exceeds the maximum MPDU length</w:t>
            </w:r>
            <w:r w:rsidRPr="00DE7477">
              <w:rPr>
                <w:rFonts w:ascii="Arial" w:eastAsia="Times New Roman" w:hAnsi="Arial" w:cs="Arial"/>
                <w:sz w:val="20"/>
                <w:lang w:val="en-US"/>
              </w:rPr>
              <w:br/>
              <w:t>capability indicated in the VHT Capabilities element received from the recipient STA." -- it's not the STA that exceeds, it's the MPDU</w:t>
            </w:r>
          </w:p>
        </w:tc>
        <w:tc>
          <w:tcPr>
            <w:tcW w:w="3600" w:type="dxa"/>
            <w:hideMark/>
          </w:tcPr>
          <w:p w14:paraId="1FC4A5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Delete "to a STA " in the cited text; </w:t>
            </w:r>
            <w:proofErr w:type="gramStart"/>
            <w:r w:rsidRPr="00DE7477">
              <w:rPr>
                <w:rFonts w:ascii="Arial" w:eastAsia="Times New Roman" w:hAnsi="Arial" w:cs="Arial"/>
                <w:sz w:val="20"/>
                <w:lang w:val="en-US"/>
              </w:rPr>
              <w:t>also</w:t>
            </w:r>
            <w:proofErr w:type="gramEnd"/>
            <w:r w:rsidRPr="00DE7477">
              <w:rPr>
                <w:rFonts w:ascii="Arial" w:eastAsia="Times New Roman" w:hAnsi="Arial" w:cs="Arial"/>
                <w:sz w:val="20"/>
                <w:lang w:val="en-US"/>
              </w:rPr>
              <w:t xml:space="preserve"> in 10.12.5</w:t>
            </w:r>
          </w:p>
        </w:tc>
      </w:tr>
      <w:tr w:rsidR="00DE7477" w:rsidRPr="00DE7477" w14:paraId="7D1DB075" w14:textId="77777777" w:rsidTr="00DE7477">
        <w:trPr>
          <w:trHeight w:val="1020"/>
        </w:trPr>
        <w:tc>
          <w:tcPr>
            <w:tcW w:w="738" w:type="dxa"/>
            <w:hideMark/>
          </w:tcPr>
          <w:p w14:paraId="0F80BB9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4309</w:t>
            </w:r>
          </w:p>
        </w:tc>
        <w:tc>
          <w:tcPr>
            <w:tcW w:w="990" w:type="dxa"/>
            <w:hideMark/>
          </w:tcPr>
          <w:p w14:paraId="58A913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844.18</w:t>
            </w:r>
          </w:p>
        </w:tc>
        <w:tc>
          <w:tcPr>
            <w:tcW w:w="1080" w:type="dxa"/>
            <w:hideMark/>
          </w:tcPr>
          <w:p w14:paraId="694DB8D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9.3.1.19</w:t>
            </w:r>
          </w:p>
        </w:tc>
        <w:tc>
          <w:tcPr>
            <w:tcW w:w="3600" w:type="dxa"/>
            <w:hideMark/>
          </w:tcPr>
          <w:p w14:paraId="65B8CA0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the Compressed Beamforming Feedback Matrix</w:t>
            </w:r>
            <w:r w:rsidRPr="00DE7477">
              <w:rPr>
                <w:rFonts w:ascii="Arial" w:eastAsia="Times New Roman" w:hAnsi="Arial" w:cs="Arial"/>
                <w:sz w:val="20"/>
                <w:lang w:val="en-US"/>
              </w:rPr>
              <w:br/>
              <w:t>subfield" -- no such subfield</w:t>
            </w:r>
          </w:p>
        </w:tc>
        <w:tc>
          <w:tcPr>
            <w:tcW w:w="3600" w:type="dxa"/>
            <w:hideMark/>
          </w:tcPr>
          <w:p w14:paraId="7D2B31A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 the compressed beamforming feedback matrix"</w:t>
            </w:r>
          </w:p>
        </w:tc>
      </w:tr>
      <w:tr w:rsidR="00DE7477" w:rsidRPr="00DE7477" w14:paraId="45DF841D" w14:textId="77777777" w:rsidTr="00DE7477">
        <w:trPr>
          <w:trHeight w:val="1275"/>
        </w:trPr>
        <w:tc>
          <w:tcPr>
            <w:tcW w:w="738" w:type="dxa"/>
            <w:hideMark/>
          </w:tcPr>
          <w:p w14:paraId="770767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4295</w:t>
            </w:r>
          </w:p>
        </w:tc>
        <w:tc>
          <w:tcPr>
            <w:tcW w:w="990" w:type="dxa"/>
            <w:hideMark/>
          </w:tcPr>
          <w:p w14:paraId="720828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797.37</w:t>
            </w:r>
          </w:p>
        </w:tc>
        <w:tc>
          <w:tcPr>
            <w:tcW w:w="1080" w:type="dxa"/>
            <w:hideMark/>
          </w:tcPr>
          <w:p w14:paraId="3DF435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9.2.4.5.1</w:t>
            </w:r>
          </w:p>
        </w:tc>
        <w:tc>
          <w:tcPr>
            <w:tcW w:w="3600" w:type="dxa"/>
            <w:hideMark/>
          </w:tcPr>
          <w:p w14:paraId="5CBE591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A TPU STA is </w:t>
            </w:r>
            <w:proofErr w:type="gramStart"/>
            <w:r w:rsidRPr="00DE7477">
              <w:rPr>
                <w:rFonts w:ascii="Arial" w:eastAsia="Times New Roman" w:hAnsi="Arial" w:cs="Arial"/>
                <w:sz w:val="20"/>
                <w:lang w:val="en-US"/>
              </w:rPr>
              <w:t>by definition not</w:t>
            </w:r>
            <w:proofErr w:type="gramEnd"/>
            <w:r w:rsidRPr="00DE7477">
              <w:rPr>
                <w:rFonts w:ascii="Arial" w:eastAsia="Times New Roman" w:hAnsi="Arial" w:cs="Arial"/>
                <w:sz w:val="20"/>
                <w:lang w:val="en-US"/>
              </w:rPr>
              <w:t xml:space="preserve"> in a mesh BSS</w:t>
            </w:r>
          </w:p>
        </w:tc>
        <w:tc>
          <w:tcPr>
            <w:tcW w:w="3600" w:type="dxa"/>
            <w:hideMark/>
          </w:tcPr>
          <w:p w14:paraId="0D6DBC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"in 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nonmesh</w:t>
            </w:r>
            <w:proofErr w:type="spellEnd"/>
            <w:r w:rsidRPr="00DE7477">
              <w:rPr>
                <w:rFonts w:ascii="Arial" w:eastAsia="Times New Roman" w:hAnsi="Arial" w:cs="Arial"/>
                <w:sz w:val="20"/>
                <w:lang w:val="en-US"/>
              </w:rPr>
              <w:t xml:space="preserve"> BSS" in the fifth from last to penultimate row of Table 9-10--QoS Control field</w:t>
            </w:r>
          </w:p>
        </w:tc>
      </w:tr>
      <w:tr w:rsidR="00DE7477" w:rsidRPr="00DE7477" w14:paraId="1CFD78EB" w14:textId="77777777" w:rsidTr="00DE7477">
        <w:trPr>
          <w:trHeight w:val="2295"/>
        </w:trPr>
        <w:tc>
          <w:tcPr>
            <w:tcW w:w="738" w:type="dxa"/>
            <w:hideMark/>
          </w:tcPr>
          <w:p w14:paraId="2ADC27F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4285</w:t>
            </w:r>
          </w:p>
        </w:tc>
        <w:tc>
          <w:tcPr>
            <w:tcW w:w="990" w:type="dxa"/>
            <w:hideMark/>
          </w:tcPr>
          <w:p w14:paraId="5AF55FD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1045.28</w:t>
            </w:r>
          </w:p>
        </w:tc>
        <w:tc>
          <w:tcPr>
            <w:tcW w:w="1080" w:type="dxa"/>
            <w:hideMark/>
          </w:tcPr>
          <w:p w14:paraId="126A3DF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9.4.2.20.19</w:t>
            </w:r>
          </w:p>
        </w:tc>
        <w:tc>
          <w:tcPr>
            <w:tcW w:w="3600" w:type="dxa"/>
            <w:hideMark/>
          </w:tcPr>
          <w:p w14:paraId="10D78FB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The  (</w:t>
            </w:r>
            <w:proofErr w:type="gramEnd"/>
            <w:r w:rsidRPr="00DE7477">
              <w:rPr>
                <w:rFonts w:ascii="Arial" w:eastAsia="Times New Roman" w:hAnsi="Arial" w:cs="Arial"/>
                <w:sz w:val="20"/>
                <w:lang w:val="en-US"/>
              </w:rPr>
              <w:t xml:space="preserve">#151)Neighbor  Report  </w:t>
            </w:r>
            <w:proofErr w:type="spellStart"/>
            <w:r w:rsidRPr="00DE7477">
              <w:rPr>
                <w:rFonts w:ascii="Arial" w:eastAsia="Times New Roman" w:hAnsi="Arial" w:cs="Arial"/>
                <w:sz w:val="20"/>
                <w:lang w:val="en-US"/>
              </w:rPr>
              <w:t>subelements</w:t>
            </w:r>
            <w:proofErr w:type="spellEnd"/>
            <w:r w:rsidRPr="00DE7477">
              <w:rPr>
                <w:rFonts w:ascii="Arial" w:eastAsia="Times New Roman" w:hAnsi="Arial" w:cs="Arial"/>
                <w:sz w:val="20"/>
                <w:lang w:val="en-US"/>
              </w:rPr>
              <w:t xml:space="preserve">  specify  a  superset  of  nearby  APs  with  which  the</w:t>
            </w:r>
            <w:r w:rsidRPr="00DE7477">
              <w:rPr>
                <w:rFonts w:ascii="Arial" w:eastAsia="Times New Roman" w:hAnsi="Arial" w:cs="Arial"/>
                <w:sz w:val="20"/>
                <w:lang w:val="en-US"/>
              </w:rPr>
              <w:br/>
              <w:t>requested  STA  is  requested  to  perform  the  FTM  procedure" -- you can't do FTM with more than the nearby APs</w:t>
            </w:r>
          </w:p>
        </w:tc>
        <w:tc>
          <w:tcPr>
            <w:tcW w:w="3600" w:type="dxa"/>
            <w:hideMark/>
          </w:tcPr>
          <w:p w14:paraId="38B1EDD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"superset" to "subset" in the cited text</w:t>
            </w:r>
          </w:p>
        </w:tc>
      </w:tr>
      <w:tr w:rsidR="00DE7477" w:rsidRPr="00DE7477" w14:paraId="52AC6AE3" w14:textId="77777777" w:rsidTr="00DE7477">
        <w:trPr>
          <w:trHeight w:val="1785"/>
        </w:trPr>
        <w:tc>
          <w:tcPr>
            <w:tcW w:w="738" w:type="dxa"/>
            <w:hideMark/>
          </w:tcPr>
          <w:p w14:paraId="43148A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4253</w:t>
            </w:r>
          </w:p>
        </w:tc>
        <w:tc>
          <w:tcPr>
            <w:tcW w:w="990" w:type="dxa"/>
            <w:hideMark/>
          </w:tcPr>
          <w:p w14:paraId="062022A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1117.10</w:t>
            </w:r>
          </w:p>
        </w:tc>
        <w:tc>
          <w:tcPr>
            <w:tcW w:w="1080" w:type="dxa"/>
            <w:hideMark/>
          </w:tcPr>
          <w:p w14:paraId="19DEC08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9.4.2.27</w:t>
            </w:r>
          </w:p>
        </w:tc>
        <w:tc>
          <w:tcPr>
            <w:tcW w:w="3600" w:type="dxa"/>
            <w:hideMark/>
          </w:tcPr>
          <w:p w14:paraId="118DD7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default value of dot11ChannelUtilizationBea-</w:t>
            </w:r>
            <w:r w:rsidRPr="00DE7477">
              <w:rPr>
                <w:rFonts w:ascii="Arial" w:eastAsia="Times New Roman" w:hAnsi="Arial" w:cs="Arial"/>
                <w:sz w:val="20"/>
                <w:lang w:val="en-US"/>
              </w:rPr>
              <w:br/>
            </w:r>
            <w:proofErr w:type="spellStart"/>
            <w:r w:rsidRPr="00DE7477">
              <w:rPr>
                <w:rFonts w:ascii="Arial" w:eastAsia="Times New Roman" w:hAnsi="Arial" w:cs="Arial"/>
                <w:sz w:val="20"/>
                <w:lang w:val="en-US"/>
              </w:rPr>
              <w:t>conIntervals</w:t>
            </w:r>
            <w:proofErr w:type="spellEnd"/>
            <w:r w:rsidRPr="00DE7477">
              <w:rPr>
                <w:rFonts w:ascii="Arial" w:eastAsia="Times New Roman" w:hAnsi="Arial" w:cs="Arial"/>
                <w:sz w:val="20"/>
                <w:lang w:val="en-US"/>
              </w:rPr>
              <w:t xml:space="preserve"> is defined in Annex C." -- so is the default of many other MIB attributes, but we don't say so for any other ones</w:t>
            </w:r>
          </w:p>
        </w:tc>
        <w:tc>
          <w:tcPr>
            <w:tcW w:w="3600" w:type="dxa"/>
            <w:hideMark/>
          </w:tcPr>
          <w:p w14:paraId="0992755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sentence</w:t>
            </w:r>
          </w:p>
        </w:tc>
      </w:tr>
      <w:tr w:rsidR="00DE7477" w:rsidRPr="00DE7477" w14:paraId="307804AA" w14:textId="77777777" w:rsidTr="00DE7477">
        <w:trPr>
          <w:trHeight w:val="2550"/>
        </w:trPr>
        <w:tc>
          <w:tcPr>
            <w:tcW w:w="738" w:type="dxa"/>
            <w:hideMark/>
          </w:tcPr>
          <w:p w14:paraId="3B8D6FF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4490</w:t>
            </w:r>
          </w:p>
        </w:tc>
        <w:tc>
          <w:tcPr>
            <w:tcW w:w="990" w:type="dxa"/>
            <w:hideMark/>
          </w:tcPr>
          <w:p w14:paraId="3C0D2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994.47</w:t>
            </w:r>
          </w:p>
        </w:tc>
        <w:tc>
          <w:tcPr>
            <w:tcW w:w="1080" w:type="dxa"/>
            <w:hideMark/>
          </w:tcPr>
          <w:p w14:paraId="5F9D334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9.4.2.5.1</w:t>
            </w:r>
          </w:p>
        </w:tc>
        <w:tc>
          <w:tcPr>
            <w:tcW w:w="3600" w:type="dxa"/>
            <w:hideMark/>
          </w:tcPr>
          <w:p w14:paraId="2CC487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TIM element contains four fields: DTIM Count, DTIM Period, Bitmap Control, and Partial Virtual</w:t>
            </w:r>
            <w:r w:rsidRPr="00DE7477">
              <w:rPr>
                <w:rFonts w:ascii="Arial" w:eastAsia="Times New Roman" w:hAnsi="Arial" w:cs="Arial"/>
                <w:sz w:val="20"/>
                <w:lang w:val="en-US"/>
              </w:rPr>
              <w:br/>
              <w:t>Bitmap. See Figure 9-149 (TIM element format)." -- as the figure shows, it contains 6 fields, including Element ID and Length.  Duplication considered harmful!</w:t>
            </w:r>
          </w:p>
        </w:tc>
        <w:tc>
          <w:tcPr>
            <w:tcW w:w="3600" w:type="dxa"/>
            <w:hideMark/>
          </w:tcPr>
          <w:p w14:paraId="0A8F248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"The TIM element is used to signal the timing and availability of data for associated STAs.  The format of</w:t>
            </w:r>
            <w:r w:rsidRPr="00DE7477">
              <w:rPr>
                <w:rFonts w:ascii="Arial" w:eastAsia="Times New Roman" w:hAnsi="Arial" w:cs="Arial"/>
                <w:sz w:val="20"/>
                <w:lang w:val="en-US"/>
              </w:rPr>
              <w:br/>
              <w:t>this element is shown in Figure 9-149."</w:t>
            </w:r>
          </w:p>
        </w:tc>
      </w:tr>
      <w:tr w:rsidR="00DE7477" w:rsidRPr="00DE7477" w14:paraId="1E2D2BCE" w14:textId="77777777" w:rsidTr="00DE7477">
        <w:trPr>
          <w:trHeight w:val="1530"/>
        </w:trPr>
        <w:tc>
          <w:tcPr>
            <w:tcW w:w="738" w:type="dxa"/>
            <w:hideMark/>
          </w:tcPr>
          <w:p w14:paraId="0757B02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4240</w:t>
            </w:r>
          </w:p>
        </w:tc>
        <w:tc>
          <w:tcPr>
            <w:tcW w:w="990" w:type="dxa"/>
            <w:hideMark/>
          </w:tcPr>
          <w:p w14:paraId="4A0D52B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855.52</w:t>
            </w:r>
          </w:p>
        </w:tc>
        <w:tc>
          <w:tcPr>
            <w:tcW w:w="1080" w:type="dxa"/>
            <w:hideMark/>
          </w:tcPr>
          <w:p w14:paraId="7C2BC1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9.3.3.1</w:t>
            </w:r>
          </w:p>
        </w:tc>
        <w:tc>
          <w:tcPr>
            <w:tcW w:w="3600" w:type="dxa"/>
            <w:hideMark/>
          </w:tcPr>
          <w:p w14:paraId="35A09A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"Unused element ID codes are reserved." is unclear (how "unused"?) and unnecessary (T9-94 already lists all possible EIDs and EEIDs).  Delete</w:t>
            </w:r>
          </w:p>
        </w:tc>
        <w:tc>
          <w:tcPr>
            <w:tcW w:w="3600" w:type="dxa"/>
            <w:hideMark/>
          </w:tcPr>
          <w:p w14:paraId="6D457F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 at the referenced location and in 9.8.5.1</w:t>
            </w:r>
          </w:p>
        </w:tc>
      </w:tr>
      <w:tr w:rsidR="00DE7477" w:rsidRPr="00DE7477" w14:paraId="25D8FDE6" w14:textId="77777777" w:rsidTr="00DE7477">
        <w:trPr>
          <w:trHeight w:val="1020"/>
        </w:trPr>
        <w:tc>
          <w:tcPr>
            <w:tcW w:w="738" w:type="dxa"/>
            <w:hideMark/>
          </w:tcPr>
          <w:p w14:paraId="45F64F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4347</w:t>
            </w:r>
          </w:p>
        </w:tc>
        <w:tc>
          <w:tcPr>
            <w:tcW w:w="990" w:type="dxa"/>
            <w:hideMark/>
          </w:tcPr>
          <w:p w14:paraId="156366F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2172181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311284E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needs to be conditional on dot11SSIDListActivated is true, like d)</w:t>
            </w:r>
          </w:p>
        </w:tc>
        <w:tc>
          <w:tcPr>
            <w:tcW w:w="3600" w:type="dxa"/>
            <w:hideMark/>
          </w:tcPr>
          <w:p w14:paraId="2E80FF9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 to start "When dot11SSIDListActivated is true and the SSID List parameter is present"</w:t>
            </w:r>
          </w:p>
        </w:tc>
      </w:tr>
      <w:tr w:rsidR="00DE7477" w:rsidRPr="00DE7477" w14:paraId="29637D5C" w14:textId="77777777" w:rsidTr="00DE7477">
        <w:trPr>
          <w:trHeight w:val="765"/>
        </w:trPr>
        <w:tc>
          <w:tcPr>
            <w:tcW w:w="738" w:type="dxa"/>
            <w:hideMark/>
          </w:tcPr>
          <w:p w14:paraId="1091181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4221</w:t>
            </w:r>
          </w:p>
        </w:tc>
        <w:tc>
          <w:tcPr>
            <w:tcW w:w="990" w:type="dxa"/>
            <w:hideMark/>
          </w:tcPr>
          <w:p w14:paraId="2955819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1618.40</w:t>
            </w:r>
          </w:p>
        </w:tc>
        <w:tc>
          <w:tcPr>
            <w:tcW w:w="1080" w:type="dxa"/>
            <w:hideMark/>
          </w:tcPr>
          <w:p w14:paraId="5059854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9.6.14.2</w:t>
            </w:r>
          </w:p>
        </w:tc>
        <w:tc>
          <w:tcPr>
            <w:tcW w:w="3600" w:type="dxa"/>
            <w:hideMark/>
          </w:tcPr>
          <w:p w14:paraId="1559CAB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such thing as a "valid TSF" as opposed to an invalid one</w:t>
            </w:r>
          </w:p>
        </w:tc>
        <w:tc>
          <w:tcPr>
            <w:tcW w:w="3600" w:type="dxa"/>
            <w:hideMark/>
          </w:tcPr>
          <w:p w14:paraId="30C24F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"valid " in the cited text</w:t>
            </w:r>
          </w:p>
        </w:tc>
      </w:tr>
      <w:tr w:rsidR="00DE7477" w:rsidRPr="00DE7477" w14:paraId="4BFB77A4" w14:textId="77777777" w:rsidTr="00DE7477">
        <w:trPr>
          <w:trHeight w:val="510"/>
        </w:trPr>
        <w:tc>
          <w:tcPr>
            <w:tcW w:w="738" w:type="dxa"/>
            <w:hideMark/>
          </w:tcPr>
          <w:p w14:paraId="68CD055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4216</w:t>
            </w:r>
          </w:p>
        </w:tc>
        <w:tc>
          <w:tcPr>
            <w:tcW w:w="990" w:type="dxa"/>
            <w:hideMark/>
          </w:tcPr>
          <w:p w14:paraId="1C53C3E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2059.39</w:t>
            </w:r>
          </w:p>
        </w:tc>
        <w:tc>
          <w:tcPr>
            <w:tcW w:w="1080" w:type="dxa"/>
            <w:hideMark/>
          </w:tcPr>
          <w:p w14:paraId="548F968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10.42.6.4.4</w:t>
            </w:r>
          </w:p>
        </w:tc>
        <w:tc>
          <w:tcPr>
            <w:tcW w:w="3600" w:type="dxa"/>
            <w:hideMark/>
          </w:tcPr>
          <w:p w14:paraId="238EFE4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w:t>
            </w:r>
            <w:proofErr w:type="gramStart"/>
            <w:r w:rsidRPr="00DE7477">
              <w:rPr>
                <w:rFonts w:ascii="Arial" w:eastAsia="Times New Roman" w:hAnsi="Arial" w:cs="Arial"/>
                <w:sz w:val="20"/>
                <w:lang w:val="en-US"/>
              </w:rPr>
              <w:t>DMG  Antenna</w:t>
            </w:r>
            <w:proofErr w:type="gramEnd"/>
            <w:r w:rsidRPr="00DE7477">
              <w:rPr>
                <w:rFonts w:ascii="Arial" w:eastAsia="Times New Roman" w:hAnsi="Arial" w:cs="Arial"/>
                <w:sz w:val="20"/>
                <w:lang w:val="en-US"/>
              </w:rPr>
              <w:t xml:space="preserve">  Pattern  Reciprocity" -- no such field</w:t>
            </w:r>
          </w:p>
        </w:tc>
        <w:tc>
          <w:tcPr>
            <w:tcW w:w="3600" w:type="dxa"/>
            <w:hideMark/>
          </w:tcPr>
          <w:p w14:paraId="3FBCE0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"DMG " (2x in the para)</w:t>
            </w:r>
          </w:p>
        </w:tc>
      </w:tr>
      <w:tr w:rsidR="00DE7477" w:rsidRPr="00DE7477" w14:paraId="653DE896" w14:textId="77777777" w:rsidTr="00DE7477">
        <w:trPr>
          <w:trHeight w:val="3060"/>
        </w:trPr>
        <w:tc>
          <w:tcPr>
            <w:tcW w:w="738" w:type="dxa"/>
            <w:hideMark/>
          </w:tcPr>
          <w:p w14:paraId="09299C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4201</w:t>
            </w:r>
          </w:p>
        </w:tc>
        <w:tc>
          <w:tcPr>
            <w:tcW w:w="990" w:type="dxa"/>
            <w:hideMark/>
          </w:tcPr>
          <w:p w14:paraId="1C68B6F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1442.22</w:t>
            </w:r>
          </w:p>
        </w:tc>
        <w:tc>
          <w:tcPr>
            <w:tcW w:w="1080" w:type="dxa"/>
            <w:hideMark/>
          </w:tcPr>
          <w:p w14:paraId="78406D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9.4.2.229.2</w:t>
            </w:r>
          </w:p>
        </w:tc>
        <w:tc>
          <w:tcPr>
            <w:tcW w:w="3600" w:type="dxa"/>
            <w:hideMark/>
          </w:tcPr>
          <w:p w14:paraId="5AA89DA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 CMMG STA is not a DMG STA</w:t>
            </w:r>
          </w:p>
        </w:tc>
        <w:tc>
          <w:tcPr>
            <w:tcW w:w="3600" w:type="dxa"/>
            <w:hideMark/>
          </w:tcPr>
          <w:p w14:paraId="11B4EEE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 DMG" in "Figure 9-754--CMMG Capabilities Info field format".  In Table 9-313--Subfields of the CMMG Capabilities Info field format change "Number of RX</w:t>
            </w:r>
            <w:r w:rsidRPr="00DE7477">
              <w:rPr>
                <w:rFonts w:ascii="Arial" w:eastAsia="Times New Roman" w:hAnsi="Arial" w:cs="Arial"/>
                <w:sz w:val="20"/>
                <w:lang w:val="en-US"/>
              </w:rPr>
              <w:br/>
              <w:t>DMG Antennas" to "Number of Rx Antennas" (note Rx not RX) and change "DMG Antenna Reciprocity" to "Antenna Reciprocity" (as in the figure)</w:t>
            </w:r>
          </w:p>
        </w:tc>
      </w:tr>
      <w:tr w:rsidR="00DE7477" w:rsidRPr="00DE7477" w14:paraId="52F6E1BF" w14:textId="77777777" w:rsidTr="00DE7477">
        <w:trPr>
          <w:trHeight w:val="1020"/>
        </w:trPr>
        <w:tc>
          <w:tcPr>
            <w:tcW w:w="738" w:type="dxa"/>
            <w:hideMark/>
          </w:tcPr>
          <w:p w14:paraId="1310A61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4193</w:t>
            </w:r>
          </w:p>
        </w:tc>
        <w:tc>
          <w:tcPr>
            <w:tcW w:w="990" w:type="dxa"/>
            <w:hideMark/>
          </w:tcPr>
          <w:p w14:paraId="00BFE9B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1852.54</w:t>
            </w:r>
          </w:p>
        </w:tc>
        <w:tc>
          <w:tcPr>
            <w:tcW w:w="1080" w:type="dxa"/>
            <w:hideMark/>
          </w:tcPr>
          <w:p w14:paraId="5D76D26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10.23.4.2.3</w:t>
            </w:r>
          </w:p>
        </w:tc>
        <w:tc>
          <w:tcPr>
            <w:tcW w:w="3600" w:type="dxa"/>
            <w:hideMark/>
          </w:tcPr>
          <w:p w14:paraId="32726B9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"To describe the behavior at the STA, two MAC variables are defined. " duplicates the first para of the subclause</w:t>
            </w:r>
          </w:p>
        </w:tc>
        <w:tc>
          <w:tcPr>
            <w:tcW w:w="3600" w:type="dxa"/>
            <w:hideMark/>
          </w:tcPr>
          <w:p w14:paraId="6A978C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08B28F1F" w14:textId="77777777" w:rsidTr="00DE7477">
        <w:trPr>
          <w:trHeight w:val="2295"/>
        </w:trPr>
        <w:tc>
          <w:tcPr>
            <w:tcW w:w="738" w:type="dxa"/>
            <w:hideMark/>
          </w:tcPr>
          <w:p w14:paraId="643F39E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4154</w:t>
            </w:r>
          </w:p>
        </w:tc>
        <w:tc>
          <w:tcPr>
            <w:tcW w:w="990" w:type="dxa"/>
            <w:hideMark/>
          </w:tcPr>
          <w:p w14:paraId="689CFA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1827.61</w:t>
            </w:r>
          </w:p>
        </w:tc>
        <w:tc>
          <w:tcPr>
            <w:tcW w:w="1080" w:type="dxa"/>
            <w:hideMark/>
          </w:tcPr>
          <w:p w14:paraId="693F370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10.23.2.2</w:t>
            </w:r>
          </w:p>
        </w:tc>
        <w:tc>
          <w:tcPr>
            <w:tcW w:w="3600" w:type="dxa"/>
            <w:hideMark/>
          </w:tcPr>
          <w:p w14:paraId="392FF4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The </w:t>
            </w:r>
            <w:proofErr w:type="spellStart"/>
            <w:r w:rsidRPr="00DE7477">
              <w:rPr>
                <w:rFonts w:ascii="Arial" w:eastAsia="Times New Roman" w:hAnsi="Arial" w:cs="Arial"/>
                <w:sz w:val="20"/>
                <w:lang w:val="en-US"/>
              </w:rPr>
              <w:t>subbullets</w:t>
            </w:r>
            <w:proofErr w:type="spellEnd"/>
            <w:r w:rsidRPr="00DE7477">
              <w:rPr>
                <w:rFonts w:ascii="Arial" w:eastAsia="Times New Roman" w:hAnsi="Arial" w:cs="Arial"/>
                <w:sz w:val="20"/>
                <w:lang w:val="en-US"/>
              </w:rPr>
              <w:t xml:space="preserve"> all refer to "that AC" but there is no reference for "that"</w:t>
            </w:r>
          </w:p>
        </w:tc>
        <w:tc>
          <w:tcPr>
            <w:tcW w:w="3600" w:type="dxa"/>
            <w:hideMark/>
          </w:tcPr>
          <w:p w14:paraId="7FCA232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Add the words "corresponding to an AC" in the introductory phrase which immediately precedes item a), so that it reads, "The </w:t>
            </w:r>
            <w:proofErr w:type="spellStart"/>
            <w:r w:rsidRPr="00DE7477">
              <w:rPr>
                <w:rFonts w:ascii="Arial" w:eastAsia="Times New Roman" w:hAnsi="Arial" w:cs="Arial"/>
                <w:sz w:val="20"/>
                <w:lang w:val="en-US"/>
              </w:rPr>
              <w:t>backoff</w:t>
            </w:r>
            <w:proofErr w:type="spellEnd"/>
            <w:r w:rsidRPr="00DE7477">
              <w:rPr>
                <w:rFonts w:ascii="Arial" w:eastAsia="Times New Roman" w:hAnsi="Arial" w:cs="Arial"/>
                <w:sz w:val="20"/>
                <w:lang w:val="en-US"/>
              </w:rPr>
              <w:t xml:space="preserve"> procedure shall be invoked by an EDCAF </w:t>
            </w:r>
            <w:proofErr w:type="spellStart"/>
            <w:r w:rsidRPr="00DE7477">
              <w:rPr>
                <w:rFonts w:ascii="Arial" w:eastAsia="Times New Roman" w:hAnsi="Arial" w:cs="Arial"/>
                <w:sz w:val="20"/>
                <w:lang w:val="en-US"/>
              </w:rPr>
              <w:t>corresopnding</w:t>
            </w:r>
            <w:proofErr w:type="spellEnd"/>
            <w:r w:rsidRPr="00DE7477">
              <w:rPr>
                <w:rFonts w:ascii="Arial" w:eastAsia="Times New Roman" w:hAnsi="Arial" w:cs="Arial"/>
                <w:sz w:val="20"/>
                <w:lang w:val="en-US"/>
              </w:rPr>
              <w:t xml:space="preserve"> to an AC when"</w:t>
            </w:r>
          </w:p>
        </w:tc>
      </w:tr>
      <w:tr w:rsidR="00DE7477" w:rsidRPr="00DE7477" w14:paraId="19636B44" w14:textId="77777777" w:rsidTr="00DE7477">
        <w:trPr>
          <w:trHeight w:val="1275"/>
        </w:trPr>
        <w:tc>
          <w:tcPr>
            <w:tcW w:w="738" w:type="dxa"/>
            <w:hideMark/>
          </w:tcPr>
          <w:p w14:paraId="45293B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4068</w:t>
            </w:r>
          </w:p>
        </w:tc>
        <w:tc>
          <w:tcPr>
            <w:tcW w:w="990" w:type="dxa"/>
            <w:hideMark/>
          </w:tcPr>
          <w:p w14:paraId="59DE7F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1503.49</w:t>
            </w:r>
          </w:p>
        </w:tc>
        <w:tc>
          <w:tcPr>
            <w:tcW w:w="1080" w:type="dxa"/>
            <w:hideMark/>
          </w:tcPr>
          <w:p w14:paraId="47C534E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738AB2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"STA needs transmit training".  This is a protocol for interoperability, so I think it is better to </w:t>
            </w:r>
            <w:proofErr w:type="gramStart"/>
            <w:r w:rsidRPr="00DE7477">
              <w:rPr>
                <w:rFonts w:ascii="Arial" w:eastAsia="Times New Roman" w:hAnsi="Arial" w:cs="Arial"/>
                <w:sz w:val="20"/>
                <w:lang w:val="en-US"/>
              </w:rPr>
              <w:t>say</w:t>
            </w:r>
            <w:proofErr w:type="gramEnd"/>
            <w:r w:rsidRPr="00DE7477">
              <w:rPr>
                <w:rFonts w:ascii="Arial" w:eastAsia="Times New Roman" w:hAnsi="Arial" w:cs="Arial"/>
                <w:sz w:val="20"/>
                <w:lang w:val="en-US"/>
              </w:rPr>
              <w:t xml:space="preserve"> "STA requests transmit training".</w:t>
            </w:r>
          </w:p>
        </w:tc>
        <w:tc>
          <w:tcPr>
            <w:tcW w:w="3600" w:type="dxa"/>
            <w:hideMark/>
          </w:tcPr>
          <w:p w14:paraId="2AEE774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"needs" to "requests".</w:t>
            </w:r>
          </w:p>
        </w:tc>
      </w:tr>
      <w:tr w:rsidR="00DE7477" w:rsidRPr="00DE7477" w14:paraId="139FAC40" w14:textId="77777777" w:rsidTr="00DE7477">
        <w:trPr>
          <w:trHeight w:val="2040"/>
        </w:trPr>
        <w:tc>
          <w:tcPr>
            <w:tcW w:w="738" w:type="dxa"/>
            <w:hideMark/>
          </w:tcPr>
          <w:p w14:paraId="1616BC3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4067</w:t>
            </w:r>
          </w:p>
        </w:tc>
        <w:tc>
          <w:tcPr>
            <w:tcW w:w="990" w:type="dxa"/>
            <w:hideMark/>
          </w:tcPr>
          <w:p w14:paraId="013F396A"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1503.42</w:t>
            </w:r>
          </w:p>
        </w:tc>
        <w:tc>
          <w:tcPr>
            <w:tcW w:w="1080" w:type="dxa"/>
            <w:hideMark/>
          </w:tcPr>
          <w:p w14:paraId="718A4A2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9.5.4</w:t>
            </w:r>
          </w:p>
        </w:tc>
        <w:tc>
          <w:tcPr>
            <w:tcW w:w="3600" w:type="dxa"/>
            <w:hideMark/>
          </w:tcPr>
          <w:p w14:paraId="614BD8A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ordering of these sentences is confusing to read: "To obtain the number of TRN-R subfields, the value of the L-RX subfield is multiplied by 4. Possible values range from 0 to 16."</w:t>
            </w:r>
          </w:p>
        </w:tc>
        <w:tc>
          <w:tcPr>
            <w:tcW w:w="3600" w:type="dxa"/>
            <w:hideMark/>
          </w:tcPr>
          <w:p w14:paraId="35C2F7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Reword to "The L-RX field is an unsigned integer with range 0 to 16. Values outside this range are reserved. The number of requested TRN-R subfields is equal to the value of the L-RX subfield multiplied by 4."</w:t>
            </w:r>
          </w:p>
        </w:tc>
      </w:tr>
      <w:tr w:rsidR="00DE7477" w:rsidRPr="00DE7477" w14:paraId="3BA31BFB" w14:textId="77777777" w:rsidTr="00DE7477">
        <w:trPr>
          <w:trHeight w:val="1275"/>
        </w:trPr>
        <w:tc>
          <w:tcPr>
            <w:tcW w:w="738" w:type="dxa"/>
            <w:hideMark/>
          </w:tcPr>
          <w:p w14:paraId="6F9FC66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4243</w:t>
            </w:r>
          </w:p>
        </w:tc>
        <w:tc>
          <w:tcPr>
            <w:tcW w:w="990" w:type="dxa"/>
            <w:hideMark/>
          </w:tcPr>
          <w:p w14:paraId="5F8C1FC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2467.63</w:t>
            </w:r>
          </w:p>
        </w:tc>
        <w:tc>
          <w:tcPr>
            <w:tcW w:w="1080" w:type="dxa"/>
            <w:hideMark/>
          </w:tcPr>
          <w:p w14:paraId="1DAB3F8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11.29.2</w:t>
            </w:r>
          </w:p>
        </w:tc>
        <w:tc>
          <w:tcPr>
            <w:tcW w:w="3600" w:type="dxa"/>
            <w:hideMark/>
          </w:tcPr>
          <w:p w14:paraId="4DAFEC2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Information Response frame may include vendor-specific elements. " -- true of all Action frames unless explicitly disallowed</w:t>
            </w:r>
          </w:p>
        </w:tc>
        <w:tc>
          <w:tcPr>
            <w:tcW w:w="3600" w:type="dxa"/>
            <w:hideMark/>
          </w:tcPr>
          <w:p w14:paraId="7103D8D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2514AE53" w14:textId="77777777" w:rsidTr="00DE7477">
        <w:trPr>
          <w:trHeight w:val="5100"/>
        </w:trPr>
        <w:tc>
          <w:tcPr>
            <w:tcW w:w="738" w:type="dxa"/>
            <w:hideMark/>
          </w:tcPr>
          <w:p w14:paraId="7B753E8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4377</w:t>
            </w:r>
          </w:p>
        </w:tc>
        <w:tc>
          <w:tcPr>
            <w:tcW w:w="990" w:type="dxa"/>
            <w:hideMark/>
          </w:tcPr>
          <w:p w14:paraId="5BECB2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805.22</w:t>
            </w:r>
          </w:p>
        </w:tc>
        <w:tc>
          <w:tcPr>
            <w:tcW w:w="1080" w:type="dxa"/>
            <w:hideMark/>
          </w:tcPr>
          <w:p w14:paraId="229398A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9.2.4.6.2</w:t>
            </w:r>
          </w:p>
        </w:tc>
        <w:tc>
          <w:tcPr>
            <w:tcW w:w="3600" w:type="dxa"/>
            <w:hideMark/>
          </w:tcPr>
          <w:p w14:paraId="1354B52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Figure 9-13--Link Adaptation Control subfield format should number the bits from 0, not from 1.  Ditto Figure 9-12--HT Control Middle subfield of the HT variant HT Control field format, Figure 9-16--HT Control Middle subfield of the VHT variant HT Control field format, Figure 9-21--MFB subfield in the CMMG variant HT Control field format, Figure 9-687--Control field format, Figure 9-114--First example of Compressed Beamforming Report field encoding, Figure 9-115--Second example of Compressed Beamforming Report field encoding</w:t>
            </w:r>
          </w:p>
        </w:tc>
        <w:tc>
          <w:tcPr>
            <w:tcW w:w="3600" w:type="dxa"/>
            <w:hideMark/>
          </w:tcPr>
          <w:p w14:paraId="33B7967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Subtract 1 from each of the bit positions in the figure</w:t>
            </w:r>
          </w:p>
        </w:tc>
      </w:tr>
      <w:tr w:rsidR="00DE7477" w:rsidRPr="00DE7477" w14:paraId="4C96D971" w14:textId="77777777" w:rsidTr="00DE7477">
        <w:trPr>
          <w:trHeight w:val="1020"/>
        </w:trPr>
        <w:tc>
          <w:tcPr>
            <w:tcW w:w="738" w:type="dxa"/>
            <w:hideMark/>
          </w:tcPr>
          <w:p w14:paraId="25705E2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4056</w:t>
            </w:r>
          </w:p>
        </w:tc>
        <w:tc>
          <w:tcPr>
            <w:tcW w:w="990" w:type="dxa"/>
            <w:hideMark/>
          </w:tcPr>
          <w:p w14:paraId="62D7BF6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1121.31</w:t>
            </w:r>
          </w:p>
        </w:tc>
        <w:tc>
          <w:tcPr>
            <w:tcW w:w="1080" w:type="dxa"/>
            <w:hideMark/>
          </w:tcPr>
          <w:p w14:paraId="09D69AB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9.4.2.29</w:t>
            </w:r>
          </w:p>
        </w:tc>
        <w:tc>
          <w:tcPr>
            <w:tcW w:w="3600" w:type="dxa"/>
            <w:hideMark/>
          </w:tcPr>
          <w:p w14:paraId="08FA8F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"Length (55)". The Length is 55 or 57. Also, there is no need to include "55" in the figure.</w:t>
            </w:r>
          </w:p>
        </w:tc>
        <w:tc>
          <w:tcPr>
            <w:tcW w:w="3600" w:type="dxa"/>
            <w:hideMark/>
          </w:tcPr>
          <w:p w14:paraId="0F6FBC4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"(55)" at 1121.31</w:t>
            </w:r>
          </w:p>
        </w:tc>
      </w:tr>
      <w:tr w:rsidR="00DE7477" w:rsidRPr="00DE7477" w14:paraId="75A4B9BA" w14:textId="77777777" w:rsidTr="00DE7477">
        <w:trPr>
          <w:trHeight w:val="3060"/>
        </w:trPr>
        <w:tc>
          <w:tcPr>
            <w:tcW w:w="738" w:type="dxa"/>
            <w:hideMark/>
          </w:tcPr>
          <w:p w14:paraId="5220A23C"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4485</w:t>
            </w:r>
          </w:p>
        </w:tc>
        <w:tc>
          <w:tcPr>
            <w:tcW w:w="990" w:type="dxa"/>
            <w:hideMark/>
          </w:tcPr>
          <w:p w14:paraId="48FCBE0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1242.42</w:t>
            </w:r>
          </w:p>
        </w:tc>
        <w:tc>
          <w:tcPr>
            <w:tcW w:w="1080" w:type="dxa"/>
            <w:hideMark/>
          </w:tcPr>
          <w:p w14:paraId="2311D68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9.4.2.83</w:t>
            </w:r>
          </w:p>
        </w:tc>
        <w:tc>
          <w:tcPr>
            <w:tcW w:w="3600" w:type="dxa"/>
            <w:hideMark/>
          </w:tcPr>
          <w:p w14:paraId="7E609CC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"The Low Rate TIM Rate field provides an indication of the rate that is used to transmit the low data rate TIM frame, in units of 0.5 Mb/s. A value of 0 indicates that the low rate TIM frame is not transmitted." -- 11.2.3.15 TIM Broadcast does not allow the low rate TIM frame not to be </w:t>
            </w:r>
            <w:proofErr w:type="spellStart"/>
            <w:r w:rsidRPr="00DE7477">
              <w:rPr>
                <w:rFonts w:ascii="Arial" w:eastAsia="Times New Roman" w:hAnsi="Arial" w:cs="Arial"/>
                <w:sz w:val="20"/>
                <w:lang w:val="en-US"/>
              </w:rPr>
              <w:t>txed</w:t>
            </w:r>
            <w:proofErr w:type="spellEnd"/>
            <w:r w:rsidRPr="00DE7477">
              <w:rPr>
                <w:rFonts w:ascii="Arial" w:eastAsia="Times New Roman" w:hAnsi="Arial" w:cs="Arial"/>
                <w:sz w:val="20"/>
                <w:lang w:val="en-US"/>
              </w:rPr>
              <w:t>; only the high rate one is optional to transmit</w:t>
            </w:r>
          </w:p>
        </w:tc>
        <w:tc>
          <w:tcPr>
            <w:tcW w:w="3600" w:type="dxa"/>
            <w:hideMark/>
          </w:tcPr>
          <w:p w14:paraId="5B6CBD3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"A value of 0 indicates that the low rate TIM frame is not transmitted."</w:t>
            </w:r>
          </w:p>
        </w:tc>
      </w:tr>
      <w:tr w:rsidR="00DE7477" w:rsidRPr="00DE7477" w14:paraId="65DAFDDC" w14:textId="77777777" w:rsidTr="00DE7477">
        <w:trPr>
          <w:trHeight w:val="3570"/>
        </w:trPr>
        <w:tc>
          <w:tcPr>
            <w:tcW w:w="738" w:type="dxa"/>
            <w:hideMark/>
          </w:tcPr>
          <w:p w14:paraId="4B761C5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4454</w:t>
            </w:r>
          </w:p>
        </w:tc>
        <w:tc>
          <w:tcPr>
            <w:tcW w:w="990" w:type="dxa"/>
            <w:hideMark/>
          </w:tcPr>
          <w:p w14:paraId="0D2A148B"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1518.53</w:t>
            </w:r>
          </w:p>
        </w:tc>
        <w:tc>
          <w:tcPr>
            <w:tcW w:w="1080" w:type="dxa"/>
            <w:hideMark/>
          </w:tcPr>
          <w:p w14:paraId="2262D14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9.6.3.8</w:t>
            </w:r>
          </w:p>
        </w:tc>
        <w:tc>
          <w:tcPr>
            <w:tcW w:w="3600" w:type="dxa"/>
            <w:hideMark/>
          </w:tcPr>
          <w:p w14:paraId="4403F7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QoS Action field is defined in 9.6.3.1 (General). representing ADDTS Reserve Response.</w:t>
            </w:r>
            <w:r w:rsidRPr="00DE7477">
              <w:rPr>
                <w:rFonts w:ascii="Arial" w:eastAsia="Times New Roman" w:hAnsi="Arial" w:cs="Arial"/>
                <w:sz w:val="20"/>
                <w:lang w:val="en-US"/>
              </w:rPr>
              <w:br/>
              <w:t>The (#</w:t>
            </w:r>
            <w:proofErr w:type="gramStart"/>
            <w:r w:rsidRPr="00DE7477">
              <w:rPr>
                <w:rFonts w:ascii="Arial" w:eastAsia="Times New Roman" w:hAnsi="Arial" w:cs="Arial"/>
                <w:sz w:val="20"/>
                <w:lang w:val="en-US"/>
              </w:rPr>
              <w:t>2110)Higher</w:t>
            </w:r>
            <w:proofErr w:type="gramEnd"/>
            <w:r w:rsidRPr="00DE7477">
              <w:rPr>
                <w:rFonts w:ascii="Arial" w:eastAsia="Times New Roman" w:hAnsi="Arial" w:cs="Arial"/>
                <w:sz w:val="20"/>
                <w:lang w:val="en-US"/>
              </w:rPr>
              <w:t xml:space="preserve"> Layer Stream ID element is defined in 9.4.2.124 (Higher Layer Stream ID element).</w:t>
            </w:r>
            <w:r w:rsidRPr="00DE7477">
              <w:rPr>
                <w:rFonts w:ascii="Arial" w:eastAsia="Times New Roman" w:hAnsi="Arial" w:cs="Arial"/>
                <w:sz w:val="20"/>
                <w:lang w:val="en-US"/>
              </w:rPr>
              <w:br/>
              <w:t xml:space="preserve">The Status Code field is defined in 9.4.1.9 (Status Code field)." is too vague.  Needs to refer to specific contents.  </w:t>
            </w:r>
            <w:proofErr w:type="gramStart"/>
            <w:r w:rsidRPr="00DE7477">
              <w:rPr>
                <w:rFonts w:ascii="Arial" w:eastAsia="Times New Roman" w:hAnsi="Arial" w:cs="Arial"/>
                <w:sz w:val="20"/>
                <w:lang w:val="en-US"/>
              </w:rPr>
              <w:t>Similarly</w:t>
            </w:r>
            <w:proofErr w:type="gramEnd"/>
            <w:r w:rsidRPr="00DE7477">
              <w:rPr>
                <w:rFonts w:ascii="Arial" w:eastAsia="Times New Roman" w:hAnsi="Arial" w:cs="Arial"/>
                <w:sz w:val="20"/>
                <w:lang w:val="en-US"/>
              </w:rPr>
              <w:t xml:space="preserve"> in other locations in 9.6.3</w:t>
            </w:r>
          </w:p>
        </w:tc>
        <w:tc>
          <w:tcPr>
            <w:tcW w:w="3600" w:type="dxa"/>
            <w:hideMark/>
          </w:tcPr>
          <w:p w14:paraId="674BE6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At 1518.53, change to "The QoS Action field is defined in 9.6.3.1." and "The Higher Layer Stream ID field contains a Higher Layer Stream ID element (see 9.4.2.124)."</w:t>
            </w:r>
          </w:p>
        </w:tc>
      </w:tr>
      <w:tr w:rsidR="00DE7477" w:rsidRPr="00DE7477" w14:paraId="42E07B03" w14:textId="77777777" w:rsidTr="00DE7477">
        <w:trPr>
          <w:trHeight w:val="1020"/>
        </w:trPr>
        <w:tc>
          <w:tcPr>
            <w:tcW w:w="738" w:type="dxa"/>
            <w:hideMark/>
          </w:tcPr>
          <w:p w14:paraId="1D49BF2F"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4447</w:t>
            </w:r>
          </w:p>
        </w:tc>
        <w:tc>
          <w:tcPr>
            <w:tcW w:w="990" w:type="dxa"/>
            <w:hideMark/>
          </w:tcPr>
          <w:p w14:paraId="313834E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1718.01</w:t>
            </w:r>
          </w:p>
        </w:tc>
        <w:tc>
          <w:tcPr>
            <w:tcW w:w="1080" w:type="dxa"/>
            <w:hideMark/>
          </w:tcPr>
          <w:p w14:paraId="54518E8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10.1</w:t>
            </w:r>
          </w:p>
        </w:tc>
        <w:tc>
          <w:tcPr>
            <w:tcW w:w="3600" w:type="dxa"/>
            <w:hideMark/>
          </w:tcPr>
          <w:p w14:paraId="57D5B55F"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"Designation</w:t>
            </w:r>
            <w:r w:rsidRPr="00DE7477">
              <w:rPr>
                <w:rFonts w:ascii="Arial" w:eastAsia="Times New Roman" w:hAnsi="Arial" w:cs="Arial"/>
                <w:sz w:val="20"/>
                <w:lang w:val="en-US"/>
              </w:rPr>
              <w:br/>
              <w:t>(informative)" in Table 10-1 is not used anywhere, so just delete the column</w:t>
            </w:r>
          </w:p>
        </w:tc>
        <w:tc>
          <w:tcPr>
            <w:tcW w:w="3600" w:type="dxa"/>
            <w:hideMark/>
          </w:tcPr>
          <w:p w14:paraId="3C9BDFA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0CF99842" w14:textId="77777777" w:rsidTr="00DE7477">
        <w:trPr>
          <w:trHeight w:val="2295"/>
        </w:trPr>
        <w:tc>
          <w:tcPr>
            <w:tcW w:w="738" w:type="dxa"/>
            <w:hideMark/>
          </w:tcPr>
          <w:p w14:paraId="38DBFE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4442</w:t>
            </w:r>
          </w:p>
        </w:tc>
        <w:tc>
          <w:tcPr>
            <w:tcW w:w="990" w:type="dxa"/>
            <w:hideMark/>
          </w:tcPr>
          <w:p w14:paraId="6ABB86D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2272.13</w:t>
            </w:r>
          </w:p>
        </w:tc>
        <w:tc>
          <w:tcPr>
            <w:tcW w:w="1080" w:type="dxa"/>
            <w:hideMark/>
          </w:tcPr>
          <w:p w14:paraId="3731B72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11.6.2</w:t>
            </w:r>
          </w:p>
        </w:tc>
        <w:tc>
          <w:tcPr>
            <w:tcW w:w="3600" w:type="dxa"/>
            <w:hideMark/>
          </w:tcPr>
          <w:p w14:paraId="094B6DF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If</w:t>
            </w:r>
            <w:r w:rsidRPr="00DE7477">
              <w:rPr>
                <w:rFonts w:ascii="Arial" w:eastAsia="Times New Roman" w:hAnsi="Arial" w:cs="Arial"/>
                <w:sz w:val="20"/>
                <w:lang w:val="en-US"/>
              </w:rPr>
              <w:br/>
            </w:r>
            <w:proofErr w:type="gramStart"/>
            <w:r w:rsidRPr="00DE7477">
              <w:rPr>
                <w:rFonts w:ascii="Arial" w:eastAsia="Times New Roman" w:hAnsi="Arial" w:cs="Arial"/>
                <w:sz w:val="20"/>
                <w:lang w:val="en-US"/>
              </w:rPr>
              <w:t>the  MAC</w:t>
            </w:r>
            <w:proofErr w:type="gramEnd"/>
            <w:r w:rsidRPr="00DE7477">
              <w:rPr>
                <w:rFonts w:ascii="Arial" w:eastAsia="Times New Roman" w:hAnsi="Arial" w:cs="Arial"/>
                <w:sz w:val="20"/>
                <w:lang w:val="en-US"/>
              </w:rPr>
              <w:t xml:space="preserve">  and  the  transmitter  of  the  (#1072)(#2409)sync  packet  are  collocated  within  the  same  STA" -- huh?  How can a MAC and a transmitter be distinct things that are collocated within a STA?</w:t>
            </w:r>
          </w:p>
        </w:tc>
        <w:tc>
          <w:tcPr>
            <w:tcW w:w="3600" w:type="dxa"/>
            <w:hideMark/>
          </w:tcPr>
          <w:p w14:paraId="2DC5812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the cited text to "If the STA is the transmitter of the sync packet"</w:t>
            </w:r>
          </w:p>
        </w:tc>
      </w:tr>
      <w:tr w:rsidR="00DE7477" w:rsidRPr="00DE7477" w14:paraId="4345C25E" w14:textId="77777777" w:rsidTr="00DE7477">
        <w:trPr>
          <w:trHeight w:val="2040"/>
        </w:trPr>
        <w:tc>
          <w:tcPr>
            <w:tcW w:w="738" w:type="dxa"/>
            <w:hideMark/>
          </w:tcPr>
          <w:p w14:paraId="5E52C79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4422</w:t>
            </w:r>
          </w:p>
        </w:tc>
        <w:tc>
          <w:tcPr>
            <w:tcW w:w="990" w:type="dxa"/>
            <w:hideMark/>
          </w:tcPr>
          <w:p w14:paraId="28BF94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1834.17</w:t>
            </w:r>
          </w:p>
        </w:tc>
        <w:tc>
          <w:tcPr>
            <w:tcW w:w="1080" w:type="dxa"/>
            <w:hideMark/>
          </w:tcPr>
          <w:p w14:paraId="58ACA46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10.23.2.7</w:t>
            </w:r>
          </w:p>
        </w:tc>
        <w:tc>
          <w:tcPr>
            <w:tcW w:w="3600" w:type="dxa"/>
            <w:hideMark/>
          </w:tcPr>
          <w:p w14:paraId="722D039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"Frames from the primary AC shall be transmitted first." is not clear: does it mean at least one (or two?) shall be transmitted, or does it mean all available shall be transmitted (</w:t>
            </w:r>
            <w:proofErr w:type="spellStart"/>
            <w:proofErr w:type="gramStart"/>
            <w:r w:rsidRPr="00DE7477">
              <w:rPr>
                <w:rFonts w:ascii="Arial" w:eastAsia="Times New Roman" w:hAnsi="Arial" w:cs="Arial"/>
                <w:sz w:val="20"/>
                <w:lang w:val="en-US"/>
              </w:rPr>
              <w:t>cf.previous</w:t>
            </w:r>
            <w:proofErr w:type="spellEnd"/>
            <w:proofErr w:type="gramEnd"/>
            <w:r w:rsidRPr="00DE7477">
              <w:rPr>
                <w:rFonts w:ascii="Arial" w:eastAsia="Times New Roman" w:hAnsi="Arial" w:cs="Arial"/>
                <w:sz w:val="20"/>
                <w:lang w:val="en-US"/>
              </w:rPr>
              <w:t xml:space="preserve"> bullet)</w:t>
            </w:r>
          </w:p>
        </w:tc>
        <w:tc>
          <w:tcPr>
            <w:tcW w:w="3600" w:type="dxa"/>
            <w:hideMark/>
          </w:tcPr>
          <w:p w14:paraId="43EF02A8"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Change to "All </w:t>
            </w:r>
            <w:proofErr w:type="gramStart"/>
            <w:r w:rsidRPr="00DE7477">
              <w:rPr>
                <w:rFonts w:ascii="Arial" w:eastAsia="Times New Roman" w:hAnsi="Arial" w:cs="Arial"/>
                <w:sz w:val="20"/>
                <w:lang w:val="en-US"/>
              </w:rPr>
              <w:t>frames  from</w:t>
            </w:r>
            <w:proofErr w:type="gramEnd"/>
            <w:r w:rsidRPr="00DE7477">
              <w:rPr>
                <w:rFonts w:ascii="Arial" w:eastAsia="Times New Roman" w:hAnsi="Arial" w:cs="Arial"/>
                <w:sz w:val="20"/>
                <w:lang w:val="en-US"/>
              </w:rPr>
              <w:t xml:space="preserve">  the  primary  AC  shall  be</w:t>
            </w:r>
            <w:r w:rsidRPr="00DE7477">
              <w:rPr>
                <w:rFonts w:ascii="Arial" w:eastAsia="Times New Roman" w:hAnsi="Arial" w:cs="Arial"/>
                <w:sz w:val="20"/>
                <w:lang w:val="en-US"/>
              </w:rPr>
              <w:br/>
              <w:t>transmitted first"</w:t>
            </w:r>
          </w:p>
        </w:tc>
      </w:tr>
      <w:tr w:rsidR="00DE7477" w:rsidRPr="00DE7477" w14:paraId="6FD2111C" w14:textId="77777777" w:rsidTr="00DE7477">
        <w:trPr>
          <w:trHeight w:val="8190"/>
        </w:trPr>
        <w:tc>
          <w:tcPr>
            <w:tcW w:w="738" w:type="dxa"/>
            <w:hideMark/>
          </w:tcPr>
          <w:p w14:paraId="663E7A1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4418</w:t>
            </w:r>
          </w:p>
        </w:tc>
        <w:tc>
          <w:tcPr>
            <w:tcW w:w="990" w:type="dxa"/>
            <w:hideMark/>
          </w:tcPr>
          <w:p w14:paraId="05DEE4C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1113.25</w:t>
            </w:r>
          </w:p>
        </w:tc>
        <w:tc>
          <w:tcPr>
            <w:tcW w:w="1080" w:type="dxa"/>
            <w:hideMark/>
          </w:tcPr>
          <w:p w14:paraId="52FB7C0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9.4.2.26</w:t>
            </w:r>
          </w:p>
        </w:tc>
        <w:tc>
          <w:tcPr>
            <w:tcW w:w="3600" w:type="dxa"/>
            <w:hideMark/>
          </w:tcPr>
          <w:p w14:paraId="14D1512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"Reject Unadmitted Frame" extended capability is weird: "When dot11RejectUnadmittedTraffic is true, the Reject Unadmitted Frame bit is</w:t>
            </w:r>
            <w:r w:rsidRPr="00DE7477">
              <w:rPr>
                <w:rFonts w:ascii="Arial" w:eastAsia="Times New Roman" w:hAnsi="Arial" w:cs="Arial"/>
                <w:sz w:val="20"/>
                <w:lang w:val="en-US"/>
              </w:rPr>
              <w:br/>
              <w:t>set to 1 to indicate that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w:t>
            </w:r>
            <w:r w:rsidRPr="00DE7477">
              <w:rPr>
                <w:rFonts w:ascii="Arial" w:eastAsia="Times New Roman" w:hAnsi="Arial" w:cs="Arial"/>
                <w:sz w:val="20"/>
                <w:lang w:val="en-US"/>
              </w:rPr>
              <w:br/>
              <w:t>When dot11RejectUnadmittedTraffic is false, the Reject Unadmitted Frame bit is</w:t>
            </w:r>
            <w:r w:rsidRPr="00DE7477">
              <w:rPr>
                <w:rFonts w:ascii="Arial" w:eastAsia="Times New Roman" w:hAnsi="Arial" w:cs="Arial"/>
                <w:sz w:val="20"/>
                <w:lang w:val="en-US"/>
              </w:rPr>
              <w:br/>
              <w:t>set to 0 to indicate that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 xml:space="preserve">primitives for frames belonging to an unadmitted TS.".  Why does the peer need to know the local policy on rejecting unadmitted traffic?  Why does the peer not need to know for sure whether the peer will reject unadmitted traffic ("is not required to reject" ... but </w:t>
            </w:r>
            <w:proofErr w:type="gramStart"/>
            <w:r w:rsidRPr="00DE7477">
              <w:rPr>
                <w:rFonts w:ascii="Arial" w:eastAsia="Times New Roman" w:hAnsi="Arial" w:cs="Arial"/>
                <w:sz w:val="20"/>
                <w:lang w:val="en-US"/>
              </w:rPr>
              <w:t>might).</w:t>
            </w:r>
            <w:proofErr w:type="gramEnd"/>
            <w:r w:rsidRPr="00DE7477">
              <w:rPr>
                <w:rFonts w:ascii="Arial" w:eastAsia="Times New Roman" w:hAnsi="Arial" w:cs="Arial"/>
                <w:sz w:val="20"/>
                <w:lang w:val="en-US"/>
              </w:rPr>
              <w:t xml:space="preserve">  Also "the STA's MA-UNITDATA primitive rejects</w:t>
            </w:r>
            <w:r w:rsidRPr="00DE7477">
              <w:rPr>
                <w:rFonts w:ascii="Arial" w:eastAsia="Times New Roman" w:hAnsi="Arial" w:cs="Arial"/>
                <w:sz w:val="20"/>
                <w:lang w:val="en-US"/>
              </w:rPr>
              <w:br/>
              <w:t>frames" is weird -- it's not the primitive that rejects, it's the STA, and there is no MA-UNITDATA primitive, there are only MA-</w:t>
            </w:r>
            <w:proofErr w:type="spellStart"/>
            <w:r w:rsidRPr="00DE7477">
              <w:rPr>
                <w:rFonts w:ascii="Arial" w:eastAsia="Times New Roman" w:hAnsi="Arial" w:cs="Arial"/>
                <w:sz w:val="20"/>
                <w:lang w:val="en-US"/>
              </w:rPr>
              <w:t>UNITDATA.something</w:t>
            </w:r>
            <w:proofErr w:type="spellEnd"/>
            <w:r w:rsidRPr="00DE7477">
              <w:rPr>
                <w:rFonts w:ascii="Arial" w:eastAsia="Times New Roman" w:hAnsi="Arial" w:cs="Arial"/>
                <w:sz w:val="20"/>
                <w:lang w:val="en-US"/>
              </w:rPr>
              <w:t xml:space="preserve"> primitives</w:t>
            </w:r>
          </w:p>
        </w:tc>
        <w:tc>
          <w:tcPr>
            <w:tcW w:w="3600" w:type="dxa"/>
            <w:hideMark/>
          </w:tcPr>
          <w:p w14:paraId="3D228195"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9-153--Extended Capabilities field change "the STA rejects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t xml:space="preserve"> primitives for</w:t>
            </w:r>
            <w:r w:rsidRPr="00DE7477">
              <w:rPr>
                <w:rFonts w:ascii="Arial" w:eastAsia="Times New Roman" w:hAnsi="Arial" w:cs="Arial"/>
                <w:sz w:val="20"/>
                <w:lang w:val="en-US"/>
              </w:rPr>
              <w:br/>
              <w:t>frames belonging to an unadmitted TS" to "the STA does not transmit frames belonging to an unadmitted TS" and "the STA is not required to reject MA-</w:t>
            </w:r>
            <w:proofErr w:type="spellStart"/>
            <w:r w:rsidRPr="00DE7477">
              <w:rPr>
                <w:rFonts w:ascii="Arial" w:eastAsia="Times New Roman" w:hAnsi="Arial" w:cs="Arial"/>
                <w:sz w:val="20"/>
                <w:lang w:val="en-US"/>
              </w:rPr>
              <w:t>UNITDATA.request</w:t>
            </w:r>
            <w:proofErr w:type="spellEnd"/>
            <w:r w:rsidRPr="00DE7477">
              <w:rPr>
                <w:rFonts w:ascii="Arial" w:eastAsia="Times New Roman" w:hAnsi="Arial" w:cs="Arial"/>
                <w:sz w:val="20"/>
                <w:lang w:val="en-US"/>
              </w:rPr>
              <w:br/>
              <w:t>primitives for frames belonging to an unadmitted TS" to "the STA might transmit frames belonging to an unadmitted TS".  In C.3 change "This attribute when true indicates the STA's MA-UNITDATA primitive rejects</w:t>
            </w:r>
            <w:r w:rsidRPr="00DE7477">
              <w:rPr>
                <w:rFonts w:ascii="Arial" w:eastAsia="Times New Roman" w:hAnsi="Arial" w:cs="Arial"/>
                <w:sz w:val="20"/>
                <w:lang w:val="en-US"/>
              </w:rPr>
              <w:br/>
              <w:t>frames" to "This attribute when true indicates the STA rejects MA-</w:t>
            </w:r>
            <w:proofErr w:type="spellStart"/>
            <w:r w:rsidRPr="00DE7477">
              <w:rPr>
                <w:rFonts w:ascii="Arial" w:eastAsia="Times New Roman" w:hAnsi="Arial" w:cs="Arial"/>
                <w:sz w:val="20"/>
                <w:lang w:val="en-US"/>
              </w:rPr>
              <w:t>UNITDATA.requests</w:t>
            </w:r>
            <w:proofErr w:type="spellEnd"/>
            <w:r w:rsidRPr="00DE7477">
              <w:rPr>
                <w:rFonts w:ascii="Arial" w:eastAsia="Times New Roman" w:hAnsi="Arial" w:cs="Arial"/>
                <w:sz w:val="20"/>
                <w:lang w:val="en-US"/>
              </w:rPr>
              <w:t>"</w:t>
            </w:r>
          </w:p>
        </w:tc>
      </w:tr>
      <w:tr w:rsidR="00DE7477" w:rsidRPr="00DE7477" w14:paraId="7FBD2720" w14:textId="77777777" w:rsidTr="00DE7477">
        <w:trPr>
          <w:trHeight w:val="1530"/>
        </w:trPr>
        <w:tc>
          <w:tcPr>
            <w:tcW w:w="738" w:type="dxa"/>
            <w:hideMark/>
          </w:tcPr>
          <w:p w14:paraId="68E75329"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4323</w:t>
            </w:r>
          </w:p>
        </w:tc>
        <w:tc>
          <w:tcPr>
            <w:tcW w:w="990" w:type="dxa"/>
            <w:hideMark/>
          </w:tcPr>
          <w:p w14:paraId="0D6E2CA1"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2154.47</w:t>
            </w:r>
          </w:p>
        </w:tc>
        <w:tc>
          <w:tcPr>
            <w:tcW w:w="1080" w:type="dxa"/>
            <w:hideMark/>
          </w:tcPr>
          <w:p w14:paraId="56B2E31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11.1.3.8</w:t>
            </w:r>
          </w:p>
        </w:tc>
        <w:tc>
          <w:tcPr>
            <w:tcW w:w="3600" w:type="dxa"/>
            <w:hideMark/>
          </w:tcPr>
          <w:p w14:paraId="27BE076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 decimal value of the 11 LSBs of the AID assigned to an S1G STA shall be" -- the value is the value; the encoding/representation is irrelevant</w:t>
            </w:r>
          </w:p>
        </w:tc>
        <w:tc>
          <w:tcPr>
            <w:tcW w:w="3600" w:type="dxa"/>
            <w:hideMark/>
          </w:tcPr>
          <w:p w14:paraId="402FAAE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"decimal " in the cited text</w:t>
            </w:r>
          </w:p>
        </w:tc>
      </w:tr>
      <w:tr w:rsidR="00DE7477" w:rsidRPr="00DE7477" w14:paraId="5BF7E43F" w14:textId="77777777" w:rsidTr="00DE7477">
        <w:trPr>
          <w:trHeight w:val="1530"/>
        </w:trPr>
        <w:tc>
          <w:tcPr>
            <w:tcW w:w="738" w:type="dxa"/>
            <w:hideMark/>
          </w:tcPr>
          <w:p w14:paraId="1692FF7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4392</w:t>
            </w:r>
          </w:p>
        </w:tc>
        <w:tc>
          <w:tcPr>
            <w:tcW w:w="990" w:type="dxa"/>
            <w:hideMark/>
          </w:tcPr>
          <w:p w14:paraId="205E85F8"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2187.02</w:t>
            </w:r>
          </w:p>
        </w:tc>
        <w:tc>
          <w:tcPr>
            <w:tcW w:w="1080" w:type="dxa"/>
            <w:hideMark/>
          </w:tcPr>
          <w:p w14:paraId="65462E7E"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11.2.3.6</w:t>
            </w:r>
          </w:p>
        </w:tc>
        <w:tc>
          <w:tcPr>
            <w:tcW w:w="3600" w:type="dxa"/>
            <w:hideMark/>
          </w:tcPr>
          <w:p w14:paraId="507288D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is no strictly ordered service class anymore</w:t>
            </w:r>
          </w:p>
        </w:tc>
        <w:tc>
          <w:tcPr>
            <w:tcW w:w="3600" w:type="dxa"/>
            <w:hideMark/>
          </w:tcPr>
          <w:p w14:paraId="54F87D9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In the referenced para delete ", except those that have the </w:t>
            </w:r>
            <w:proofErr w:type="spellStart"/>
            <w:r w:rsidRPr="00DE7477">
              <w:rPr>
                <w:rFonts w:ascii="Arial" w:eastAsia="Times New Roman" w:hAnsi="Arial" w:cs="Arial"/>
                <w:sz w:val="20"/>
                <w:lang w:val="en-US"/>
              </w:rPr>
              <w:t>StrictlyOrdered</w:t>
            </w:r>
            <w:proofErr w:type="spellEnd"/>
            <w:r w:rsidRPr="00DE7477">
              <w:rPr>
                <w:rFonts w:ascii="Arial" w:eastAsia="Times New Roman" w:hAnsi="Arial" w:cs="Arial"/>
                <w:sz w:val="20"/>
                <w:lang w:val="en-US"/>
              </w:rPr>
              <w:t xml:space="preserve"> service</w:t>
            </w:r>
            <w:r w:rsidRPr="00DE7477">
              <w:rPr>
                <w:rFonts w:ascii="Arial" w:eastAsia="Times New Roman" w:hAnsi="Arial" w:cs="Arial"/>
                <w:sz w:val="20"/>
                <w:lang w:val="en-US"/>
              </w:rPr>
              <w:br/>
              <w:t>class" (2x).  In Figure 9-27 delete "/</w:t>
            </w:r>
            <w:r w:rsidRPr="00DE7477">
              <w:rPr>
                <w:rFonts w:ascii="Arial" w:eastAsia="Times New Roman" w:hAnsi="Arial" w:cs="Arial"/>
                <w:sz w:val="20"/>
                <w:lang w:val="en-US"/>
              </w:rPr>
              <w:br/>
              <w:t>Order"</w:t>
            </w:r>
          </w:p>
        </w:tc>
      </w:tr>
      <w:tr w:rsidR="00DE7477" w:rsidRPr="00DE7477" w14:paraId="18F3F57E" w14:textId="77777777" w:rsidTr="00DE7477">
        <w:trPr>
          <w:trHeight w:val="2040"/>
        </w:trPr>
        <w:tc>
          <w:tcPr>
            <w:tcW w:w="738" w:type="dxa"/>
            <w:hideMark/>
          </w:tcPr>
          <w:p w14:paraId="4FFC3A8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4342</w:t>
            </w:r>
          </w:p>
        </w:tc>
        <w:tc>
          <w:tcPr>
            <w:tcW w:w="990" w:type="dxa"/>
            <w:hideMark/>
          </w:tcPr>
          <w:p w14:paraId="1A5E0744"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1563.10</w:t>
            </w:r>
          </w:p>
        </w:tc>
        <w:tc>
          <w:tcPr>
            <w:tcW w:w="1080" w:type="dxa"/>
            <w:hideMark/>
          </w:tcPr>
          <w:p w14:paraId="2449745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9.6.7.36</w:t>
            </w:r>
          </w:p>
        </w:tc>
        <w:tc>
          <w:tcPr>
            <w:tcW w:w="3600" w:type="dxa"/>
            <w:hideMark/>
          </w:tcPr>
          <w:p w14:paraId="3101607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Should qualify the MCS in Table 9-386--FILS Minimum Rate</w:t>
            </w:r>
          </w:p>
        </w:tc>
        <w:tc>
          <w:tcPr>
            <w:tcW w:w="3600" w:type="dxa"/>
            <w:hideMark/>
          </w:tcPr>
          <w:p w14:paraId="1CDE5873"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 Table 9-386--FILS Minimum Rate add "HT-" before "MCS" in the penultimate column, and "VHT-" before "MCS" in the last column (note this covers TVHT via the hand-wavy substitution rules elsewhere)</w:t>
            </w:r>
          </w:p>
        </w:tc>
      </w:tr>
      <w:tr w:rsidR="00DE7477" w:rsidRPr="00DE7477" w14:paraId="11B7EAD0" w14:textId="77777777" w:rsidTr="00DE7477">
        <w:trPr>
          <w:trHeight w:val="1275"/>
        </w:trPr>
        <w:tc>
          <w:tcPr>
            <w:tcW w:w="738" w:type="dxa"/>
            <w:hideMark/>
          </w:tcPr>
          <w:p w14:paraId="621DA1B6"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lastRenderedPageBreak/>
              <w:t>4376</w:t>
            </w:r>
          </w:p>
        </w:tc>
        <w:tc>
          <w:tcPr>
            <w:tcW w:w="990" w:type="dxa"/>
            <w:hideMark/>
          </w:tcPr>
          <w:p w14:paraId="25D1B323"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0.00</w:t>
            </w:r>
          </w:p>
        </w:tc>
        <w:tc>
          <w:tcPr>
            <w:tcW w:w="1080" w:type="dxa"/>
            <w:hideMark/>
          </w:tcPr>
          <w:p w14:paraId="78D20E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w:t>
            </w:r>
          </w:p>
        </w:tc>
        <w:tc>
          <w:tcPr>
            <w:tcW w:w="3600" w:type="dxa"/>
            <w:hideMark/>
          </w:tcPr>
          <w:p w14:paraId="2D7F19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Some of the Frame Control field figures have the wrong bit numbering: the PV should be "B0 B1" not "B1 B2".  Fix in Figure 9-5, 9-6</w:t>
            </w:r>
          </w:p>
        </w:tc>
        <w:tc>
          <w:tcPr>
            <w:tcW w:w="3600" w:type="dxa"/>
            <w:hideMark/>
          </w:tcPr>
          <w:p w14:paraId="0010707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As it says in the comment</w:t>
            </w:r>
          </w:p>
        </w:tc>
      </w:tr>
      <w:tr w:rsidR="00DE7477" w:rsidRPr="00DE7477" w14:paraId="21AE1004" w14:textId="77777777" w:rsidTr="00DE7477">
        <w:trPr>
          <w:trHeight w:val="2040"/>
        </w:trPr>
        <w:tc>
          <w:tcPr>
            <w:tcW w:w="738" w:type="dxa"/>
            <w:hideMark/>
          </w:tcPr>
          <w:p w14:paraId="57B7F60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4373</w:t>
            </w:r>
          </w:p>
        </w:tc>
        <w:tc>
          <w:tcPr>
            <w:tcW w:w="990" w:type="dxa"/>
            <w:hideMark/>
          </w:tcPr>
          <w:p w14:paraId="4765F7C0"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1609.54</w:t>
            </w:r>
          </w:p>
        </w:tc>
        <w:tc>
          <w:tcPr>
            <w:tcW w:w="1080" w:type="dxa"/>
            <w:hideMark/>
          </w:tcPr>
          <w:p w14:paraId="2DDE5186"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9.6.13.20</w:t>
            </w:r>
          </w:p>
        </w:tc>
        <w:tc>
          <w:tcPr>
            <w:tcW w:w="3600" w:type="dxa"/>
            <w:hideMark/>
          </w:tcPr>
          <w:p w14:paraId="44EA542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xml:space="preserve">"Each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starts with the ID and</w:t>
            </w:r>
            <w:r w:rsidRPr="00DE7477">
              <w:rPr>
                <w:rFonts w:ascii="Arial" w:eastAsia="Times New Roman" w:hAnsi="Arial" w:cs="Arial"/>
                <w:sz w:val="20"/>
                <w:lang w:val="en-US"/>
              </w:rPr>
              <w:br/>
              <w:t xml:space="preserve">Length fields. The Length field in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the length of the contents of the </w:t>
            </w:r>
            <w:proofErr w:type="spellStart"/>
            <w:r w:rsidRPr="00DE7477">
              <w:rPr>
                <w:rFonts w:ascii="Arial" w:eastAsia="Times New Roman" w:hAnsi="Arial" w:cs="Arial"/>
                <w:sz w:val="20"/>
                <w:lang w:val="en-US"/>
              </w:rPr>
              <w:t>subelement</w:t>
            </w:r>
            <w:proofErr w:type="spellEnd"/>
            <w:r w:rsidRPr="00DE7477">
              <w:rPr>
                <w:rFonts w:ascii="Arial" w:eastAsia="Times New Roman" w:hAnsi="Arial" w:cs="Arial"/>
                <w:sz w:val="20"/>
                <w:lang w:val="en-US"/>
              </w:rPr>
              <w:t xml:space="preserve">." is duplication of the general rules for </w:t>
            </w:r>
            <w:proofErr w:type="spellStart"/>
            <w:r w:rsidRPr="00DE7477">
              <w:rPr>
                <w:rFonts w:ascii="Arial" w:eastAsia="Times New Roman" w:hAnsi="Arial" w:cs="Arial"/>
                <w:sz w:val="20"/>
                <w:lang w:val="en-US"/>
              </w:rPr>
              <w:t>subelements</w:t>
            </w:r>
            <w:proofErr w:type="spellEnd"/>
          </w:p>
        </w:tc>
        <w:tc>
          <w:tcPr>
            <w:tcW w:w="3600" w:type="dxa"/>
            <w:hideMark/>
          </w:tcPr>
          <w:p w14:paraId="6CAC1BA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the cited text</w:t>
            </w:r>
          </w:p>
        </w:tc>
      </w:tr>
      <w:tr w:rsidR="00DE7477" w:rsidRPr="00DE7477" w14:paraId="63B9D5C9" w14:textId="77777777" w:rsidTr="00DE7477">
        <w:trPr>
          <w:trHeight w:val="765"/>
        </w:trPr>
        <w:tc>
          <w:tcPr>
            <w:tcW w:w="738" w:type="dxa"/>
            <w:hideMark/>
          </w:tcPr>
          <w:p w14:paraId="2DA93967"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4371</w:t>
            </w:r>
          </w:p>
        </w:tc>
        <w:tc>
          <w:tcPr>
            <w:tcW w:w="990" w:type="dxa"/>
            <w:hideMark/>
          </w:tcPr>
          <w:p w14:paraId="500BF6FD"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2376.17</w:t>
            </w:r>
          </w:p>
        </w:tc>
        <w:tc>
          <w:tcPr>
            <w:tcW w:w="1080" w:type="dxa"/>
            <w:hideMark/>
          </w:tcPr>
          <w:p w14:paraId="760F2831"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11.22.6.4</w:t>
            </w:r>
          </w:p>
        </w:tc>
        <w:tc>
          <w:tcPr>
            <w:tcW w:w="3600" w:type="dxa"/>
            <w:hideMark/>
          </w:tcPr>
          <w:p w14:paraId="3E85C94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"initial Fine Timing Request frame" -- no such frame</w:t>
            </w:r>
          </w:p>
        </w:tc>
        <w:tc>
          <w:tcPr>
            <w:tcW w:w="3600" w:type="dxa"/>
            <w:hideMark/>
          </w:tcPr>
          <w:p w14:paraId="2D885F39"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5EA2804F" w14:textId="77777777" w:rsidTr="00DE7477">
        <w:trPr>
          <w:trHeight w:val="765"/>
        </w:trPr>
        <w:tc>
          <w:tcPr>
            <w:tcW w:w="738" w:type="dxa"/>
            <w:hideMark/>
          </w:tcPr>
          <w:p w14:paraId="6B4B76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4370</w:t>
            </w:r>
          </w:p>
        </w:tc>
        <w:tc>
          <w:tcPr>
            <w:tcW w:w="990" w:type="dxa"/>
            <w:hideMark/>
          </w:tcPr>
          <w:p w14:paraId="4901ADB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1353.29</w:t>
            </w:r>
          </w:p>
        </w:tc>
        <w:tc>
          <w:tcPr>
            <w:tcW w:w="1080" w:type="dxa"/>
            <w:hideMark/>
          </w:tcPr>
          <w:p w14:paraId="6071E147"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9.4.2.167</w:t>
            </w:r>
          </w:p>
        </w:tc>
        <w:tc>
          <w:tcPr>
            <w:tcW w:w="3600" w:type="dxa"/>
            <w:hideMark/>
          </w:tcPr>
          <w:p w14:paraId="0BDC498C"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"Fine Timing Request" -- no such frame</w:t>
            </w:r>
          </w:p>
        </w:tc>
        <w:tc>
          <w:tcPr>
            <w:tcW w:w="3600" w:type="dxa"/>
            <w:hideMark/>
          </w:tcPr>
          <w:p w14:paraId="1CFE30C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to "initial Fine Timing Measurement Request frame"</w:t>
            </w:r>
          </w:p>
        </w:tc>
      </w:tr>
      <w:tr w:rsidR="00DE7477" w:rsidRPr="00DE7477" w14:paraId="258CF627" w14:textId="77777777" w:rsidTr="00DE7477">
        <w:trPr>
          <w:trHeight w:val="1275"/>
        </w:trPr>
        <w:tc>
          <w:tcPr>
            <w:tcW w:w="738" w:type="dxa"/>
            <w:hideMark/>
          </w:tcPr>
          <w:p w14:paraId="1B21491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4351</w:t>
            </w:r>
          </w:p>
        </w:tc>
        <w:tc>
          <w:tcPr>
            <w:tcW w:w="990" w:type="dxa"/>
            <w:hideMark/>
          </w:tcPr>
          <w:p w14:paraId="66FEC56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2159.33</w:t>
            </w:r>
          </w:p>
        </w:tc>
        <w:tc>
          <w:tcPr>
            <w:tcW w:w="1080" w:type="dxa"/>
            <w:hideMark/>
          </w:tcPr>
          <w:p w14:paraId="56E737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7F43C0C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e) appears to duplicate d), though d) does not give the destination address</w:t>
            </w:r>
          </w:p>
        </w:tc>
        <w:tc>
          <w:tcPr>
            <w:tcW w:w="3600" w:type="dxa"/>
            <w:hideMark/>
          </w:tcPr>
          <w:p w14:paraId="6548666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e) and in d) after "send zero or more probe requests" add " to the broadcast destination address"</w:t>
            </w:r>
          </w:p>
        </w:tc>
      </w:tr>
      <w:tr w:rsidR="00DE7477" w:rsidRPr="00DE7477" w14:paraId="01C36585" w14:textId="77777777" w:rsidTr="00DE7477">
        <w:trPr>
          <w:trHeight w:val="2295"/>
        </w:trPr>
        <w:tc>
          <w:tcPr>
            <w:tcW w:w="738" w:type="dxa"/>
            <w:hideMark/>
          </w:tcPr>
          <w:p w14:paraId="2BCBF84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4349</w:t>
            </w:r>
          </w:p>
        </w:tc>
        <w:tc>
          <w:tcPr>
            <w:tcW w:w="990" w:type="dxa"/>
            <w:hideMark/>
          </w:tcPr>
          <w:p w14:paraId="4AFFB765"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2159.29</w:t>
            </w:r>
          </w:p>
        </w:tc>
        <w:tc>
          <w:tcPr>
            <w:tcW w:w="1080" w:type="dxa"/>
            <w:hideMark/>
          </w:tcPr>
          <w:p w14:paraId="4F2B791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11.1.4.3.2</w:t>
            </w:r>
          </w:p>
        </w:tc>
        <w:tc>
          <w:tcPr>
            <w:tcW w:w="3600" w:type="dxa"/>
            <w:hideMark/>
          </w:tcPr>
          <w:p w14:paraId="51D1CB5D"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 says "These additional probe</w:t>
            </w:r>
            <w:r w:rsidRPr="00DE7477">
              <w:rPr>
                <w:rFonts w:ascii="Arial" w:eastAsia="Times New Roman" w:hAnsi="Arial" w:cs="Arial"/>
                <w:sz w:val="20"/>
                <w:lang w:val="en-US"/>
              </w:rPr>
              <w:br/>
              <w:t>requests (following step c)) should only carry SSIDs not indicated in the step c) probe request.".  Why is this a should?  There's no point sending probes for stuff that has already been probed</w:t>
            </w:r>
          </w:p>
        </w:tc>
        <w:tc>
          <w:tcPr>
            <w:tcW w:w="3600" w:type="dxa"/>
            <w:hideMark/>
          </w:tcPr>
          <w:p w14:paraId="78737E5B"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Delete "should" in the cited text</w:t>
            </w:r>
          </w:p>
        </w:tc>
      </w:tr>
      <w:tr w:rsidR="00DE7477" w:rsidRPr="00DE7477" w14:paraId="641AA938" w14:textId="77777777" w:rsidTr="00DE7477">
        <w:trPr>
          <w:trHeight w:val="765"/>
        </w:trPr>
        <w:tc>
          <w:tcPr>
            <w:tcW w:w="738" w:type="dxa"/>
            <w:hideMark/>
          </w:tcPr>
          <w:p w14:paraId="401A478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4489</w:t>
            </w:r>
          </w:p>
        </w:tc>
        <w:tc>
          <w:tcPr>
            <w:tcW w:w="990" w:type="dxa"/>
            <w:hideMark/>
          </w:tcPr>
          <w:p w14:paraId="4B37DAD2"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2465.00</w:t>
            </w:r>
          </w:p>
        </w:tc>
        <w:tc>
          <w:tcPr>
            <w:tcW w:w="1080" w:type="dxa"/>
            <w:hideMark/>
          </w:tcPr>
          <w:p w14:paraId="38D278A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11.28.2.2</w:t>
            </w:r>
          </w:p>
        </w:tc>
        <w:tc>
          <w:tcPr>
            <w:tcW w:w="3600" w:type="dxa"/>
            <w:hideMark/>
          </w:tcPr>
          <w:p w14:paraId="7D6BEB7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There are two references to a "Remaining BI field" (singular BI), but there is no such field</w:t>
            </w:r>
          </w:p>
        </w:tc>
        <w:tc>
          <w:tcPr>
            <w:tcW w:w="3600" w:type="dxa"/>
            <w:hideMark/>
          </w:tcPr>
          <w:p w14:paraId="30345E84"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Change each to "Handover Remaining BI field"</w:t>
            </w:r>
          </w:p>
        </w:tc>
      </w:tr>
      <w:tr w:rsidR="00DE7477" w:rsidRPr="00DE7477" w14:paraId="0DBCF626" w14:textId="77777777" w:rsidTr="00DE7477">
        <w:trPr>
          <w:trHeight w:val="765"/>
        </w:trPr>
        <w:tc>
          <w:tcPr>
            <w:tcW w:w="738" w:type="dxa"/>
            <w:hideMark/>
          </w:tcPr>
          <w:p w14:paraId="6DDABD2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4410</w:t>
            </w:r>
          </w:p>
        </w:tc>
        <w:tc>
          <w:tcPr>
            <w:tcW w:w="990" w:type="dxa"/>
            <w:hideMark/>
          </w:tcPr>
          <w:p w14:paraId="7B9886DE" w14:textId="77777777" w:rsidR="00DE7477" w:rsidRPr="00DE7477" w:rsidRDefault="00DE7477" w:rsidP="00DE7477">
            <w:pPr>
              <w:jc w:val="right"/>
              <w:rPr>
                <w:rFonts w:ascii="Arial" w:eastAsia="Times New Roman" w:hAnsi="Arial" w:cs="Arial"/>
                <w:sz w:val="20"/>
                <w:lang w:val="en-US"/>
              </w:rPr>
            </w:pPr>
            <w:r w:rsidRPr="00DE7477">
              <w:rPr>
                <w:rFonts w:ascii="Arial" w:eastAsia="Times New Roman" w:hAnsi="Arial" w:cs="Arial"/>
                <w:sz w:val="20"/>
                <w:lang w:val="en-US"/>
              </w:rPr>
              <w:t>2375.25</w:t>
            </w:r>
          </w:p>
        </w:tc>
        <w:tc>
          <w:tcPr>
            <w:tcW w:w="1080" w:type="dxa"/>
            <w:hideMark/>
          </w:tcPr>
          <w:p w14:paraId="257AE7EA"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11.22.6.3</w:t>
            </w:r>
          </w:p>
        </w:tc>
        <w:tc>
          <w:tcPr>
            <w:tcW w:w="3600" w:type="dxa"/>
            <w:hideMark/>
          </w:tcPr>
          <w:p w14:paraId="771FB9D2"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Parameters field" -- no such field</w:t>
            </w:r>
          </w:p>
        </w:tc>
        <w:tc>
          <w:tcPr>
            <w:tcW w:w="3600" w:type="dxa"/>
            <w:hideMark/>
          </w:tcPr>
          <w:p w14:paraId="1728A7E0" w14:textId="77777777" w:rsidR="00DE7477" w:rsidRPr="00DE7477" w:rsidRDefault="00DE7477" w:rsidP="00DE7477">
            <w:pPr>
              <w:rPr>
                <w:rFonts w:ascii="Arial" w:eastAsia="Times New Roman" w:hAnsi="Arial" w:cs="Arial"/>
                <w:sz w:val="20"/>
                <w:lang w:val="en-US"/>
              </w:rPr>
            </w:pPr>
            <w:r w:rsidRPr="00DE7477">
              <w:rPr>
                <w:rFonts w:ascii="Arial" w:eastAsia="Times New Roman" w:hAnsi="Arial" w:cs="Arial"/>
                <w:sz w:val="20"/>
                <w:lang w:val="en-US"/>
              </w:rPr>
              <w:t>" the Fine Timing Measurement Parameters field"</w:t>
            </w:r>
          </w:p>
        </w:tc>
      </w:tr>
      <w:tr w:rsidR="00873D4A" w:rsidRPr="00DE7477" w14:paraId="2CE3E9CA" w14:textId="77777777" w:rsidTr="00DE7477">
        <w:trPr>
          <w:trHeight w:val="765"/>
        </w:trPr>
        <w:tc>
          <w:tcPr>
            <w:tcW w:w="738" w:type="dxa"/>
          </w:tcPr>
          <w:p w14:paraId="5BD46E25" w14:textId="671F13FC"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4814</w:t>
            </w:r>
          </w:p>
        </w:tc>
        <w:tc>
          <w:tcPr>
            <w:tcW w:w="990" w:type="dxa"/>
          </w:tcPr>
          <w:p w14:paraId="7F9268EA" w14:textId="2E4E9373" w:rsidR="00873D4A" w:rsidRPr="00DE7477" w:rsidRDefault="00873D4A" w:rsidP="00873D4A">
            <w:pPr>
              <w:jc w:val="right"/>
              <w:rPr>
                <w:rFonts w:ascii="Arial" w:eastAsia="Times New Roman" w:hAnsi="Arial" w:cs="Arial"/>
                <w:sz w:val="20"/>
                <w:lang w:val="en-US"/>
              </w:rPr>
            </w:pPr>
            <w:r w:rsidRPr="00233EF1">
              <w:rPr>
                <w:rFonts w:ascii="Arial" w:eastAsia="Times New Roman" w:hAnsi="Arial" w:cs="Arial"/>
                <w:color w:val="000000"/>
                <w:sz w:val="20"/>
                <w:lang w:val="en-US"/>
              </w:rPr>
              <w:t>287.</w:t>
            </w:r>
            <w:r>
              <w:rPr>
                <w:rFonts w:ascii="Arial" w:eastAsia="Times New Roman" w:hAnsi="Arial" w:cs="Arial"/>
                <w:color w:val="000000"/>
                <w:sz w:val="20"/>
                <w:lang w:val="en-US"/>
              </w:rPr>
              <w:t>48</w:t>
            </w:r>
          </w:p>
        </w:tc>
        <w:tc>
          <w:tcPr>
            <w:tcW w:w="1080" w:type="dxa"/>
          </w:tcPr>
          <w:p w14:paraId="2ECFD34B" w14:textId="177B61A5"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4.1</w:t>
            </w:r>
          </w:p>
        </w:tc>
        <w:tc>
          <w:tcPr>
            <w:tcW w:w="3600" w:type="dxa"/>
          </w:tcPr>
          <w:p w14:paraId="75E9A881" w14:textId="735DB9A0"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 xml:space="preserve">The 802.11 Style Guide says clause 4 should be written in </w:t>
            </w:r>
            <w:proofErr w:type="spellStart"/>
            <w:r w:rsidRPr="00233EF1">
              <w:rPr>
                <w:rFonts w:ascii="Arial" w:eastAsia="Times New Roman" w:hAnsi="Arial" w:cs="Arial"/>
                <w:color w:val="000000"/>
                <w:sz w:val="20"/>
                <w:lang w:val="en-US"/>
              </w:rPr>
              <w:t>delcarative</w:t>
            </w:r>
            <w:proofErr w:type="spellEnd"/>
            <w:r w:rsidRPr="00233EF1">
              <w:rPr>
                <w:rFonts w:ascii="Arial" w:eastAsia="Times New Roman" w:hAnsi="Arial" w:cs="Arial"/>
                <w:color w:val="000000"/>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tcPr>
          <w:p w14:paraId="1FF248EA" w14:textId="6DA7224A" w:rsidR="00873D4A" w:rsidRPr="00DE7477" w:rsidRDefault="00873D4A" w:rsidP="00873D4A">
            <w:pPr>
              <w:rPr>
                <w:rFonts w:ascii="Arial" w:eastAsia="Times New Roman" w:hAnsi="Arial" w:cs="Arial"/>
                <w:sz w:val="20"/>
                <w:lang w:val="en-US"/>
              </w:rPr>
            </w:pPr>
            <w:r w:rsidRPr="00233EF1">
              <w:rPr>
                <w:rFonts w:ascii="Arial" w:eastAsia="Times New Roman" w:hAnsi="Arial" w:cs="Arial"/>
                <w:color w:val="000000"/>
                <w:sz w:val="20"/>
                <w:lang w:val="en-US"/>
              </w:rPr>
              <w:t>At least 4.10, and potentially all of clause 4, needs to be scrubbed for details that are beyond "general description" and/or are the best/only normative specification in the Standard of any behaviors, and move such text to a later clause.</w:t>
            </w:r>
          </w:p>
        </w:tc>
      </w:tr>
      <w:tr w:rsidR="00873D4A" w:rsidRPr="00DE7477" w14:paraId="61B1DE23" w14:textId="77777777" w:rsidTr="00DE7477">
        <w:trPr>
          <w:trHeight w:val="765"/>
        </w:trPr>
        <w:tc>
          <w:tcPr>
            <w:tcW w:w="738" w:type="dxa"/>
          </w:tcPr>
          <w:p w14:paraId="652B66D9" w14:textId="7FA3C2D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lastRenderedPageBreak/>
              <w:t>4813</w:t>
            </w:r>
          </w:p>
        </w:tc>
        <w:tc>
          <w:tcPr>
            <w:tcW w:w="990" w:type="dxa"/>
          </w:tcPr>
          <w:p w14:paraId="4D1575D0" w14:textId="4875F7E3"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769.</w:t>
            </w:r>
            <w:r>
              <w:rPr>
                <w:rFonts w:ascii="Arial" w:eastAsia="Times New Roman" w:hAnsi="Arial" w:cs="Arial"/>
                <w:color w:val="000000"/>
                <w:sz w:val="20"/>
                <w:lang w:val="en-US"/>
              </w:rPr>
              <w:t>44</w:t>
            </w:r>
          </w:p>
        </w:tc>
        <w:tc>
          <w:tcPr>
            <w:tcW w:w="1080" w:type="dxa"/>
          </w:tcPr>
          <w:p w14:paraId="4B558461" w14:textId="70B3943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8.3.5.6.2</w:t>
            </w:r>
          </w:p>
        </w:tc>
        <w:tc>
          <w:tcPr>
            <w:tcW w:w="3600" w:type="dxa"/>
          </w:tcPr>
          <w:p w14:paraId="2AC45295" w14:textId="34499FC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8.3.5.6.2 says "The required PHY parameters are listed in 8.3.4.3 (PHY SAP service </w:t>
            </w:r>
            <w:proofErr w:type="gramStart"/>
            <w:r w:rsidRPr="00233EF1">
              <w:rPr>
                <w:rFonts w:ascii="Arial" w:eastAsia="Times New Roman" w:hAnsi="Arial" w:cs="Arial"/>
                <w:color w:val="000000"/>
                <w:sz w:val="20"/>
                <w:lang w:val="en-US"/>
              </w:rPr>
              <w:t>primitives</w:t>
            </w:r>
            <w:proofErr w:type="gramEnd"/>
            <w:r w:rsidRPr="00233EF1">
              <w:rPr>
                <w:rFonts w:ascii="Arial" w:eastAsia="Times New Roman" w:hAnsi="Arial" w:cs="Arial"/>
                <w:color w:val="000000"/>
                <w:sz w:val="20"/>
                <w:lang w:val="en-US"/>
              </w:rPr>
              <w:t xml:space="preserve"> parameters)." But, 8.3.4.3 just says "A set of parameters" for PHY-</w:t>
            </w:r>
            <w:proofErr w:type="spellStart"/>
            <w:r w:rsidRPr="00233EF1">
              <w:rPr>
                <w:rFonts w:ascii="Arial" w:eastAsia="Times New Roman" w:hAnsi="Arial" w:cs="Arial"/>
                <w:color w:val="000000"/>
                <w:sz w:val="20"/>
                <w:lang w:val="en-US"/>
              </w:rPr>
              <w:t>TXSTART.confirm</w:t>
            </w:r>
            <w:proofErr w:type="spellEnd"/>
            <w:r w:rsidRPr="00233EF1">
              <w:rPr>
                <w:rFonts w:ascii="Arial" w:eastAsia="Times New Roman" w:hAnsi="Arial" w:cs="Arial"/>
                <w:color w:val="000000"/>
                <w:sz w:val="20"/>
                <w:lang w:val="en-US"/>
              </w:rPr>
              <w:t xml:space="preserve"> (</w:t>
            </w:r>
            <w:proofErr w:type="gramStart"/>
            <w:r w:rsidRPr="00233EF1">
              <w:rPr>
                <w:rFonts w:ascii="Arial" w:eastAsia="Times New Roman" w:hAnsi="Arial" w:cs="Arial"/>
                <w:color w:val="000000"/>
                <w:sz w:val="20"/>
                <w:lang w:val="en-US"/>
              </w:rPr>
              <w:t>and .request</w:t>
            </w:r>
            <w:proofErr w:type="gramEnd"/>
            <w:r w:rsidRPr="00233EF1">
              <w:rPr>
                <w:rFonts w:ascii="Arial" w:eastAsia="Times New Roman" w:hAnsi="Arial" w:cs="Arial"/>
                <w:color w:val="000000"/>
                <w:sz w:val="20"/>
                <w:lang w:val="en-US"/>
              </w:rPr>
              <w:t>).</w:t>
            </w:r>
          </w:p>
        </w:tc>
        <w:tc>
          <w:tcPr>
            <w:tcW w:w="3600" w:type="dxa"/>
          </w:tcPr>
          <w:p w14:paraId="48A0F3B2" w14:textId="078460B4"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102645F0" w14:textId="77777777" w:rsidTr="00DE7477">
        <w:trPr>
          <w:trHeight w:val="765"/>
        </w:trPr>
        <w:tc>
          <w:tcPr>
            <w:tcW w:w="738" w:type="dxa"/>
          </w:tcPr>
          <w:p w14:paraId="173EC4BE" w14:textId="2755D165"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4812</w:t>
            </w:r>
          </w:p>
        </w:tc>
        <w:tc>
          <w:tcPr>
            <w:tcW w:w="990" w:type="dxa"/>
          </w:tcPr>
          <w:p w14:paraId="5E0E60A6" w14:textId="224ED4E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308.0</w:t>
            </w:r>
            <w:r>
              <w:rPr>
                <w:rFonts w:ascii="Arial" w:eastAsia="Times New Roman" w:hAnsi="Arial" w:cs="Arial"/>
                <w:color w:val="000000"/>
                <w:sz w:val="20"/>
                <w:lang w:val="en-US"/>
              </w:rPr>
              <w:t>1</w:t>
            </w:r>
          </w:p>
        </w:tc>
        <w:tc>
          <w:tcPr>
            <w:tcW w:w="1080" w:type="dxa"/>
          </w:tcPr>
          <w:p w14:paraId="689E9FE9" w14:textId="454B5BA5"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5.1.5.7</w:t>
            </w:r>
          </w:p>
        </w:tc>
        <w:tc>
          <w:tcPr>
            <w:tcW w:w="3600" w:type="dxa"/>
          </w:tcPr>
          <w:p w14:paraId="2869A528" w14:textId="770790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There's no figure in clause 5 (like Figure 5-7) for a DMG Relay.</w:t>
            </w:r>
          </w:p>
        </w:tc>
        <w:tc>
          <w:tcPr>
            <w:tcW w:w="3600" w:type="dxa"/>
          </w:tcPr>
          <w:p w14:paraId="77F1BE81" w14:textId="7847E37E"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707D3B44" w14:textId="77777777" w:rsidTr="00DE7477">
        <w:trPr>
          <w:trHeight w:val="765"/>
        </w:trPr>
        <w:tc>
          <w:tcPr>
            <w:tcW w:w="738" w:type="dxa"/>
          </w:tcPr>
          <w:p w14:paraId="0D5DDFD3" w14:textId="0F57914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4784</w:t>
            </w:r>
          </w:p>
        </w:tc>
        <w:tc>
          <w:tcPr>
            <w:tcW w:w="990" w:type="dxa"/>
          </w:tcPr>
          <w:p w14:paraId="6560695B" w14:textId="2D6DD22C"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3857.0</w:t>
            </w:r>
            <w:r>
              <w:rPr>
                <w:rFonts w:ascii="Arial" w:eastAsia="Times New Roman" w:hAnsi="Arial" w:cs="Arial"/>
                <w:color w:val="000000"/>
                <w:sz w:val="20"/>
                <w:lang w:val="en-US"/>
              </w:rPr>
              <w:t>8</w:t>
            </w:r>
          </w:p>
        </w:tc>
        <w:tc>
          <w:tcPr>
            <w:tcW w:w="1080" w:type="dxa"/>
          </w:tcPr>
          <w:p w14:paraId="3EB6C1BE" w14:textId="6924B959"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C.3</w:t>
            </w:r>
          </w:p>
        </w:tc>
        <w:tc>
          <w:tcPr>
            <w:tcW w:w="3600" w:type="dxa"/>
          </w:tcPr>
          <w:p w14:paraId="04336F44" w14:textId="40E7839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Put the DESCRIPTION for 11ak MIB attributes in the standard layout.</w:t>
            </w:r>
          </w:p>
        </w:tc>
        <w:tc>
          <w:tcPr>
            <w:tcW w:w="3600" w:type="dxa"/>
          </w:tcPr>
          <w:p w14:paraId="444043FE" w14:textId="0CB02627"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A submission will be provided.</w:t>
            </w:r>
          </w:p>
        </w:tc>
      </w:tr>
      <w:tr w:rsidR="00873D4A" w:rsidRPr="00DE7477" w14:paraId="272E6FB1" w14:textId="77777777" w:rsidTr="00DE7477">
        <w:trPr>
          <w:trHeight w:val="765"/>
        </w:trPr>
        <w:tc>
          <w:tcPr>
            <w:tcW w:w="738" w:type="dxa"/>
          </w:tcPr>
          <w:p w14:paraId="42004CCC" w14:textId="3B7FB41D"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4768</w:t>
            </w:r>
          </w:p>
        </w:tc>
        <w:tc>
          <w:tcPr>
            <w:tcW w:w="990" w:type="dxa"/>
          </w:tcPr>
          <w:p w14:paraId="208EF704" w14:textId="2D2D9C12" w:rsidR="00873D4A" w:rsidRPr="00233EF1" w:rsidRDefault="00873D4A" w:rsidP="00873D4A">
            <w:pPr>
              <w:jc w:val="right"/>
              <w:rPr>
                <w:rFonts w:ascii="Arial" w:eastAsia="Times New Roman" w:hAnsi="Arial" w:cs="Arial"/>
                <w:color w:val="000000"/>
                <w:sz w:val="20"/>
                <w:lang w:val="en-US"/>
              </w:rPr>
            </w:pPr>
            <w:r w:rsidRPr="00233EF1">
              <w:rPr>
                <w:rFonts w:ascii="Arial" w:eastAsia="Times New Roman" w:hAnsi="Arial" w:cs="Arial"/>
                <w:color w:val="000000"/>
                <w:sz w:val="20"/>
                <w:lang w:val="en-US"/>
              </w:rPr>
              <w:t>680.</w:t>
            </w:r>
            <w:r>
              <w:rPr>
                <w:rFonts w:ascii="Arial" w:eastAsia="Times New Roman" w:hAnsi="Arial" w:cs="Arial"/>
                <w:color w:val="000000"/>
                <w:sz w:val="20"/>
                <w:lang w:val="en-US"/>
              </w:rPr>
              <w:t>44</w:t>
            </w:r>
          </w:p>
        </w:tc>
        <w:tc>
          <w:tcPr>
            <w:tcW w:w="1080" w:type="dxa"/>
          </w:tcPr>
          <w:p w14:paraId="27A7242E" w14:textId="49C928B8"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6.3.97.2.2</w:t>
            </w:r>
          </w:p>
        </w:tc>
        <w:tc>
          <w:tcPr>
            <w:tcW w:w="3600" w:type="dxa"/>
          </w:tcPr>
          <w:p w14:paraId="5223B660" w14:textId="452BEDF0"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 xml:space="preserve">The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parameter appears to be an entire CVS frame (as defined in 9.6.7.27), when the only information </w:t>
            </w:r>
            <w:proofErr w:type="gramStart"/>
            <w:r w:rsidRPr="00233EF1">
              <w:rPr>
                <w:rFonts w:ascii="Arial" w:eastAsia="Times New Roman" w:hAnsi="Arial" w:cs="Arial"/>
                <w:color w:val="000000"/>
                <w:sz w:val="20"/>
                <w:lang w:val="en-US"/>
              </w:rPr>
              <w:t>actually conveyed</w:t>
            </w:r>
            <w:proofErr w:type="gramEnd"/>
            <w:r w:rsidRPr="00233EF1">
              <w:rPr>
                <w:rFonts w:ascii="Arial" w:eastAsia="Times New Roman" w:hAnsi="Arial" w:cs="Arial"/>
                <w:color w:val="000000"/>
                <w:sz w:val="20"/>
                <w:lang w:val="en-US"/>
              </w:rPr>
              <w:t xml:space="preserve"> is the Map ID. The rest of the frame format is (should be) known only to the MAC, and not the user of the MLME SAP.</w:t>
            </w:r>
          </w:p>
        </w:tc>
        <w:tc>
          <w:tcPr>
            <w:tcW w:w="3600" w:type="dxa"/>
          </w:tcPr>
          <w:p w14:paraId="3F186D85" w14:textId="4153FAE3" w:rsidR="00873D4A" w:rsidRPr="00233EF1" w:rsidRDefault="00873D4A" w:rsidP="00873D4A">
            <w:pPr>
              <w:rPr>
                <w:rFonts w:ascii="Arial" w:eastAsia="Times New Roman" w:hAnsi="Arial" w:cs="Arial"/>
                <w:color w:val="000000"/>
                <w:sz w:val="20"/>
                <w:lang w:val="en-US"/>
              </w:rPr>
            </w:pPr>
            <w:r w:rsidRPr="00233EF1">
              <w:rPr>
                <w:rFonts w:ascii="Arial" w:eastAsia="Times New Roman" w:hAnsi="Arial" w:cs="Arial"/>
                <w:color w:val="000000"/>
                <w:sz w:val="20"/>
                <w:lang w:val="en-US"/>
              </w:rPr>
              <w:t>Change "</w:t>
            </w:r>
            <w:proofErr w:type="spellStart"/>
            <w:r w:rsidRPr="00233EF1">
              <w:rPr>
                <w:rFonts w:ascii="Arial" w:eastAsia="Times New Roman" w:hAnsi="Arial" w:cs="Arial"/>
                <w:color w:val="000000"/>
                <w:sz w:val="20"/>
                <w:lang w:val="en-US"/>
              </w:rPr>
              <w:t>ContactVerificationSignal</w:t>
            </w:r>
            <w:proofErr w:type="spellEnd"/>
            <w:r w:rsidRPr="00233EF1">
              <w:rPr>
                <w:rFonts w:ascii="Arial" w:eastAsia="Times New Roman" w:hAnsi="Arial" w:cs="Arial"/>
                <w:color w:val="000000"/>
                <w:sz w:val="20"/>
                <w:lang w:val="en-US"/>
              </w:rPr>
              <w:t xml:space="preserve">" to "Map ID" in the parameter list and parameter table. In the parameter table's Description column, replace the text with, "The Map ID field is set to a number that is equal to the Map ID of the recently received WSM, which is being </w:t>
            </w:r>
            <w:proofErr w:type="spellStart"/>
            <w:r w:rsidRPr="00233EF1">
              <w:rPr>
                <w:rFonts w:ascii="Arial" w:eastAsia="Times New Roman" w:hAnsi="Arial" w:cs="Arial"/>
                <w:color w:val="000000"/>
                <w:sz w:val="20"/>
                <w:lang w:val="en-US"/>
              </w:rPr>
              <w:t>verified."This</w:t>
            </w:r>
            <w:proofErr w:type="spellEnd"/>
            <w:r w:rsidRPr="00233EF1">
              <w:rPr>
                <w:rFonts w:ascii="Arial" w:eastAsia="Times New Roman" w:hAnsi="Arial" w:cs="Arial"/>
                <w:color w:val="000000"/>
                <w:sz w:val="20"/>
                <w:lang w:val="en-US"/>
              </w:rPr>
              <w:t xml:space="preserve"> pattern of passing a frame, instead of information content, is found elsewhere, such as other primitives for the CVS/GDD function (including GDD Enablement Response), and the FT ("REMOTE-REQUEST"), Mesh peering management, Channel Availability Query, and Network Channel Control functions. A contribution will be provided for proposed changes to address these.</w:t>
            </w:r>
          </w:p>
        </w:tc>
      </w:tr>
    </w:tbl>
    <w:p w14:paraId="0ABD2CF2" w14:textId="4990F518" w:rsidR="00C45154" w:rsidRDefault="00C45154" w:rsidP="008A162E"/>
    <w:p w14:paraId="251F9419" w14:textId="77777777" w:rsidR="00C45154" w:rsidRDefault="00C45154">
      <w:r>
        <w:br w:type="page"/>
      </w:r>
    </w:p>
    <w:p w14:paraId="0EF81B4E" w14:textId="77777777" w:rsidR="00067CE1" w:rsidRPr="00067CE1" w:rsidRDefault="00067CE1"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sectPr w:rsidR="00BA31EC" w:rsidSect="009E579C">
      <w:headerReference w:type="default" r:id="rId76"/>
      <w:footerReference w:type="default" r:id="rId7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B029A2" w14:textId="77777777" w:rsidR="009C0D19" w:rsidRDefault="009C0D19">
      <w:r>
        <w:separator/>
      </w:r>
    </w:p>
  </w:endnote>
  <w:endnote w:type="continuationSeparator" w:id="0">
    <w:p w14:paraId="10E5E36E" w14:textId="77777777" w:rsidR="009C0D19" w:rsidRDefault="009C0D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655E6364" w:rsidR="005C22F6" w:rsidRDefault="009C0D19" w:rsidP="00070C53">
    <w:pPr>
      <w:pStyle w:val="Footer"/>
      <w:tabs>
        <w:tab w:val="clear" w:pos="6480"/>
        <w:tab w:val="center" w:pos="4680"/>
        <w:tab w:val="right" w:pos="9360"/>
      </w:tabs>
    </w:pPr>
    <w:r>
      <w:fldChar w:fldCharType="begin"/>
    </w:r>
    <w:r>
      <w:instrText xml:space="preserve"> SUBJECT  \* MERGEFORMAT </w:instrText>
    </w:r>
    <w:r>
      <w:fldChar w:fldCharType="separate"/>
    </w:r>
    <w:r w:rsidR="005C22F6">
      <w:t>Submission</w:t>
    </w:r>
    <w:r>
      <w:fldChar w:fldCharType="end"/>
    </w:r>
    <w:r w:rsidR="005C22F6">
      <w:tab/>
      <w:t xml:space="preserve">page </w:t>
    </w:r>
    <w:r w:rsidR="005C22F6">
      <w:fldChar w:fldCharType="begin"/>
    </w:r>
    <w:r w:rsidR="005C22F6">
      <w:instrText xml:space="preserve">page </w:instrText>
    </w:r>
    <w:r w:rsidR="005C22F6">
      <w:fldChar w:fldCharType="separate"/>
    </w:r>
    <w:r w:rsidR="005C22F6">
      <w:rPr>
        <w:noProof/>
      </w:rPr>
      <w:t>4</w:t>
    </w:r>
    <w:r w:rsidR="005C22F6">
      <w:rPr>
        <w:noProof/>
      </w:rPr>
      <w:fldChar w:fldCharType="end"/>
    </w:r>
    <w:r w:rsidR="005C22F6">
      <w:tab/>
      <w:t>Mark Hamilton, Ruckus/CommScope</w:t>
    </w:r>
  </w:p>
  <w:p w14:paraId="5B8624E2" w14:textId="77777777" w:rsidR="005C22F6" w:rsidRDefault="005C22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A04BE8" w14:textId="77777777" w:rsidR="009C0D19" w:rsidRDefault="009C0D19">
      <w:r>
        <w:separator/>
      </w:r>
    </w:p>
  </w:footnote>
  <w:footnote w:type="continuationSeparator" w:id="0">
    <w:p w14:paraId="5084D185" w14:textId="77777777" w:rsidR="009C0D19" w:rsidRDefault="009C0D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9088224" w:rsidR="005C22F6" w:rsidRDefault="005C22F6" w:rsidP="005942A6">
    <w:pPr>
      <w:pStyle w:val="Header"/>
      <w:tabs>
        <w:tab w:val="clear" w:pos="6480"/>
        <w:tab w:val="center" w:pos="4680"/>
        <w:tab w:val="right" w:pos="9360"/>
      </w:tabs>
    </w:pPr>
    <w:r>
      <w:t>February 2020</w:t>
    </w:r>
    <w:r>
      <w:tab/>
    </w:r>
    <w:r>
      <w:tab/>
    </w:r>
    <w:r w:rsidR="009C0D19">
      <w:fldChar w:fldCharType="begin"/>
    </w:r>
    <w:r w:rsidR="009C0D19">
      <w:instrText xml:space="preserve"> TITLE  \* MERGEFORMAT </w:instrText>
    </w:r>
    <w:r w:rsidR="009C0D19">
      <w:fldChar w:fldCharType="separate"/>
    </w:r>
    <w:r>
      <w:t>doc.: IEEE 802.11-20/0338r</w:t>
    </w:r>
    <w:r w:rsidR="00D749F3">
      <w:t>1</w:t>
    </w:r>
    <w:r w:rsidR="009C0D19">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0A348D"/>
    <w:multiLevelType w:val="hybridMultilevel"/>
    <w:tmpl w:val="79C4C77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F2763"/>
    <w:multiLevelType w:val="hybridMultilevel"/>
    <w:tmpl w:val="3D9E283A"/>
    <w:lvl w:ilvl="0" w:tplc="58D426E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8"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7"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393014"/>
    <w:multiLevelType w:val="hybridMultilevel"/>
    <w:tmpl w:val="8D823AEC"/>
    <w:lvl w:ilvl="0" w:tplc="C48EFA5E">
      <w:start w:val="9"/>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13"/>
  </w:num>
  <w:num w:numId="3">
    <w:abstractNumId w:val="19"/>
  </w:num>
  <w:num w:numId="4">
    <w:abstractNumId w:val="3"/>
  </w:num>
  <w:num w:numId="5">
    <w:abstractNumId w:val="36"/>
  </w:num>
  <w:num w:numId="6">
    <w:abstractNumId w:val="35"/>
  </w:num>
  <w:num w:numId="7">
    <w:abstractNumId w:val="7"/>
  </w:num>
  <w:num w:numId="8">
    <w:abstractNumId w:val="14"/>
  </w:num>
  <w:num w:numId="9">
    <w:abstractNumId w:val="18"/>
  </w:num>
  <w:num w:numId="10">
    <w:abstractNumId w:val="22"/>
  </w:num>
  <w:num w:numId="11">
    <w:abstractNumId w:val="41"/>
  </w:num>
  <w:num w:numId="12">
    <w:abstractNumId w:val="23"/>
  </w:num>
  <w:num w:numId="13">
    <w:abstractNumId w:val="9"/>
  </w:num>
  <w:num w:numId="14">
    <w:abstractNumId w:val="30"/>
  </w:num>
  <w:num w:numId="15">
    <w:abstractNumId w:val="8"/>
  </w:num>
  <w:num w:numId="16">
    <w:abstractNumId w:val="0"/>
  </w:num>
  <w:num w:numId="17">
    <w:abstractNumId w:val="32"/>
  </w:num>
  <w:num w:numId="18">
    <w:abstractNumId w:val="21"/>
  </w:num>
  <w:num w:numId="19">
    <w:abstractNumId w:val="34"/>
  </w:num>
  <w:num w:numId="20">
    <w:abstractNumId w:val="4"/>
  </w:num>
  <w:num w:numId="21">
    <w:abstractNumId w:val="1"/>
  </w:num>
  <w:num w:numId="22">
    <w:abstractNumId w:val="24"/>
  </w:num>
  <w:num w:numId="23">
    <w:abstractNumId w:val="6"/>
  </w:num>
  <w:num w:numId="24">
    <w:abstractNumId w:val="16"/>
  </w:num>
  <w:num w:numId="25">
    <w:abstractNumId w:val="31"/>
  </w:num>
  <w:num w:numId="26">
    <w:abstractNumId w:val="25"/>
  </w:num>
  <w:num w:numId="27">
    <w:abstractNumId w:val="15"/>
  </w:num>
  <w:num w:numId="28">
    <w:abstractNumId w:val="37"/>
  </w:num>
  <w:num w:numId="29">
    <w:abstractNumId w:val="38"/>
  </w:num>
  <w:num w:numId="30">
    <w:abstractNumId w:val="27"/>
  </w:num>
  <w:num w:numId="31">
    <w:abstractNumId w:val="29"/>
  </w:num>
  <w:num w:numId="32">
    <w:abstractNumId w:val="20"/>
  </w:num>
  <w:num w:numId="33">
    <w:abstractNumId w:val="39"/>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7"/>
  </w:num>
  <w:num w:numId="37">
    <w:abstractNumId w:val="28"/>
  </w:num>
  <w:num w:numId="38">
    <w:abstractNumId w:val="10"/>
  </w:num>
  <w:num w:numId="39">
    <w:abstractNumId w:val="11"/>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6A7"/>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5DBC"/>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1A9"/>
    <w:rsid w:val="0005621D"/>
    <w:rsid w:val="00056A24"/>
    <w:rsid w:val="00060927"/>
    <w:rsid w:val="00061F9D"/>
    <w:rsid w:val="0006302E"/>
    <w:rsid w:val="00063387"/>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77F49"/>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985"/>
    <w:rsid w:val="000B2A39"/>
    <w:rsid w:val="000B5131"/>
    <w:rsid w:val="000B535F"/>
    <w:rsid w:val="000B57A8"/>
    <w:rsid w:val="000B5C4C"/>
    <w:rsid w:val="000B7C86"/>
    <w:rsid w:val="000C0F6F"/>
    <w:rsid w:val="000C1613"/>
    <w:rsid w:val="000C372E"/>
    <w:rsid w:val="000C3891"/>
    <w:rsid w:val="000C5BCC"/>
    <w:rsid w:val="000C6E75"/>
    <w:rsid w:val="000D077C"/>
    <w:rsid w:val="000D1E62"/>
    <w:rsid w:val="000D1E8B"/>
    <w:rsid w:val="000D2589"/>
    <w:rsid w:val="000D2D95"/>
    <w:rsid w:val="000D3071"/>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E7409"/>
    <w:rsid w:val="000F0F65"/>
    <w:rsid w:val="000F1E4D"/>
    <w:rsid w:val="000F2320"/>
    <w:rsid w:val="000F25F3"/>
    <w:rsid w:val="000F33EC"/>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3658"/>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12F0"/>
    <w:rsid w:val="001631EA"/>
    <w:rsid w:val="001640EF"/>
    <w:rsid w:val="001641E4"/>
    <w:rsid w:val="00164628"/>
    <w:rsid w:val="001651E8"/>
    <w:rsid w:val="001658A9"/>
    <w:rsid w:val="00165A10"/>
    <w:rsid w:val="00165C1C"/>
    <w:rsid w:val="001668A6"/>
    <w:rsid w:val="00166AFB"/>
    <w:rsid w:val="001670D8"/>
    <w:rsid w:val="00167858"/>
    <w:rsid w:val="001678C2"/>
    <w:rsid w:val="001678FD"/>
    <w:rsid w:val="0016790D"/>
    <w:rsid w:val="00167931"/>
    <w:rsid w:val="001701F5"/>
    <w:rsid w:val="0017056B"/>
    <w:rsid w:val="0017281E"/>
    <w:rsid w:val="00175711"/>
    <w:rsid w:val="00175E7F"/>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3E0"/>
    <w:rsid w:val="00192743"/>
    <w:rsid w:val="00192BC9"/>
    <w:rsid w:val="00193C02"/>
    <w:rsid w:val="00194FBD"/>
    <w:rsid w:val="00195336"/>
    <w:rsid w:val="0019534C"/>
    <w:rsid w:val="00195354"/>
    <w:rsid w:val="00195ED7"/>
    <w:rsid w:val="00196990"/>
    <w:rsid w:val="00197BBD"/>
    <w:rsid w:val="001A09C8"/>
    <w:rsid w:val="001A0CA3"/>
    <w:rsid w:val="001A0D43"/>
    <w:rsid w:val="001A0FF2"/>
    <w:rsid w:val="001A1739"/>
    <w:rsid w:val="001A1B4F"/>
    <w:rsid w:val="001A1D16"/>
    <w:rsid w:val="001A5D0B"/>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6ECF"/>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56"/>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94"/>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6AC1"/>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3EF1"/>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0E"/>
    <w:rsid w:val="0025536B"/>
    <w:rsid w:val="002558FF"/>
    <w:rsid w:val="00255BCA"/>
    <w:rsid w:val="00256B72"/>
    <w:rsid w:val="00256E50"/>
    <w:rsid w:val="00257727"/>
    <w:rsid w:val="00257CD4"/>
    <w:rsid w:val="002600B6"/>
    <w:rsid w:val="00260223"/>
    <w:rsid w:val="00260B6B"/>
    <w:rsid w:val="00260ED3"/>
    <w:rsid w:val="0026101F"/>
    <w:rsid w:val="00261EB2"/>
    <w:rsid w:val="00263BE5"/>
    <w:rsid w:val="00263E45"/>
    <w:rsid w:val="00264DA4"/>
    <w:rsid w:val="002674F3"/>
    <w:rsid w:val="00267581"/>
    <w:rsid w:val="0027037B"/>
    <w:rsid w:val="0027046F"/>
    <w:rsid w:val="00270660"/>
    <w:rsid w:val="00270FC0"/>
    <w:rsid w:val="00270FED"/>
    <w:rsid w:val="0027127C"/>
    <w:rsid w:val="00272D9D"/>
    <w:rsid w:val="00273274"/>
    <w:rsid w:val="0027514D"/>
    <w:rsid w:val="002752A2"/>
    <w:rsid w:val="00275968"/>
    <w:rsid w:val="00276300"/>
    <w:rsid w:val="00276346"/>
    <w:rsid w:val="00276D9C"/>
    <w:rsid w:val="002775D0"/>
    <w:rsid w:val="00277834"/>
    <w:rsid w:val="00280BFB"/>
    <w:rsid w:val="0028193B"/>
    <w:rsid w:val="0028288D"/>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6D8"/>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1F7F"/>
    <w:rsid w:val="002C20C9"/>
    <w:rsid w:val="002C220C"/>
    <w:rsid w:val="002C28D7"/>
    <w:rsid w:val="002C2EAB"/>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576"/>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0120"/>
    <w:rsid w:val="00342441"/>
    <w:rsid w:val="00343012"/>
    <w:rsid w:val="003436A8"/>
    <w:rsid w:val="00343D18"/>
    <w:rsid w:val="0034412B"/>
    <w:rsid w:val="00346828"/>
    <w:rsid w:val="00346A6C"/>
    <w:rsid w:val="003479FD"/>
    <w:rsid w:val="003507C5"/>
    <w:rsid w:val="00351580"/>
    <w:rsid w:val="00351C11"/>
    <w:rsid w:val="00351CD7"/>
    <w:rsid w:val="00352422"/>
    <w:rsid w:val="003534BC"/>
    <w:rsid w:val="00353B91"/>
    <w:rsid w:val="00354453"/>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4A5C"/>
    <w:rsid w:val="003752A1"/>
    <w:rsid w:val="003760BD"/>
    <w:rsid w:val="00377940"/>
    <w:rsid w:val="00377D83"/>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5BE3"/>
    <w:rsid w:val="003A62F2"/>
    <w:rsid w:val="003A7791"/>
    <w:rsid w:val="003B03DD"/>
    <w:rsid w:val="003B1B6B"/>
    <w:rsid w:val="003B34EC"/>
    <w:rsid w:val="003B3533"/>
    <w:rsid w:val="003B353B"/>
    <w:rsid w:val="003B3BCC"/>
    <w:rsid w:val="003B41B4"/>
    <w:rsid w:val="003B4D61"/>
    <w:rsid w:val="003B4DC6"/>
    <w:rsid w:val="003B4F42"/>
    <w:rsid w:val="003B52E6"/>
    <w:rsid w:val="003B56C6"/>
    <w:rsid w:val="003B72BF"/>
    <w:rsid w:val="003B7386"/>
    <w:rsid w:val="003C2E87"/>
    <w:rsid w:val="003C31AC"/>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5EB5"/>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4A21"/>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7D1"/>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27DF3"/>
    <w:rsid w:val="004303FA"/>
    <w:rsid w:val="00430A2C"/>
    <w:rsid w:val="00432AFC"/>
    <w:rsid w:val="004333F9"/>
    <w:rsid w:val="00433924"/>
    <w:rsid w:val="00434018"/>
    <w:rsid w:val="004349A6"/>
    <w:rsid w:val="00435046"/>
    <w:rsid w:val="00435CE4"/>
    <w:rsid w:val="00435DAD"/>
    <w:rsid w:val="00436466"/>
    <w:rsid w:val="00436694"/>
    <w:rsid w:val="0043721C"/>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47AE"/>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4AB"/>
    <w:rsid w:val="0049287F"/>
    <w:rsid w:val="004940D6"/>
    <w:rsid w:val="004944FB"/>
    <w:rsid w:val="00494F31"/>
    <w:rsid w:val="004956B1"/>
    <w:rsid w:val="00495CAC"/>
    <w:rsid w:val="00495E7D"/>
    <w:rsid w:val="00496291"/>
    <w:rsid w:val="004964AA"/>
    <w:rsid w:val="00496849"/>
    <w:rsid w:val="00496B0A"/>
    <w:rsid w:val="00496B7A"/>
    <w:rsid w:val="004A0FFC"/>
    <w:rsid w:val="004A18AB"/>
    <w:rsid w:val="004A29FD"/>
    <w:rsid w:val="004A2E04"/>
    <w:rsid w:val="004A33F0"/>
    <w:rsid w:val="004A35EF"/>
    <w:rsid w:val="004A3A67"/>
    <w:rsid w:val="004A3EE8"/>
    <w:rsid w:val="004A43DC"/>
    <w:rsid w:val="004A46C1"/>
    <w:rsid w:val="004A4E87"/>
    <w:rsid w:val="004A5089"/>
    <w:rsid w:val="004A5556"/>
    <w:rsid w:val="004A6CE9"/>
    <w:rsid w:val="004A7807"/>
    <w:rsid w:val="004A7A5B"/>
    <w:rsid w:val="004A7FAC"/>
    <w:rsid w:val="004B064B"/>
    <w:rsid w:val="004B0889"/>
    <w:rsid w:val="004B1139"/>
    <w:rsid w:val="004B223E"/>
    <w:rsid w:val="004B2702"/>
    <w:rsid w:val="004B49CA"/>
    <w:rsid w:val="004B518B"/>
    <w:rsid w:val="004B5982"/>
    <w:rsid w:val="004B5EB2"/>
    <w:rsid w:val="004B62A3"/>
    <w:rsid w:val="004B6AB6"/>
    <w:rsid w:val="004B6BD8"/>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540D"/>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47D4"/>
    <w:rsid w:val="00515773"/>
    <w:rsid w:val="00515AA4"/>
    <w:rsid w:val="0051680A"/>
    <w:rsid w:val="00516A3C"/>
    <w:rsid w:val="00516A9F"/>
    <w:rsid w:val="00516C2C"/>
    <w:rsid w:val="00517975"/>
    <w:rsid w:val="00517A37"/>
    <w:rsid w:val="00520C43"/>
    <w:rsid w:val="005216B6"/>
    <w:rsid w:val="00522288"/>
    <w:rsid w:val="00524067"/>
    <w:rsid w:val="00524859"/>
    <w:rsid w:val="00524CDB"/>
    <w:rsid w:val="00525465"/>
    <w:rsid w:val="00525487"/>
    <w:rsid w:val="00525F3D"/>
    <w:rsid w:val="005260F9"/>
    <w:rsid w:val="00526AB0"/>
    <w:rsid w:val="00526C57"/>
    <w:rsid w:val="00527B15"/>
    <w:rsid w:val="00530FAF"/>
    <w:rsid w:val="00531363"/>
    <w:rsid w:val="00531427"/>
    <w:rsid w:val="00531706"/>
    <w:rsid w:val="005336AA"/>
    <w:rsid w:val="00533738"/>
    <w:rsid w:val="00533BE4"/>
    <w:rsid w:val="005346E7"/>
    <w:rsid w:val="00534818"/>
    <w:rsid w:val="00534E07"/>
    <w:rsid w:val="00535899"/>
    <w:rsid w:val="00536522"/>
    <w:rsid w:val="00536EB4"/>
    <w:rsid w:val="00537197"/>
    <w:rsid w:val="005371C2"/>
    <w:rsid w:val="0053774D"/>
    <w:rsid w:val="00540BBA"/>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9D3"/>
    <w:rsid w:val="00552DC3"/>
    <w:rsid w:val="00553129"/>
    <w:rsid w:val="0055320E"/>
    <w:rsid w:val="005537CB"/>
    <w:rsid w:val="00554103"/>
    <w:rsid w:val="005541B3"/>
    <w:rsid w:val="00555A24"/>
    <w:rsid w:val="00555E71"/>
    <w:rsid w:val="00556719"/>
    <w:rsid w:val="00556BF6"/>
    <w:rsid w:val="005573C8"/>
    <w:rsid w:val="00557E3E"/>
    <w:rsid w:val="00560D95"/>
    <w:rsid w:val="00562E43"/>
    <w:rsid w:val="0056390D"/>
    <w:rsid w:val="0056481F"/>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778F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993"/>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2F6"/>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2E26"/>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9AF"/>
    <w:rsid w:val="005F0E46"/>
    <w:rsid w:val="005F0EB1"/>
    <w:rsid w:val="005F1386"/>
    <w:rsid w:val="005F1CA0"/>
    <w:rsid w:val="005F2066"/>
    <w:rsid w:val="005F34E5"/>
    <w:rsid w:val="005F4164"/>
    <w:rsid w:val="005F4CCB"/>
    <w:rsid w:val="005F50AE"/>
    <w:rsid w:val="005F5CD1"/>
    <w:rsid w:val="005F73CB"/>
    <w:rsid w:val="005F750F"/>
    <w:rsid w:val="005F752F"/>
    <w:rsid w:val="006001A6"/>
    <w:rsid w:val="00600735"/>
    <w:rsid w:val="0060078B"/>
    <w:rsid w:val="00601E6A"/>
    <w:rsid w:val="00601FAD"/>
    <w:rsid w:val="00601FED"/>
    <w:rsid w:val="006020E1"/>
    <w:rsid w:val="0060231B"/>
    <w:rsid w:val="00602B39"/>
    <w:rsid w:val="006031A0"/>
    <w:rsid w:val="00603D1B"/>
    <w:rsid w:val="006041D6"/>
    <w:rsid w:val="006047E1"/>
    <w:rsid w:val="00605868"/>
    <w:rsid w:val="00606166"/>
    <w:rsid w:val="00610ADF"/>
    <w:rsid w:val="00610AF1"/>
    <w:rsid w:val="00610E62"/>
    <w:rsid w:val="00610F71"/>
    <w:rsid w:val="00612A2A"/>
    <w:rsid w:val="00613B83"/>
    <w:rsid w:val="00614370"/>
    <w:rsid w:val="006149EA"/>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27D9A"/>
    <w:rsid w:val="0063039B"/>
    <w:rsid w:val="00630533"/>
    <w:rsid w:val="006318C4"/>
    <w:rsid w:val="006320F2"/>
    <w:rsid w:val="006324AD"/>
    <w:rsid w:val="00633A73"/>
    <w:rsid w:val="00634863"/>
    <w:rsid w:val="0063689B"/>
    <w:rsid w:val="00636FD4"/>
    <w:rsid w:val="00637372"/>
    <w:rsid w:val="00637440"/>
    <w:rsid w:val="006374B3"/>
    <w:rsid w:val="00637AB0"/>
    <w:rsid w:val="00637B25"/>
    <w:rsid w:val="006409CA"/>
    <w:rsid w:val="006419B5"/>
    <w:rsid w:val="00642D74"/>
    <w:rsid w:val="00642E40"/>
    <w:rsid w:val="00643133"/>
    <w:rsid w:val="006434C4"/>
    <w:rsid w:val="00643C84"/>
    <w:rsid w:val="00644972"/>
    <w:rsid w:val="00644CAD"/>
    <w:rsid w:val="00644D38"/>
    <w:rsid w:val="00646687"/>
    <w:rsid w:val="00646D34"/>
    <w:rsid w:val="006470C1"/>
    <w:rsid w:val="006478DE"/>
    <w:rsid w:val="00647C0F"/>
    <w:rsid w:val="0065099A"/>
    <w:rsid w:val="006514A3"/>
    <w:rsid w:val="0065177F"/>
    <w:rsid w:val="006518F2"/>
    <w:rsid w:val="0065295B"/>
    <w:rsid w:val="00653551"/>
    <w:rsid w:val="00653559"/>
    <w:rsid w:val="00653C72"/>
    <w:rsid w:val="0065579B"/>
    <w:rsid w:val="0065586F"/>
    <w:rsid w:val="0065598E"/>
    <w:rsid w:val="0065599C"/>
    <w:rsid w:val="00656412"/>
    <w:rsid w:val="006565BB"/>
    <w:rsid w:val="00656ED6"/>
    <w:rsid w:val="00656F9F"/>
    <w:rsid w:val="00657F60"/>
    <w:rsid w:val="006607CB"/>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0B49"/>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9A1"/>
    <w:rsid w:val="006A1F15"/>
    <w:rsid w:val="006A3791"/>
    <w:rsid w:val="006A3907"/>
    <w:rsid w:val="006A45C7"/>
    <w:rsid w:val="006A4D0A"/>
    <w:rsid w:val="006A5204"/>
    <w:rsid w:val="006A54A7"/>
    <w:rsid w:val="006A5D1A"/>
    <w:rsid w:val="006A5FE5"/>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275"/>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4EE1"/>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3D4"/>
    <w:rsid w:val="00734781"/>
    <w:rsid w:val="00735926"/>
    <w:rsid w:val="007360E7"/>
    <w:rsid w:val="00737870"/>
    <w:rsid w:val="00737E2B"/>
    <w:rsid w:val="0074016E"/>
    <w:rsid w:val="00740489"/>
    <w:rsid w:val="00743157"/>
    <w:rsid w:val="00743953"/>
    <w:rsid w:val="00743E42"/>
    <w:rsid w:val="00744AA5"/>
    <w:rsid w:val="00745423"/>
    <w:rsid w:val="00746434"/>
    <w:rsid w:val="007464B2"/>
    <w:rsid w:val="007466F1"/>
    <w:rsid w:val="007470F2"/>
    <w:rsid w:val="007471BD"/>
    <w:rsid w:val="00750F6A"/>
    <w:rsid w:val="007526C7"/>
    <w:rsid w:val="00752A5F"/>
    <w:rsid w:val="00752C82"/>
    <w:rsid w:val="007534A4"/>
    <w:rsid w:val="00753728"/>
    <w:rsid w:val="00753835"/>
    <w:rsid w:val="00753AA6"/>
    <w:rsid w:val="00753C05"/>
    <w:rsid w:val="00754932"/>
    <w:rsid w:val="00754F17"/>
    <w:rsid w:val="00755255"/>
    <w:rsid w:val="00755E6E"/>
    <w:rsid w:val="00756227"/>
    <w:rsid w:val="007569C1"/>
    <w:rsid w:val="007571A0"/>
    <w:rsid w:val="00757BB7"/>
    <w:rsid w:val="00757D45"/>
    <w:rsid w:val="007607C8"/>
    <w:rsid w:val="00760E1E"/>
    <w:rsid w:val="00760FD8"/>
    <w:rsid w:val="007611DF"/>
    <w:rsid w:val="00761653"/>
    <w:rsid w:val="0076175F"/>
    <w:rsid w:val="00762B54"/>
    <w:rsid w:val="00763B19"/>
    <w:rsid w:val="00763CDF"/>
    <w:rsid w:val="00763FA6"/>
    <w:rsid w:val="0076409D"/>
    <w:rsid w:val="0076495B"/>
    <w:rsid w:val="00764EE4"/>
    <w:rsid w:val="00766435"/>
    <w:rsid w:val="00766C52"/>
    <w:rsid w:val="00766E28"/>
    <w:rsid w:val="00766E83"/>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294"/>
    <w:rsid w:val="007926C9"/>
    <w:rsid w:val="00792B67"/>
    <w:rsid w:val="00794329"/>
    <w:rsid w:val="00794DCE"/>
    <w:rsid w:val="00795BB3"/>
    <w:rsid w:val="00795C65"/>
    <w:rsid w:val="0079721C"/>
    <w:rsid w:val="00797D5C"/>
    <w:rsid w:val="007A02C8"/>
    <w:rsid w:val="007A0F4C"/>
    <w:rsid w:val="007A15C8"/>
    <w:rsid w:val="007A24D5"/>
    <w:rsid w:val="007A2824"/>
    <w:rsid w:val="007A29A7"/>
    <w:rsid w:val="007A38EA"/>
    <w:rsid w:val="007A4E0C"/>
    <w:rsid w:val="007A52B5"/>
    <w:rsid w:val="007A53C9"/>
    <w:rsid w:val="007A55AD"/>
    <w:rsid w:val="007A6701"/>
    <w:rsid w:val="007A6832"/>
    <w:rsid w:val="007A686F"/>
    <w:rsid w:val="007A69E5"/>
    <w:rsid w:val="007A7D76"/>
    <w:rsid w:val="007B0718"/>
    <w:rsid w:val="007B0F1A"/>
    <w:rsid w:val="007B1713"/>
    <w:rsid w:val="007B1E53"/>
    <w:rsid w:val="007B256C"/>
    <w:rsid w:val="007B4C46"/>
    <w:rsid w:val="007B5C46"/>
    <w:rsid w:val="007B667F"/>
    <w:rsid w:val="007B66AB"/>
    <w:rsid w:val="007B6CCA"/>
    <w:rsid w:val="007C000C"/>
    <w:rsid w:val="007C0DFA"/>
    <w:rsid w:val="007C1D02"/>
    <w:rsid w:val="007C2845"/>
    <w:rsid w:val="007C2CEF"/>
    <w:rsid w:val="007C34ED"/>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4EAD"/>
    <w:rsid w:val="007D58CD"/>
    <w:rsid w:val="007D620F"/>
    <w:rsid w:val="007E0074"/>
    <w:rsid w:val="007E13D3"/>
    <w:rsid w:val="007E1F37"/>
    <w:rsid w:val="007E21B1"/>
    <w:rsid w:val="007E23E3"/>
    <w:rsid w:val="007E2A2B"/>
    <w:rsid w:val="007E3C9C"/>
    <w:rsid w:val="007E3FA2"/>
    <w:rsid w:val="007E44C0"/>
    <w:rsid w:val="007E49E3"/>
    <w:rsid w:val="007E665F"/>
    <w:rsid w:val="007E7338"/>
    <w:rsid w:val="007E75AC"/>
    <w:rsid w:val="007E75BF"/>
    <w:rsid w:val="007E7E75"/>
    <w:rsid w:val="007F072E"/>
    <w:rsid w:val="007F078C"/>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E01"/>
    <w:rsid w:val="00816F78"/>
    <w:rsid w:val="00817EC7"/>
    <w:rsid w:val="008201C3"/>
    <w:rsid w:val="008206CA"/>
    <w:rsid w:val="00820D51"/>
    <w:rsid w:val="00822F64"/>
    <w:rsid w:val="00822F9D"/>
    <w:rsid w:val="008231B1"/>
    <w:rsid w:val="008242CC"/>
    <w:rsid w:val="00824D1D"/>
    <w:rsid w:val="008250B2"/>
    <w:rsid w:val="008251A8"/>
    <w:rsid w:val="0082558F"/>
    <w:rsid w:val="008255C6"/>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269"/>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38C5"/>
    <w:rsid w:val="0086448F"/>
    <w:rsid w:val="00864877"/>
    <w:rsid w:val="00865409"/>
    <w:rsid w:val="0086581A"/>
    <w:rsid w:val="00865FE5"/>
    <w:rsid w:val="0086789D"/>
    <w:rsid w:val="008679BB"/>
    <w:rsid w:val="008715E6"/>
    <w:rsid w:val="0087181E"/>
    <w:rsid w:val="00871FD1"/>
    <w:rsid w:val="00872007"/>
    <w:rsid w:val="00872775"/>
    <w:rsid w:val="008737F5"/>
    <w:rsid w:val="008737F8"/>
    <w:rsid w:val="00873C4C"/>
    <w:rsid w:val="00873D4A"/>
    <w:rsid w:val="00874924"/>
    <w:rsid w:val="00874978"/>
    <w:rsid w:val="00874EC1"/>
    <w:rsid w:val="00876B8B"/>
    <w:rsid w:val="0087707D"/>
    <w:rsid w:val="0088017E"/>
    <w:rsid w:val="00880A5C"/>
    <w:rsid w:val="00881054"/>
    <w:rsid w:val="008815DF"/>
    <w:rsid w:val="0088266F"/>
    <w:rsid w:val="00882C64"/>
    <w:rsid w:val="00883EEA"/>
    <w:rsid w:val="00884341"/>
    <w:rsid w:val="00884A78"/>
    <w:rsid w:val="00885132"/>
    <w:rsid w:val="00885434"/>
    <w:rsid w:val="00886E5B"/>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069F"/>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2E0"/>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869"/>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B72"/>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5B5F"/>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868"/>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776"/>
    <w:rsid w:val="00996BE5"/>
    <w:rsid w:val="009A04FA"/>
    <w:rsid w:val="009A2D7C"/>
    <w:rsid w:val="009A3913"/>
    <w:rsid w:val="009A477C"/>
    <w:rsid w:val="009A4C66"/>
    <w:rsid w:val="009A4EC1"/>
    <w:rsid w:val="009A4F34"/>
    <w:rsid w:val="009A548B"/>
    <w:rsid w:val="009A5789"/>
    <w:rsid w:val="009A5866"/>
    <w:rsid w:val="009A5C3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0D19"/>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D73CE"/>
    <w:rsid w:val="009E1118"/>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922"/>
    <w:rsid w:val="00A02EF5"/>
    <w:rsid w:val="00A0395C"/>
    <w:rsid w:val="00A03B46"/>
    <w:rsid w:val="00A03DDC"/>
    <w:rsid w:val="00A03F66"/>
    <w:rsid w:val="00A04559"/>
    <w:rsid w:val="00A04560"/>
    <w:rsid w:val="00A04586"/>
    <w:rsid w:val="00A04BCF"/>
    <w:rsid w:val="00A067FA"/>
    <w:rsid w:val="00A06C14"/>
    <w:rsid w:val="00A06EF9"/>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0338"/>
    <w:rsid w:val="00A215C9"/>
    <w:rsid w:val="00A216DB"/>
    <w:rsid w:val="00A22B29"/>
    <w:rsid w:val="00A22B81"/>
    <w:rsid w:val="00A233ED"/>
    <w:rsid w:val="00A23475"/>
    <w:rsid w:val="00A23DBB"/>
    <w:rsid w:val="00A24EE2"/>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3663"/>
    <w:rsid w:val="00A75AD1"/>
    <w:rsid w:val="00A760BC"/>
    <w:rsid w:val="00A76B79"/>
    <w:rsid w:val="00A76C52"/>
    <w:rsid w:val="00A76D83"/>
    <w:rsid w:val="00A77188"/>
    <w:rsid w:val="00A774A4"/>
    <w:rsid w:val="00A803EC"/>
    <w:rsid w:val="00A80A0D"/>
    <w:rsid w:val="00A81026"/>
    <w:rsid w:val="00A81601"/>
    <w:rsid w:val="00A8244E"/>
    <w:rsid w:val="00A82545"/>
    <w:rsid w:val="00A8342D"/>
    <w:rsid w:val="00A836BE"/>
    <w:rsid w:val="00A83747"/>
    <w:rsid w:val="00A83CB6"/>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189"/>
    <w:rsid w:val="00A9352B"/>
    <w:rsid w:val="00A93834"/>
    <w:rsid w:val="00A96214"/>
    <w:rsid w:val="00A964A6"/>
    <w:rsid w:val="00A97F2D"/>
    <w:rsid w:val="00AA116C"/>
    <w:rsid w:val="00AA1806"/>
    <w:rsid w:val="00AA193B"/>
    <w:rsid w:val="00AA1A0C"/>
    <w:rsid w:val="00AA2E72"/>
    <w:rsid w:val="00AA2EE4"/>
    <w:rsid w:val="00AA3B9B"/>
    <w:rsid w:val="00AA3B9E"/>
    <w:rsid w:val="00AA3EBA"/>
    <w:rsid w:val="00AA3F05"/>
    <w:rsid w:val="00AA420E"/>
    <w:rsid w:val="00AA427C"/>
    <w:rsid w:val="00AA4364"/>
    <w:rsid w:val="00AA4874"/>
    <w:rsid w:val="00AA5ACF"/>
    <w:rsid w:val="00AA6174"/>
    <w:rsid w:val="00AA674C"/>
    <w:rsid w:val="00AA695D"/>
    <w:rsid w:val="00AA6DB1"/>
    <w:rsid w:val="00AA71CC"/>
    <w:rsid w:val="00AB069B"/>
    <w:rsid w:val="00AB1BDA"/>
    <w:rsid w:val="00AB1D43"/>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17E4"/>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2FB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556"/>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23E"/>
    <w:rsid w:val="00B50964"/>
    <w:rsid w:val="00B509E4"/>
    <w:rsid w:val="00B511C1"/>
    <w:rsid w:val="00B51A39"/>
    <w:rsid w:val="00B527CC"/>
    <w:rsid w:val="00B5334C"/>
    <w:rsid w:val="00B53573"/>
    <w:rsid w:val="00B56746"/>
    <w:rsid w:val="00B57758"/>
    <w:rsid w:val="00B57A3C"/>
    <w:rsid w:val="00B6043D"/>
    <w:rsid w:val="00B61874"/>
    <w:rsid w:val="00B624B8"/>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875D8"/>
    <w:rsid w:val="00B9068B"/>
    <w:rsid w:val="00B9133A"/>
    <w:rsid w:val="00B9145F"/>
    <w:rsid w:val="00B921FA"/>
    <w:rsid w:val="00B925C8"/>
    <w:rsid w:val="00B93718"/>
    <w:rsid w:val="00B93960"/>
    <w:rsid w:val="00B93D2D"/>
    <w:rsid w:val="00B95072"/>
    <w:rsid w:val="00B97127"/>
    <w:rsid w:val="00B9761B"/>
    <w:rsid w:val="00B97D88"/>
    <w:rsid w:val="00BA0B73"/>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6DF6"/>
    <w:rsid w:val="00BC7255"/>
    <w:rsid w:val="00BD18E6"/>
    <w:rsid w:val="00BD30FA"/>
    <w:rsid w:val="00BD32E4"/>
    <w:rsid w:val="00BD35DF"/>
    <w:rsid w:val="00BD3DB3"/>
    <w:rsid w:val="00BD40C4"/>
    <w:rsid w:val="00BD4468"/>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250"/>
    <w:rsid w:val="00BF3998"/>
    <w:rsid w:val="00BF4664"/>
    <w:rsid w:val="00BF4A8C"/>
    <w:rsid w:val="00BF51F0"/>
    <w:rsid w:val="00BF56D6"/>
    <w:rsid w:val="00BF6F77"/>
    <w:rsid w:val="00BF77A7"/>
    <w:rsid w:val="00BF79AA"/>
    <w:rsid w:val="00C00455"/>
    <w:rsid w:val="00C00746"/>
    <w:rsid w:val="00C0158B"/>
    <w:rsid w:val="00C018C0"/>
    <w:rsid w:val="00C02E0A"/>
    <w:rsid w:val="00C034F6"/>
    <w:rsid w:val="00C0422C"/>
    <w:rsid w:val="00C048EB"/>
    <w:rsid w:val="00C04C09"/>
    <w:rsid w:val="00C04EE8"/>
    <w:rsid w:val="00C0535A"/>
    <w:rsid w:val="00C058A1"/>
    <w:rsid w:val="00C062FD"/>
    <w:rsid w:val="00C0701A"/>
    <w:rsid w:val="00C075E2"/>
    <w:rsid w:val="00C11597"/>
    <w:rsid w:val="00C1181E"/>
    <w:rsid w:val="00C1183B"/>
    <w:rsid w:val="00C12346"/>
    <w:rsid w:val="00C129FD"/>
    <w:rsid w:val="00C12C78"/>
    <w:rsid w:val="00C12CAD"/>
    <w:rsid w:val="00C138ED"/>
    <w:rsid w:val="00C147D0"/>
    <w:rsid w:val="00C14AF5"/>
    <w:rsid w:val="00C14C72"/>
    <w:rsid w:val="00C156BB"/>
    <w:rsid w:val="00C16508"/>
    <w:rsid w:val="00C165C5"/>
    <w:rsid w:val="00C1733A"/>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839"/>
    <w:rsid w:val="00C33A75"/>
    <w:rsid w:val="00C36923"/>
    <w:rsid w:val="00C36EF5"/>
    <w:rsid w:val="00C407F5"/>
    <w:rsid w:val="00C40BDD"/>
    <w:rsid w:val="00C418DB"/>
    <w:rsid w:val="00C41EB7"/>
    <w:rsid w:val="00C42A26"/>
    <w:rsid w:val="00C4322D"/>
    <w:rsid w:val="00C43867"/>
    <w:rsid w:val="00C43C97"/>
    <w:rsid w:val="00C4441D"/>
    <w:rsid w:val="00C44740"/>
    <w:rsid w:val="00C45154"/>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127"/>
    <w:rsid w:val="00C662D4"/>
    <w:rsid w:val="00C67A30"/>
    <w:rsid w:val="00C67A47"/>
    <w:rsid w:val="00C706A0"/>
    <w:rsid w:val="00C70E4A"/>
    <w:rsid w:val="00C716D9"/>
    <w:rsid w:val="00C718E6"/>
    <w:rsid w:val="00C71AAA"/>
    <w:rsid w:val="00C71B57"/>
    <w:rsid w:val="00C72E1C"/>
    <w:rsid w:val="00C73CD5"/>
    <w:rsid w:val="00C75EF4"/>
    <w:rsid w:val="00C7775E"/>
    <w:rsid w:val="00C802DB"/>
    <w:rsid w:val="00C80333"/>
    <w:rsid w:val="00C80609"/>
    <w:rsid w:val="00C808FB"/>
    <w:rsid w:val="00C81698"/>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96E4A"/>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CAA"/>
    <w:rsid w:val="00CD4EE6"/>
    <w:rsid w:val="00CD4FC0"/>
    <w:rsid w:val="00CD53F6"/>
    <w:rsid w:val="00CD547E"/>
    <w:rsid w:val="00CD5BDF"/>
    <w:rsid w:val="00CD66FA"/>
    <w:rsid w:val="00CD7282"/>
    <w:rsid w:val="00CD778F"/>
    <w:rsid w:val="00CE1A33"/>
    <w:rsid w:val="00CE1C80"/>
    <w:rsid w:val="00CE1EF9"/>
    <w:rsid w:val="00CE2E8B"/>
    <w:rsid w:val="00CE32E1"/>
    <w:rsid w:val="00CE412A"/>
    <w:rsid w:val="00CE4420"/>
    <w:rsid w:val="00CE4F5F"/>
    <w:rsid w:val="00CE52C1"/>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A7E"/>
    <w:rsid w:val="00D00D06"/>
    <w:rsid w:val="00D00F13"/>
    <w:rsid w:val="00D0196E"/>
    <w:rsid w:val="00D02900"/>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17C5D"/>
    <w:rsid w:val="00D207F1"/>
    <w:rsid w:val="00D20A98"/>
    <w:rsid w:val="00D2233B"/>
    <w:rsid w:val="00D2261E"/>
    <w:rsid w:val="00D2281F"/>
    <w:rsid w:val="00D22A1B"/>
    <w:rsid w:val="00D234BC"/>
    <w:rsid w:val="00D2486D"/>
    <w:rsid w:val="00D25FAB"/>
    <w:rsid w:val="00D2688A"/>
    <w:rsid w:val="00D27F97"/>
    <w:rsid w:val="00D31DB8"/>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570A7"/>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9F3"/>
    <w:rsid w:val="00D74A0A"/>
    <w:rsid w:val="00D76C00"/>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1A4C"/>
    <w:rsid w:val="00D91E34"/>
    <w:rsid w:val="00D932F1"/>
    <w:rsid w:val="00D93B9E"/>
    <w:rsid w:val="00D95390"/>
    <w:rsid w:val="00D96459"/>
    <w:rsid w:val="00D9670A"/>
    <w:rsid w:val="00D96EB7"/>
    <w:rsid w:val="00D97A83"/>
    <w:rsid w:val="00D97B00"/>
    <w:rsid w:val="00D97D93"/>
    <w:rsid w:val="00DA0621"/>
    <w:rsid w:val="00DA0C75"/>
    <w:rsid w:val="00DA1B36"/>
    <w:rsid w:val="00DA3020"/>
    <w:rsid w:val="00DA3683"/>
    <w:rsid w:val="00DA3DA2"/>
    <w:rsid w:val="00DA468A"/>
    <w:rsid w:val="00DA493E"/>
    <w:rsid w:val="00DA4DB7"/>
    <w:rsid w:val="00DA5373"/>
    <w:rsid w:val="00DA5419"/>
    <w:rsid w:val="00DA5431"/>
    <w:rsid w:val="00DA5ABB"/>
    <w:rsid w:val="00DA60AA"/>
    <w:rsid w:val="00DA6337"/>
    <w:rsid w:val="00DA6487"/>
    <w:rsid w:val="00DA71C3"/>
    <w:rsid w:val="00DA7217"/>
    <w:rsid w:val="00DA7720"/>
    <w:rsid w:val="00DA7F0C"/>
    <w:rsid w:val="00DB0232"/>
    <w:rsid w:val="00DB0E6A"/>
    <w:rsid w:val="00DB19EC"/>
    <w:rsid w:val="00DB1DB7"/>
    <w:rsid w:val="00DB1F4C"/>
    <w:rsid w:val="00DB1FF9"/>
    <w:rsid w:val="00DB53AC"/>
    <w:rsid w:val="00DB5439"/>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5BEC"/>
    <w:rsid w:val="00DE7477"/>
    <w:rsid w:val="00DE754E"/>
    <w:rsid w:val="00DF0854"/>
    <w:rsid w:val="00DF2556"/>
    <w:rsid w:val="00DF3117"/>
    <w:rsid w:val="00DF6158"/>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0B30"/>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5DF6"/>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7EF"/>
    <w:rsid w:val="00E508E0"/>
    <w:rsid w:val="00E509FA"/>
    <w:rsid w:val="00E50D6A"/>
    <w:rsid w:val="00E51B2D"/>
    <w:rsid w:val="00E525BD"/>
    <w:rsid w:val="00E55335"/>
    <w:rsid w:val="00E5562F"/>
    <w:rsid w:val="00E55C63"/>
    <w:rsid w:val="00E567CC"/>
    <w:rsid w:val="00E56839"/>
    <w:rsid w:val="00E56853"/>
    <w:rsid w:val="00E5691C"/>
    <w:rsid w:val="00E56A2A"/>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22D"/>
    <w:rsid w:val="00E959C0"/>
    <w:rsid w:val="00E96E1F"/>
    <w:rsid w:val="00E96F71"/>
    <w:rsid w:val="00E971E4"/>
    <w:rsid w:val="00E9788E"/>
    <w:rsid w:val="00E97C2E"/>
    <w:rsid w:val="00EA0945"/>
    <w:rsid w:val="00EA1374"/>
    <w:rsid w:val="00EA3C82"/>
    <w:rsid w:val="00EA3ECA"/>
    <w:rsid w:val="00EA657E"/>
    <w:rsid w:val="00EA688F"/>
    <w:rsid w:val="00EA78DD"/>
    <w:rsid w:val="00EB0845"/>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498E"/>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699"/>
    <w:rsid w:val="00EE4A6E"/>
    <w:rsid w:val="00EE4CD1"/>
    <w:rsid w:val="00EE723A"/>
    <w:rsid w:val="00EE75C5"/>
    <w:rsid w:val="00EE7DB5"/>
    <w:rsid w:val="00EF032C"/>
    <w:rsid w:val="00EF174C"/>
    <w:rsid w:val="00EF3968"/>
    <w:rsid w:val="00EF4D4B"/>
    <w:rsid w:val="00EF6040"/>
    <w:rsid w:val="00EF77D2"/>
    <w:rsid w:val="00EF78E4"/>
    <w:rsid w:val="00F003E0"/>
    <w:rsid w:val="00F00984"/>
    <w:rsid w:val="00F00AA1"/>
    <w:rsid w:val="00F00CA3"/>
    <w:rsid w:val="00F00E27"/>
    <w:rsid w:val="00F010AD"/>
    <w:rsid w:val="00F016A6"/>
    <w:rsid w:val="00F01FF8"/>
    <w:rsid w:val="00F02266"/>
    <w:rsid w:val="00F03105"/>
    <w:rsid w:val="00F03583"/>
    <w:rsid w:val="00F0371F"/>
    <w:rsid w:val="00F03AAD"/>
    <w:rsid w:val="00F0516A"/>
    <w:rsid w:val="00F053FD"/>
    <w:rsid w:val="00F06197"/>
    <w:rsid w:val="00F06768"/>
    <w:rsid w:val="00F06E0A"/>
    <w:rsid w:val="00F073F1"/>
    <w:rsid w:val="00F101F1"/>
    <w:rsid w:val="00F10351"/>
    <w:rsid w:val="00F104BC"/>
    <w:rsid w:val="00F109B0"/>
    <w:rsid w:val="00F10A1F"/>
    <w:rsid w:val="00F10FD3"/>
    <w:rsid w:val="00F12947"/>
    <w:rsid w:val="00F1367C"/>
    <w:rsid w:val="00F13906"/>
    <w:rsid w:val="00F14A2D"/>
    <w:rsid w:val="00F14F25"/>
    <w:rsid w:val="00F15372"/>
    <w:rsid w:val="00F157ED"/>
    <w:rsid w:val="00F167DB"/>
    <w:rsid w:val="00F20232"/>
    <w:rsid w:val="00F21287"/>
    <w:rsid w:val="00F21A43"/>
    <w:rsid w:val="00F24D15"/>
    <w:rsid w:val="00F251B7"/>
    <w:rsid w:val="00F25335"/>
    <w:rsid w:val="00F2692D"/>
    <w:rsid w:val="00F26B77"/>
    <w:rsid w:val="00F26D4B"/>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A3"/>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6EDA"/>
    <w:rsid w:val="00F77395"/>
    <w:rsid w:val="00F8004E"/>
    <w:rsid w:val="00F802FA"/>
    <w:rsid w:val="00F80568"/>
    <w:rsid w:val="00F808D8"/>
    <w:rsid w:val="00F818F9"/>
    <w:rsid w:val="00F82418"/>
    <w:rsid w:val="00F825F1"/>
    <w:rsid w:val="00F83357"/>
    <w:rsid w:val="00F83F21"/>
    <w:rsid w:val="00F84867"/>
    <w:rsid w:val="00F84B84"/>
    <w:rsid w:val="00F84FEE"/>
    <w:rsid w:val="00F86361"/>
    <w:rsid w:val="00F87190"/>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27F"/>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4A2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1BEE"/>
    <w:rsid w:val="00FF23B3"/>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16102495">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30508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8725288">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3861766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596744898">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511994">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429136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customXml" Target="ink/ink9.xml"/><Relationship Id="rId63" Type="http://schemas.openxmlformats.org/officeDocument/2006/relationships/image" Target="media/image46.png"/><Relationship Id="rId68" Type="http://schemas.openxmlformats.org/officeDocument/2006/relationships/customXml" Target="ink/ink11.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customXml" Target="ink/ink8.xml"/><Relationship Id="rId53" Type="http://schemas.openxmlformats.org/officeDocument/2006/relationships/image" Target="media/image38.png"/><Relationship Id="rId58" Type="http://schemas.openxmlformats.org/officeDocument/2006/relationships/customXml" Target="ink/ink10.xml"/><Relationship Id="rId66" Type="http://schemas.openxmlformats.org/officeDocument/2006/relationships/image" Target="media/image49.png"/><Relationship Id="rId74" Type="http://schemas.openxmlformats.org/officeDocument/2006/relationships/image" Target="media/image55.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4.png"/><Relationship Id="rId10" Type="http://schemas.openxmlformats.org/officeDocument/2006/relationships/customXml" Target="ink/ink2.xml"/><Relationship Id="rId19" Type="http://schemas.openxmlformats.org/officeDocument/2006/relationships/image" Target="media/image8.png"/><Relationship Id="rId31" Type="http://schemas.openxmlformats.org/officeDocument/2006/relationships/customXml" Target="ink/ink5.xml"/><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4.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ustomXml" Target="ink/ink4.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customXml" Target="ink/ink7.xml"/><Relationship Id="rId48" Type="http://schemas.openxmlformats.org/officeDocument/2006/relationships/image" Target="media/image33.png"/><Relationship Id="rId56" Type="http://schemas.openxmlformats.org/officeDocument/2006/relationships/image" Target="media/image40.png"/><Relationship Id="rId64" Type="http://schemas.openxmlformats.org/officeDocument/2006/relationships/image" Target="media/image47.png"/><Relationship Id="rId69" Type="http://schemas.openxmlformats.org/officeDocument/2006/relationships/image" Target="media/image51.png"/><Relationship Id="rId77" Type="http://schemas.openxmlformats.org/officeDocument/2006/relationships/footer" Target="footer1.xml"/><Relationship Id="rId8" Type="http://schemas.openxmlformats.org/officeDocument/2006/relationships/customXml" Target="ink/ink1.xml"/><Relationship Id="rId51" Type="http://schemas.openxmlformats.org/officeDocument/2006/relationships/image" Target="media/image36.png"/><Relationship Id="rId72" Type="http://schemas.openxmlformats.org/officeDocument/2006/relationships/image" Target="media/image53.png"/><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9.png"/><Relationship Id="rId62" Type="http://schemas.openxmlformats.org/officeDocument/2006/relationships/image" Target="media/image45.png"/><Relationship Id="rId70" Type="http://schemas.openxmlformats.org/officeDocument/2006/relationships/customXml" Target="ink/ink12.xml"/><Relationship Id="rId75"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ustomXml" Target="ink/ink6.xml"/><Relationship Id="rId49" Type="http://schemas.openxmlformats.org/officeDocument/2006/relationships/image" Target="media/image34.png"/><Relationship Id="rId57"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50.85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18,'17'1,"0"0,0 2,10 2,15 2,623 82,-571-80,0-5,60-5,-48-1,529 1,-548-3,0-4,62-15,-76 11,-66 11,263-37,-175 29,88 3,323 8,-388-2,-106 0,-1-2,1 0,0 0,0-1,-1 0,2-2,0 1,0 0,0 1,0 1,5-1,-4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8.1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1 169,'139'-4,"47"-10,136-27,-212 26,326-36,272 7,-123 55,-67 6,75 4,-492-16,142 11,-240-15,-1-1,0 0,1 1,-1 0,0 0,0-1,0 1,0 1,0-1,0 0,0 0,0 1,0-1,0 1,-1-1,1 1,-1 0,1 0,-1 0,0 0,0 0,1 0,-1 0,-1 0,1 1,10 14,16 21,2-2,2-1,1-1,25 19,-49-47,-1-1,0 0,1-1,0 0,0 0,1 0,-1-1,1-1,-1 1,1-1,0-1,0 1,3-1,0 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7T01:41:25.38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34,'28'-2,"0"0,0-2,7-3,48-6,26 7,41 6,-96 1,-34 0,-1 1,16 3,-14-1,-1-1,9-1,336-2,83 3,-426-3,0 2,0 0,0 2,0 1,0 0,-1 1,0 2,0 0,-1 1,2 2,-19-9,0 0,0-1,0 0,0 1,0-1,0 0,0-1,1 1,-1 0,0-1,1 0,-1 0,0 0,4-1,-1 0,0-1,0 1,0-1,0-1,2 0,18-7,2 1,-1 1,1 2,0 0,0 2,0 1,0 2,23 1,73 1,-110-1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7T01:41:19.9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33,'665'0,"-513"-8,-11-1,359 10,-471-3,1 0,2-3,-11 2,0 1,1 0,-1 2,18 1,52 8,76-3,-102-6,-51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44.01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93,'192'-7,"61"-16,-74 6,-106 14,0 4,42 6,30 1,-12-9,126-16,-55-11,-177 25,0 2,-1 1,11 1,-15 1,0-1,-1-2,1 0,0-1,7-3,-15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9.07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7,'159'-1,"166"3,-253 6,-45-4,0-2,1 0,466-2,-235 0,-215-2,39-8,-32 4,-38 4,-2-2</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04:38:33.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51,'474'0,"-461"1,1 1,-1 0,0 1,0 0,12 5,-6-2,0-1,10 2,214 17,-113-13,165 14,-194-20,63-6,-55 0,73 2,188-3,-52-14,-5-1,-147 2,50-2,66-1,-223 10,55-16,-66 13,1 1,-1 3,8 1,-39 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36:57.9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70,'335'9,"1"-1,-315-8,-3-1,-1 2,1-1,-1 2,1 1,8 2,-9-2,0 0,0-1,1-1,-1-1,13-1,9 0,642-25,-604 22,235-3,4 1,367-18,-591 25,1-4,0-3,22-9,-57 8,0 3,0 2,33 4,-1-1,-76-1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2:45:22.94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51,'2'2,"1"-1,0 1,-1-1,1 0,0 1,0-1,0-1,0 1,0 0,0-1,0 1,0-1,0 0,3 0,3 0,41 3,0-2,0-3,0-2,-1-2,1-2,8-4,-21 5,1 1,0 2,10 1,117 4,-66 0,161 0,299-2,-411-8,-74 3,0 3,32 5,-64 3,-1 2,40 12,-24-5,7 4,-1 1,22 8,-69-23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22.8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0 136,'611'-32,"-316"10,-128 10,96-4,-23 14,-70 2,56-11,-105 4,78 8,48-2,-213-1,-1-1,1-1,-1-2,1-2,-12 4,1 1,0 1,-1 1,1 0,12 3,10-1,49-2,104 4,-114 4,-17-1,19-2,114-5,-186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16:17.5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0 101,'4'0,"730"-13,-328 8,-22 0,-172-7,99-4,19-8,42-1,177 25,-254 1,-281-1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2-16T23:47:22.5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1,'425'0,"461"1,-868-1,154 3,3 7,-121-4,0 2,-1 2,0 2,-1 3,17 8,-28-6,-23-8,0-2,1 0,0-1,0 0,1-2,0-1,0 0,14 0,2029-7,-1979 0,1-4,13-5,2-1,25 3,-104 10,-4 0,0 1,1 0,-1 1,4 1,-12 3,-14 0,-18 3,-31-1,0-1,-1-3,-49-4,70 1,7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65916-63F7-4616-B113-A801B5FD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17</TotalTime>
  <Pages>42</Pages>
  <Words>6220</Words>
  <Characters>35458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doc.: IEEE 802.11-19/0551r19</vt:lpstr>
    </vt:vector>
  </TitlesOfParts>
  <Company>Some Company</Company>
  <LinksUpToDate>false</LinksUpToDate>
  <CharactersWithSpaces>41595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802.11-19/0551r19</dc:title>
  <dc:subject>Submission</dc:subject>
  <dc:creator>Mark RISON</dc:creator>
  <cp:keywords>September 2019</cp:keywords>
  <cp:lastModifiedBy>Hamilton, Mark</cp:lastModifiedBy>
  <cp:revision>5</cp:revision>
  <cp:lastPrinted>1901-01-01T04:00:00Z</cp:lastPrinted>
  <dcterms:created xsi:type="dcterms:W3CDTF">2020-02-19T02:34:00Z</dcterms:created>
  <dcterms:modified xsi:type="dcterms:W3CDTF">2020-02-19T02:53:00Z</dcterms:modified>
</cp:coreProperties>
</file>