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5B04306" w:rsidR="008717CE" w:rsidRPr="00183F4C" w:rsidRDefault="00DE584F" w:rsidP="008717CE">
            <w:pPr>
              <w:pStyle w:val="T2"/>
              <w:rPr>
                <w:lang w:eastAsia="ko-KR"/>
              </w:rPr>
            </w:pPr>
            <w:r>
              <w:rPr>
                <w:lang w:eastAsia="ko-KR"/>
              </w:rPr>
              <w:t>Comment resolutions for</w:t>
            </w:r>
            <w:r w:rsidR="000A3567">
              <w:rPr>
                <w:lang w:eastAsia="ko-KR"/>
              </w:rPr>
              <w:t xml:space="preserve"> </w:t>
            </w:r>
            <w:r w:rsidR="00644123">
              <w:rPr>
                <w:lang w:eastAsia="ko-KR"/>
              </w:rPr>
              <w:t>HE BSS operation in 6 GHz–part 2</w:t>
            </w:r>
          </w:p>
        </w:tc>
      </w:tr>
      <w:tr w:rsidR="00DE584F" w:rsidRPr="00183F4C" w14:paraId="2321CEA9" w14:textId="77777777" w:rsidTr="00E37786">
        <w:trPr>
          <w:trHeight w:val="359"/>
          <w:jc w:val="center"/>
        </w:trPr>
        <w:tc>
          <w:tcPr>
            <w:tcW w:w="9576" w:type="dxa"/>
            <w:gridSpan w:val="5"/>
            <w:vAlign w:val="center"/>
          </w:tcPr>
          <w:p w14:paraId="380E9974" w14:textId="7D6C6BC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644123">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F836F56"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467C30">
        <w:rPr>
          <w:lang w:eastAsia="ko-KR"/>
        </w:rPr>
        <w:t>6</w:t>
      </w:r>
      <w:r w:rsidR="00941A27">
        <w:rPr>
          <w:lang w:eastAsia="ko-KR"/>
        </w:rPr>
        <w:t xml:space="preserve"> CIDs)</w:t>
      </w:r>
      <w:r w:rsidR="00E920E1">
        <w:rPr>
          <w:lang w:eastAsia="ko-KR"/>
        </w:rPr>
        <w:t>:</w:t>
      </w:r>
    </w:p>
    <w:p w14:paraId="1A20E2DE" w14:textId="7D21289F" w:rsidR="00535EBE" w:rsidRPr="00535EBE" w:rsidRDefault="009513F6" w:rsidP="002461E4">
      <w:pPr>
        <w:pStyle w:val="ListParagraph"/>
        <w:numPr>
          <w:ilvl w:val="0"/>
          <w:numId w:val="30"/>
        </w:numPr>
        <w:ind w:leftChars="0"/>
        <w:jc w:val="both"/>
        <w:rPr>
          <w:lang w:eastAsia="ko-KR"/>
        </w:rPr>
      </w:pPr>
      <w:r>
        <w:rPr>
          <w:lang w:eastAsia="ko-KR"/>
        </w:rPr>
        <w:t>20074, 20075, 20130, 20211, 21512,</w:t>
      </w:r>
      <w:r w:rsidR="00076F20">
        <w:rPr>
          <w:lang w:eastAsia="ko-KR"/>
        </w:rPr>
        <w:t xml:space="preserve"> 21048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3170"/>
        <w:gridCol w:w="1530"/>
        <w:gridCol w:w="4320"/>
      </w:tblGrid>
      <w:tr w:rsidR="00AD7FBD" w:rsidRPr="001F620B" w14:paraId="2ADECA54" w14:textId="77777777" w:rsidTr="00D9303C">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17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53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9695A" w:rsidRPr="001F620B" w14:paraId="070E35F5" w14:textId="77777777" w:rsidTr="00D9303C">
        <w:trPr>
          <w:trHeight w:val="220"/>
        </w:trPr>
        <w:tc>
          <w:tcPr>
            <w:tcW w:w="696" w:type="dxa"/>
            <w:shd w:val="clear" w:color="auto" w:fill="auto"/>
            <w:noWrap/>
          </w:tcPr>
          <w:p w14:paraId="6516BEC0" w14:textId="4A17566E" w:rsidR="00B9695A" w:rsidRPr="00DA2971" w:rsidRDefault="00B9695A" w:rsidP="00B9695A">
            <w:pPr>
              <w:jc w:val="both"/>
              <w:rPr>
                <w:rFonts w:eastAsia="Times New Roman"/>
                <w:bCs/>
                <w:color w:val="000000"/>
                <w:sz w:val="16"/>
                <w:szCs w:val="16"/>
                <w:lang w:val="en-US"/>
              </w:rPr>
            </w:pPr>
            <w:r w:rsidRPr="00DA2971">
              <w:rPr>
                <w:rFonts w:eastAsia="Times New Roman"/>
                <w:bCs/>
                <w:color w:val="000000"/>
                <w:sz w:val="16"/>
                <w:szCs w:val="16"/>
                <w:lang w:val="en-US"/>
              </w:rPr>
              <w:t>20074</w:t>
            </w:r>
          </w:p>
        </w:tc>
        <w:tc>
          <w:tcPr>
            <w:tcW w:w="1061" w:type="dxa"/>
            <w:shd w:val="clear" w:color="auto" w:fill="auto"/>
            <w:noWrap/>
          </w:tcPr>
          <w:p w14:paraId="34A0CA4E" w14:textId="7C5BA45B" w:rsidR="00B9695A" w:rsidRPr="00DA2971" w:rsidRDefault="00B9695A" w:rsidP="00B9695A">
            <w:pPr>
              <w:jc w:val="both"/>
              <w:rPr>
                <w:rFonts w:eastAsia="Times New Roman"/>
                <w:bCs/>
                <w:color w:val="000000"/>
                <w:sz w:val="16"/>
                <w:szCs w:val="16"/>
                <w:lang w:val="en-US"/>
              </w:rPr>
            </w:pPr>
            <w:r w:rsidRPr="00DA2971">
              <w:rPr>
                <w:rFonts w:eastAsia="Times New Roman"/>
                <w:bCs/>
                <w:color w:val="000000"/>
                <w:sz w:val="16"/>
                <w:szCs w:val="16"/>
                <w:lang w:val="en-US"/>
              </w:rPr>
              <w:t>Abhishek Patil</w:t>
            </w:r>
          </w:p>
        </w:tc>
        <w:tc>
          <w:tcPr>
            <w:tcW w:w="540" w:type="dxa"/>
            <w:shd w:val="clear" w:color="auto" w:fill="auto"/>
            <w:noWrap/>
          </w:tcPr>
          <w:p w14:paraId="177DE429" w14:textId="53BA6905" w:rsidR="00B9695A" w:rsidRPr="00DA2971" w:rsidRDefault="00B9695A" w:rsidP="00B9695A">
            <w:pPr>
              <w:jc w:val="both"/>
              <w:rPr>
                <w:rFonts w:eastAsia="Times New Roman"/>
                <w:bCs/>
                <w:color w:val="000000"/>
                <w:sz w:val="16"/>
                <w:szCs w:val="16"/>
                <w:lang w:val="en-US"/>
              </w:rPr>
            </w:pPr>
            <w:r w:rsidRPr="00DA2971">
              <w:rPr>
                <w:rFonts w:eastAsia="Times New Roman"/>
                <w:bCs/>
                <w:color w:val="000000"/>
                <w:sz w:val="16"/>
                <w:szCs w:val="16"/>
                <w:lang w:val="en-US"/>
              </w:rPr>
              <w:t>429.50</w:t>
            </w:r>
          </w:p>
        </w:tc>
        <w:tc>
          <w:tcPr>
            <w:tcW w:w="3170" w:type="dxa"/>
            <w:shd w:val="clear" w:color="auto" w:fill="auto"/>
            <w:noWrap/>
          </w:tcPr>
          <w:p w14:paraId="53A6B9DB" w14:textId="217D00E1" w:rsidR="00B9695A" w:rsidRPr="00DA2971" w:rsidRDefault="00B9695A" w:rsidP="00B9695A">
            <w:pPr>
              <w:jc w:val="both"/>
              <w:rPr>
                <w:rFonts w:eastAsia="Times New Roman"/>
                <w:bCs/>
                <w:color w:val="000000"/>
                <w:sz w:val="16"/>
                <w:szCs w:val="16"/>
                <w:lang w:val="en-US"/>
              </w:rPr>
            </w:pPr>
            <w:r w:rsidRPr="00DA2971">
              <w:rPr>
                <w:rFonts w:eastAsia="Times New Roman"/>
                <w:bCs/>
                <w:color w:val="000000"/>
                <w:sz w:val="16"/>
                <w:szCs w:val="16"/>
                <w:lang w:val="en-US"/>
              </w:rPr>
              <w:t xml:space="preserve">FILS Authentication scheme (12.12) dramatically cuts down the number of frames exchanges during authentication. In order to reduce </w:t>
            </w:r>
            <w:proofErr w:type="spellStart"/>
            <w:r w:rsidRPr="00DA2971">
              <w:rPr>
                <w:rFonts w:eastAsia="Times New Roman"/>
                <w:bCs/>
                <w:color w:val="000000"/>
                <w:sz w:val="16"/>
                <w:szCs w:val="16"/>
                <w:lang w:val="en-US"/>
              </w:rPr>
              <w:t>mgmt</w:t>
            </w:r>
            <w:proofErr w:type="spellEnd"/>
            <w:r w:rsidRPr="00DA2971">
              <w:rPr>
                <w:rFonts w:eastAsia="Times New Roman"/>
                <w:bCs/>
                <w:color w:val="000000"/>
                <w:sz w:val="16"/>
                <w:szCs w:val="16"/>
                <w:lang w:val="en-US"/>
              </w:rPr>
              <w:t xml:space="preserve"> frame overhead, make it mandatory for non-AP STAs operating in 6GHz to support FILS Authentication scheme.</w:t>
            </w:r>
          </w:p>
        </w:tc>
        <w:tc>
          <w:tcPr>
            <w:tcW w:w="1530" w:type="dxa"/>
            <w:shd w:val="clear" w:color="auto" w:fill="auto"/>
            <w:noWrap/>
          </w:tcPr>
          <w:p w14:paraId="3E34F2E8" w14:textId="539787C3" w:rsidR="00B9695A" w:rsidRPr="00DA2971" w:rsidRDefault="00B9695A" w:rsidP="00B9695A">
            <w:pPr>
              <w:jc w:val="both"/>
              <w:rPr>
                <w:rFonts w:eastAsia="Times New Roman"/>
                <w:bCs/>
                <w:color w:val="000000"/>
                <w:sz w:val="16"/>
                <w:szCs w:val="16"/>
                <w:lang w:val="en-US"/>
              </w:rPr>
            </w:pPr>
            <w:r w:rsidRPr="00DA2971">
              <w:rPr>
                <w:rFonts w:eastAsia="Times New Roman"/>
                <w:bCs/>
                <w:color w:val="000000"/>
                <w:sz w:val="16"/>
                <w:szCs w:val="16"/>
                <w:lang w:val="en-US"/>
              </w:rPr>
              <w:t>As in comment</w:t>
            </w:r>
          </w:p>
        </w:tc>
        <w:tc>
          <w:tcPr>
            <w:tcW w:w="4320" w:type="dxa"/>
            <w:shd w:val="clear" w:color="auto" w:fill="auto"/>
            <w:vAlign w:val="center"/>
          </w:tcPr>
          <w:p w14:paraId="5F89A3DF" w14:textId="16652CE8" w:rsidR="00B9695A" w:rsidRPr="00DA2971" w:rsidRDefault="006A1875" w:rsidP="00B9695A">
            <w:pPr>
              <w:jc w:val="both"/>
              <w:rPr>
                <w:rFonts w:eastAsia="Times New Roman"/>
                <w:bCs/>
                <w:color w:val="000000"/>
                <w:sz w:val="16"/>
                <w:szCs w:val="16"/>
                <w:lang w:val="en-US"/>
              </w:rPr>
            </w:pPr>
            <w:r w:rsidRPr="00DA2971">
              <w:rPr>
                <w:rFonts w:eastAsia="Times New Roman"/>
                <w:bCs/>
                <w:color w:val="000000"/>
                <w:sz w:val="16"/>
                <w:szCs w:val="16"/>
                <w:lang w:val="en-US"/>
              </w:rPr>
              <w:t>Rejected –</w:t>
            </w:r>
          </w:p>
          <w:p w14:paraId="211D753D" w14:textId="77777777" w:rsidR="006A1875" w:rsidRPr="00DA2971" w:rsidRDefault="006A1875" w:rsidP="00B9695A">
            <w:pPr>
              <w:jc w:val="both"/>
              <w:rPr>
                <w:rFonts w:eastAsia="Times New Roman"/>
                <w:bCs/>
                <w:color w:val="000000"/>
                <w:sz w:val="16"/>
                <w:szCs w:val="16"/>
                <w:lang w:val="en-US"/>
              </w:rPr>
            </w:pPr>
          </w:p>
          <w:p w14:paraId="10577AC9" w14:textId="1A60171F" w:rsidR="006A1875" w:rsidRPr="00DA2971" w:rsidRDefault="006A1875" w:rsidP="00B9695A">
            <w:pPr>
              <w:jc w:val="both"/>
              <w:rPr>
                <w:rFonts w:eastAsia="Times New Roman"/>
                <w:bCs/>
                <w:color w:val="000000"/>
                <w:sz w:val="16"/>
                <w:szCs w:val="16"/>
                <w:lang w:val="en-US"/>
              </w:rPr>
            </w:pPr>
            <w:r w:rsidRPr="00DA2971">
              <w:rPr>
                <w:rFonts w:eastAsia="Times New Roman"/>
                <w:bCs/>
                <w:color w:val="000000"/>
                <w:sz w:val="16"/>
                <w:szCs w:val="16"/>
                <w:lang w:val="en-US"/>
              </w:rPr>
              <w:t>This was discussed in the May F2F meeting and the group could not reach consensus on it. A STA can implement th</w:t>
            </w:r>
            <w:r w:rsidR="000C5FAD">
              <w:rPr>
                <w:rFonts w:eastAsia="Times New Roman"/>
                <w:bCs/>
                <w:color w:val="000000"/>
                <w:sz w:val="16"/>
                <w:szCs w:val="16"/>
                <w:lang w:val="en-US"/>
              </w:rPr>
              <w:t>e</w:t>
            </w:r>
            <w:r w:rsidRPr="00DA2971">
              <w:rPr>
                <w:rFonts w:eastAsia="Times New Roman"/>
                <w:bCs/>
                <w:color w:val="000000"/>
                <w:sz w:val="16"/>
                <w:szCs w:val="16"/>
                <w:lang w:val="en-US"/>
              </w:rPr>
              <w:t xml:space="preserve"> feature if it wants to reap the benefits of it.</w:t>
            </w:r>
            <w:bookmarkStart w:id="0" w:name="_GoBack"/>
            <w:bookmarkEnd w:id="0"/>
          </w:p>
        </w:tc>
      </w:tr>
      <w:tr w:rsidR="00B9695A" w:rsidRPr="001F620B" w14:paraId="4E4E7B55" w14:textId="77777777" w:rsidTr="00D9303C">
        <w:trPr>
          <w:trHeight w:val="220"/>
        </w:trPr>
        <w:tc>
          <w:tcPr>
            <w:tcW w:w="696" w:type="dxa"/>
            <w:shd w:val="clear" w:color="auto" w:fill="auto"/>
            <w:noWrap/>
          </w:tcPr>
          <w:p w14:paraId="197132BB" w14:textId="62BD3490" w:rsidR="00B9695A" w:rsidRPr="006A1875" w:rsidRDefault="00B9695A" w:rsidP="00B9695A">
            <w:pPr>
              <w:jc w:val="both"/>
              <w:rPr>
                <w:rFonts w:eastAsia="Times New Roman"/>
                <w:bCs/>
                <w:color w:val="000000"/>
                <w:sz w:val="16"/>
                <w:szCs w:val="16"/>
                <w:lang w:val="en-US"/>
              </w:rPr>
            </w:pPr>
            <w:r w:rsidRPr="006A1875">
              <w:rPr>
                <w:rFonts w:eastAsia="Times New Roman"/>
                <w:bCs/>
                <w:color w:val="000000"/>
                <w:sz w:val="16"/>
                <w:szCs w:val="16"/>
                <w:lang w:val="en-US"/>
              </w:rPr>
              <w:t>20075</w:t>
            </w:r>
          </w:p>
        </w:tc>
        <w:tc>
          <w:tcPr>
            <w:tcW w:w="1061" w:type="dxa"/>
            <w:shd w:val="clear" w:color="auto" w:fill="auto"/>
            <w:noWrap/>
          </w:tcPr>
          <w:p w14:paraId="26B3F9BD" w14:textId="0F965BBF" w:rsidR="00B9695A" w:rsidRPr="006A1875" w:rsidRDefault="00B9695A" w:rsidP="00B9695A">
            <w:pPr>
              <w:jc w:val="both"/>
              <w:rPr>
                <w:rFonts w:eastAsia="Times New Roman"/>
                <w:bCs/>
                <w:color w:val="000000"/>
                <w:sz w:val="16"/>
                <w:szCs w:val="16"/>
                <w:lang w:val="en-US"/>
              </w:rPr>
            </w:pPr>
            <w:r w:rsidRPr="006A1875">
              <w:rPr>
                <w:rFonts w:eastAsia="Times New Roman"/>
                <w:bCs/>
                <w:color w:val="000000"/>
                <w:sz w:val="16"/>
                <w:szCs w:val="16"/>
                <w:lang w:val="en-US"/>
              </w:rPr>
              <w:t>Abhishek Patil</w:t>
            </w:r>
          </w:p>
        </w:tc>
        <w:tc>
          <w:tcPr>
            <w:tcW w:w="540" w:type="dxa"/>
            <w:shd w:val="clear" w:color="auto" w:fill="auto"/>
            <w:noWrap/>
          </w:tcPr>
          <w:p w14:paraId="61809E47" w14:textId="315BD0B7" w:rsidR="00B9695A" w:rsidRPr="006A1875" w:rsidRDefault="00B9695A" w:rsidP="00B9695A">
            <w:pPr>
              <w:jc w:val="both"/>
              <w:rPr>
                <w:rFonts w:eastAsia="Times New Roman"/>
                <w:bCs/>
                <w:color w:val="000000"/>
                <w:sz w:val="16"/>
                <w:szCs w:val="16"/>
                <w:lang w:val="en-US"/>
              </w:rPr>
            </w:pPr>
            <w:r w:rsidRPr="006A1875">
              <w:rPr>
                <w:rFonts w:eastAsia="Times New Roman"/>
                <w:bCs/>
                <w:color w:val="000000"/>
                <w:sz w:val="16"/>
                <w:szCs w:val="16"/>
                <w:lang w:val="en-US"/>
              </w:rPr>
              <w:t>429.64</w:t>
            </w:r>
          </w:p>
        </w:tc>
        <w:tc>
          <w:tcPr>
            <w:tcW w:w="3170" w:type="dxa"/>
            <w:shd w:val="clear" w:color="auto" w:fill="auto"/>
            <w:noWrap/>
          </w:tcPr>
          <w:p w14:paraId="1E44E2BC" w14:textId="77403461" w:rsidR="00B9695A" w:rsidRPr="006A1875" w:rsidRDefault="00B9695A" w:rsidP="00B9695A">
            <w:pPr>
              <w:jc w:val="both"/>
              <w:rPr>
                <w:rFonts w:eastAsia="Times New Roman"/>
                <w:bCs/>
                <w:color w:val="000000"/>
                <w:sz w:val="16"/>
                <w:szCs w:val="16"/>
                <w:lang w:val="en-US"/>
              </w:rPr>
            </w:pPr>
            <w:r w:rsidRPr="006A1875">
              <w:rPr>
                <w:rFonts w:eastAsia="Times New Roman"/>
                <w:bCs/>
                <w:color w:val="000000"/>
                <w:sz w:val="16"/>
                <w:szCs w:val="16"/>
                <w:lang w:val="en-US"/>
              </w:rPr>
              <w:t xml:space="preserve">In addition to not transmitting (V)HT Cap/Op, the related MIB variables should also be set to false so that the condition to include these IEs in various </w:t>
            </w:r>
            <w:proofErr w:type="spellStart"/>
            <w:r w:rsidRPr="006A1875">
              <w:rPr>
                <w:rFonts w:eastAsia="Times New Roman"/>
                <w:bCs/>
                <w:color w:val="000000"/>
                <w:sz w:val="16"/>
                <w:szCs w:val="16"/>
                <w:lang w:val="en-US"/>
              </w:rPr>
              <w:t>mgmt</w:t>
            </w:r>
            <w:proofErr w:type="spellEnd"/>
            <w:r w:rsidRPr="006A1875">
              <w:rPr>
                <w:rFonts w:eastAsia="Times New Roman"/>
                <w:bCs/>
                <w:color w:val="000000"/>
                <w:sz w:val="16"/>
                <w:szCs w:val="16"/>
                <w:lang w:val="en-US"/>
              </w:rPr>
              <w:t xml:space="preserve"> frames formats is not met (Table 9-34, 96 and so on)</w:t>
            </w:r>
          </w:p>
        </w:tc>
        <w:tc>
          <w:tcPr>
            <w:tcW w:w="1530" w:type="dxa"/>
            <w:shd w:val="clear" w:color="auto" w:fill="auto"/>
            <w:noWrap/>
          </w:tcPr>
          <w:p w14:paraId="53BB1113" w14:textId="752666B2" w:rsidR="00B9695A" w:rsidRPr="006A1875" w:rsidRDefault="00B9695A" w:rsidP="00B9695A">
            <w:pPr>
              <w:jc w:val="both"/>
              <w:rPr>
                <w:rFonts w:eastAsia="Times New Roman"/>
                <w:bCs/>
                <w:color w:val="000000"/>
                <w:sz w:val="16"/>
                <w:szCs w:val="16"/>
                <w:lang w:val="en-US"/>
              </w:rPr>
            </w:pPr>
            <w:r w:rsidRPr="006A1875">
              <w:rPr>
                <w:rFonts w:eastAsia="Times New Roman"/>
                <w:bCs/>
                <w:color w:val="000000"/>
                <w:sz w:val="16"/>
                <w:szCs w:val="16"/>
                <w:lang w:val="en-US"/>
              </w:rPr>
              <w:t>Mention that shall set dot11HTOption... and dot11VHTOptionImplemented to false.</w:t>
            </w:r>
          </w:p>
        </w:tc>
        <w:tc>
          <w:tcPr>
            <w:tcW w:w="4320" w:type="dxa"/>
            <w:shd w:val="clear" w:color="auto" w:fill="auto"/>
            <w:vAlign w:val="center"/>
          </w:tcPr>
          <w:p w14:paraId="77F88069" w14:textId="5E8B110C" w:rsidR="00B9695A" w:rsidRPr="006A1875" w:rsidRDefault="00DB3801" w:rsidP="00B9695A">
            <w:pPr>
              <w:jc w:val="both"/>
              <w:rPr>
                <w:rFonts w:eastAsia="Times New Roman"/>
                <w:bCs/>
                <w:color w:val="000000"/>
                <w:sz w:val="16"/>
                <w:szCs w:val="16"/>
                <w:lang w:val="en-US"/>
              </w:rPr>
            </w:pPr>
            <w:r w:rsidRPr="006A1875">
              <w:rPr>
                <w:rFonts w:eastAsia="Times New Roman"/>
                <w:bCs/>
                <w:color w:val="000000"/>
                <w:sz w:val="16"/>
                <w:szCs w:val="16"/>
                <w:lang w:val="en-US"/>
              </w:rPr>
              <w:t>Revised –</w:t>
            </w:r>
          </w:p>
          <w:p w14:paraId="331E2DCF" w14:textId="77777777" w:rsidR="00DB3801" w:rsidRPr="006A1875" w:rsidRDefault="00DB3801" w:rsidP="00B9695A">
            <w:pPr>
              <w:jc w:val="both"/>
              <w:rPr>
                <w:rFonts w:eastAsia="Times New Roman"/>
                <w:bCs/>
                <w:color w:val="000000"/>
                <w:sz w:val="16"/>
                <w:szCs w:val="16"/>
                <w:lang w:val="en-US"/>
              </w:rPr>
            </w:pPr>
          </w:p>
          <w:p w14:paraId="752988E3" w14:textId="42490863" w:rsidR="00DB3801" w:rsidRPr="006A1875" w:rsidRDefault="00DB3801" w:rsidP="00B9695A">
            <w:pPr>
              <w:jc w:val="both"/>
              <w:rPr>
                <w:rFonts w:eastAsia="Times New Roman"/>
                <w:bCs/>
                <w:color w:val="000000"/>
                <w:sz w:val="16"/>
                <w:szCs w:val="16"/>
                <w:lang w:val="en-US"/>
              </w:rPr>
            </w:pPr>
            <w:r w:rsidRPr="006A1875">
              <w:rPr>
                <w:rFonts w:eastAsia="Times New Roman"/>
                <w:bCs/>
                <w:color w:val="000000"/>
                <w:sz w:val="16"/>
                <w:szCs w:val="16"/>
                <w:lang w:val="en-US"/>
              </w:rPr>
              <w:t xml:space="preserve">This CID has been resolved in document 19/963r1 </w:t>
            </w:r>
            <w:r w:rsidR="006A1875" w:rsidRPr="006A1875">
              <w:rPr>
                <w:rFonts w:eastAsia="Times New Roman"/>
                <w:bCs/>
                <w:color w:val="000000"/>
                <w:sz w:val="16"/>
                <w:szCs w:val="16"/>
                <w:lang w:val="en-US"/>
              </w:rPr>
              <w:t xml:space="preserve">under CID 20456. The resolution is to remove the cases that mention that these MIB variables are set to false since HE STAs are VHT STAs.  </w:t>
            </w:r>
          </w:p>
          <w:p w14:paraId="12194D6D" w14:textId="77777777" w:rsidR="006A1875" w:rsidRPr="006A1875" w:rsidRDefault="006A1875" w:rsidP="00B9695A">
            <w:pPr>
              <w:jc w:val="both"/>
              <w:rPr>
                <w:rFonts w:eastAsia="Times New Roman"/>
                <w:bCs/>
                <w:color w:val="000000"/>
                <w:sz w:val="16"/>
                <w:szCs w:val="16"/>
                <w:lang w:val="en-US"/>
              </w:rPr>
            </w:pPr>
          </w:p>
          <w:p w14:paraId="4A8AEA62" w14:textId="1522005A" w:rsidR="006A1875" w:rsidRPr="006A1875" w:rsidRDefault="006A1875" w:rsidP="00B9695A">
            <w:pPr>
              <w:jc w:val="both"/>
              <w:rPr>
                <w:rFonts w:eastAsia="Times New Roman"/>
                <w:bCs/>
                <w:color w:val="000000"/>
                <w:sz w:val="16"/>
                <w:szCs w:val="16"/>
                <w:lang w:val="en-US"/>
              </w:rPr>
            </w:pPr>
            <w:r w:rsidRPr="006A1875">
              <w:rPr>
                <w:rFonts w:eastAsia="Times New Roman"/>
                <w:bCs/>
                <w:color w:val="000000"/>
                <w:sz w:val="16"/>
                <w:szCs w:val="16"/>
                <w:lang w:val="en-US"/>
              </w:rPr>
              <w:t>TGax editor to make the changes shown in 11-19/0963r1 under all headings that include CID 20</w:t>
            </w:r>
            <w:r w:rsidRPr="006A1875">
              <w:rPr>
                <w:rFonts w:eastAsia="Times New Roman"/>
                <w:bCs/>
                <w:color w:val="000000"/>
                <w:sz w:val="16"/>
                <w:szCs w:val="16"/>
                <w:lang w:val="en-US"/>
              </w:rPr>
              <w:t>075</w:t>
            </w:r>
            <w:r w:rsidRPr="006A1875">
              <w:rPr>
                <w:rFonts w:eastAsia="Times New Roman"/>
                <w:bCs/>
                <w:color w:val="000000"/>
                <w:sz w:val="16"/>
                <w:szCs w:val="16"/>
                <w:lang w:val="en-US"/>
              </w:rPr>
              <w:t>.</w:t>
            </w:r>
          </w:p>
        </w:tc>
      </w:tr>
      <w:tr w:rsidR="00B9695A" w:rsidRPr="001F620B" w14:paraId="676D2805" w14:textId="77777777" w:rsidTr="00D9303C">
        <w:trPr>
          <w:trHeight w:val="220"/>
        </w:trPr>
        <w:tc>
          <w:tcPr>
            <w:tcW w:w="696" w:type="dxa"/>
            <w:shd w:val="clear" w:color="auto" w:fill="auto"/>
            <w:noWrap/>
          </w:tcPr>
          <w:p w14:paraId="4E0B9269" w14:textId="164A634A" w:rsidR="00B9695A" w:rsidRPr="007F0294" w:rsidRDefault="00B9695A" w:rsidP="00B9695A">
            <w:pPr>
              <w:jc w:val="both"/>
              <w:rPr>
                <w:rFonts w:eastAsia="Times New Roman"/>
                <w:bCs/>
                <w:color w:val="000000"/>
                <w:sz w:val="16"/>
                <w:szCs w:val="16"/>
                <w:lang w:val="en-US"/>
              </w:rPr>
            </w:pPr>
            <w:r w:rsidRPr="007F0294">
              <w:rPr>
                <w:rFonts w:eastAsia="Times New Roman"/>
                <w:bCs/>
                <w:color w:val="000000"/>
                <w:sz w:val="16"/>
                <w:szCs w:val="16"/>
                <w:lang w:val="en-US"/>
              </w:rPr>
              <w:t>20130</w:t>
            </w:r>
          </w:p>
        </w:tc>
        <w:tc>
          <w:tcPr>
            <w:tcW w:w="1061" w:type="dxa"/>
            <w:shd w:val="clear" w:color="auto" w:fill="auto"/>
            <w:noWrap/>
          </w:tcPr>
          <w:p w14:paraId="2CFCA754" w14:textId="3ECFCA80" w:rsidR="00B9695A" w:rsidRPr="007F0294" w:rsidRDefault="00B9695A" w:rsidP="00B9695A">
            <w:pPr>
              <w:jc w:val="both"/>
              <w:rPr>
                <w:rFonts w:eastAsia="Times New Roman"/>
                <w:bCs/>
                <w:color w:val="000000"/>
                <w:sz w:val="16"/>
                <w:szCs w:val="16"/>
                <w:lang w:val="en-US"/>
              </w:rPr>
            </w:pPr>
            <w:r w:rsidRPr="007F0294">
              <w:rPr>
                <w:rFonts w:eastAsia="Times New Roman"/>
                <w:bCs/>
                <w:color w:val="000000"/>
                <w:sz w:val="16"/>
                <w:szCs w:val="16"/>
                <w:lang w:val="en-US"/>
              </w:rPr>
              <w:t>Alfred Asterjadhi</w:t>
            </w:r>
          </w:p>
        </w:tc>
        <w:tc>
          <w:tcPr>
            <w:tcW w:w="540" w:type="dxa"/>
            <w:shd w:val="clear" w:color="auto" w:fill="auto"/>
            <w:noWrap/>
          </w:tcPr>
          <w:p w14:paraId="73AC0B8B" w14:textId="2A62C58A" w:rsidR="00B9695A" w:rsidRPr="007F0294" w:rsidRDefault="00B9695A" w:rsidP="00B9695A">
            <w:pPr>
              <w:jc w:val="both"/>
              <w:rPr>
                <w:rFonts w:eastAsia="Times New Roman"/>
                <w:bCs/>
                <w:color w:val="000000"/>
                <w:sz w:val="16"/>
                <w:szCs w:val="16"/>
                <w:lang w:val="en-US"/>
              </w:rPr>
            </w:pPr>
            <w:r w:rsidRPr="007F0294">
              <w:rPr>
                <w:rFonts w:eastAsia="Times New Roman"/>
                <w:bCs/>
                <w:color w:val="000000"/>
                <w:sz w:val="16"/>
                <w:szCs w:val="16"/>
                <w:lang w:val="en-US"/>
              </w:rPr>
              <w:t>429.49</w:t>
            </w:r>
          </w:p>
        </w:tc>
        <w:tc>
          <w:tcPr>
            <w:tcW w:w="3170" w:type="dxa"/>
            <w:shd w:val="clear" w:color="auto" w:fill="auto"/>
            <w:noWrap/>
          </w:tcPr>
          <w:p w14:paraId="2A43BF05" w14:textId="5D3EA56F" w:rsidR="00B9695A" w:rsidRPr="007F0294" w:rsidRDefault="00B9695A" w:rsidP="00B9695A">
            <w:pPr>
              <w:jc w:val="both"/>
              <w:rPr>
                <w:rFonts w:eastAsia="Times New Roman"/>
                <w:bCs/>
                <w:color w:val="000000"/>
                <w:sz w:val="16"/>
                <w:szCs w:val="16"/>
                <w:lang w:val="en-US"/>
              </w:rPr>
            </w:pPr>
            <w:r w:rsidRPr="007F0294">
              <w:rPr>
                <w:rFonts w:eastAsia="Times New Roman"/>
                <w:bCs/>
                <w:color w:val="000000"/>
                <w:sz w:val="16"/>
                <w:szCs w:val="16"/>
                <w:lang w:val="en-US"/>
              </w:rPr>
              <w:t>HE STAs are the first 802.11 STAs to use the 6 GHz band. For which we can enforce respecting of TXOP limits. Ensure that a TXOP holder shall not exceed the TXOP limit specified for the BSS of which it is a member of when transmitting PPDUs in the 6 GHz band.</w:t>
            </w:r>
          </w:p>
        </w:tc>
        <w:tc>
          <w:tcPr>
            <w:tcW w:w="1530" w:type="dxa"/>
            <w:shd w:val="clear" w:color="auto" w:fill="auto"/>
            <w:noWrap/>
          </w:tcPr>
          <w:p w14:paraId="0403EF79" w14:textId="475D8D62" w:rsidR="00B9695A" w:rsidRPr="007F0294" w:rsidRDefault="00B9695A" w:rsidP="00B9695A">
            <w:pPr>
              <w:jc w:val="both"/>
              <w:rPr>
                <w:rFonts w:eastAsia="Times New Roman"/>
                <w:bCs/>
                <w:color w:val="000000"/>
                <w:sz w:val="16"/>
                <w:szCs w:val="16"/>
                <w:lang w:val="en-US"/>
              </w:rPr>
            </w:pPr>
            <w:r w:rsidRPr="007F0294">
              <w:rPr>
                <w:rFonts w:eastAsia="Times New Roman"/>
                <w:bCs/>
                <w:color w:val="000000"/>
                <w:sz w:val="16"/>
                <w:szCs w:val="16"/>
                <w:lang w:val="en-US"/>
              </w:rPr>
              <w:t>As in comment.</w:t>
            </w:r>
          </w:p>
        </w:tc>
        <w:tc>
          <w:tcPr>
            <w:tcW w:w="4320" w:type="dxa"/>
            <w:shd w:val="clear" w:color="auto" w:fill="auto"/>
            <w:vAlign w:val="center"/>
          </w:tcPr>
          <w:p w14:paraId="5B9E940A" w14:textId="041FC548" w:rsidR="00B9695A" w:rsidRPr="007F0294" w:rsidRDefault="00394E6A" w:rsidP="00B9695A">
            <w:pPr>
              <w:jc w:val="both"/>
              <w:rPr>
                <w:rFonts w:eastAsia="Times New Roman"/>
                <w:bCs/>
                <w:color w:val="000000"/>
                <w:sz w:val="16"/>
                <w:szCs w:val="16"/>
                <w:lang w:val="en-US"/>
              </w:rPr>
            </w:pPr>
            <w:r w:rsidRPr="007F0294">
              <w:rPr>
                <w:rFonts w:eastAsia="Times New Roman"/>
                <w:bCs/>
                <w:color w:val="000000"/>
                <w:sz w:val="16"/>
                <w:szCs w:val="16"/>
                <w:lang w:val="en-US"/>
              </w:rPr>
              <w:t>Rejected –</w:t>
            </w:r>
          </w:p>
          <w:p w14:paraId="1BB52D7E" w14:textId="77777777" w:rsidR="00394E6A" w:rsidRPr="007F0294" w:rsidRDefault="00394E6A" w:rsidP="00B9695A">
            <w:pPr>
              <w:jc w:val="both"/>
              <w:rPr>
                <w:rFonts w:eastAsia="Times New Roman"/>
                <w:bCs/>
                <w:color w:val="000000"/>
                <w:sz w:val="16"/>
                <w:szCs w:val="16"/>
                <w:lang w:val="en-US"/>
              </w:rPr>
            </w:pPr>
          </w:p>
          <w:p w14:paraId="2606A177" w14:textId="1F62E1F2" w:rsidR="00394E6A" w:rsidRPr="007F0294" w:rsidRDefault="00394E6A" w:rsidP="00B9695A">
            <w:pPr>
              <w:jc w:val="both"/>
              <w:rPr>
                <w:rFonts w:eastAsia="Times New Roman"/>
                <w:bCs/>
                <w:color w:val="000000"/>
                <w:sz w:val="16"/>
                <w:szCs w:val="16"/>
                <w:lang w:val="en-US"/>
              </w:rPr>
            </w:pPr>
            <w:r w:rsidRPr="007F0294">
              <w:rPr>
                <w:rFonts w:eastAsia="Times New Roman"/>
                <w:bCs/>
                <w:color w:val="000000"/>
                <w:sz w:val="16"/>
                <w:szCs w:val="16"/>
                <w:lang w:val="en-US"/>
              </w:rPr>
              <w:t xml:space="preserve">This was discussed in the May F2F meeting and the group could not reach consensus on it. </w:t>
            </w:r>
            <w:r w:rsidR="006C09BC" w:rsidRPr="007F0294">
              <w:rPr>
                <w:rFonts w:eastAsia="Times New Roman"/>
                <w:bCs/>
                <w:color w:val="000000"/>
                <w:sz w:val="16"/>
                <w:szCs w:val="16"/>
                <w:lang w:val="en-US"/>
              </w:rPr>
              <w:t>A device that is standards compliant will already be respecting the TXOP.</w:t>
            </w:r>
          </w:p>
        </w:tc>
      </w:tr>
      <w:tr w:rsidR="00B9695A" w:rsidRPr="001F620B" w14:paraId="38DDC629" w14:textId="77777777" w:rsidTr="00D9303C">
        <w:trPr>
          <w:trHeight w:val="220"/>
        </w:trPr>
        <w:tc>
          <w:tcPr>
            <w:tcW w:w="696" w:type="dxa"/>
            <w:shd w:val="clear" w:color="auto" w:fill="auto"/>
            <w:noWrap/>
          </w:tcPr>
          <w:p w14:paraId="0D1B4311" w14:textId="207E1B23" w:rsidR="00B9695A" w:rsidRPr="00467C30" w:rsidRDefault="00B9695A" w:rsidP="00B9695A">
            <w:pPr>
              <w:jc w:val="both"/>
              <w:rPr>
                <w:rFonts w:eastAsia="Times New Roman"/>
                <w:bCs/>
                <w:color w:val="000000"/>
                <w:sz w:val="16"/>
                <w:szCs w:val="16"/>
                <w:lang w:val="en-US"/>
              </w:rPr>
            </w:pPr>
            <w:r w:rsidRPr="00467C30">
              <w:rPr>
                <w:rFonts w:eastAsia="Times New Roman"/>
                <w:bCs/>
                <w:color w:val="000000"/>
                <w:sz w:val="16"/>
                <w:szCs w:val="16"/>
                <w:lang w:val="en-US"/>
              </w:rPr>
              <w:t>20211</w:t>
            </w:r>
          </w:p>
        </w:tc>
        <w:tc>
          <w:tcPr>
            <w:tcW w:w="1061" w:type="dxa"/>
            <w:shd w:val="clear" w:color="auto" w:fill="auto"/>
            <w:noWrap/>
          </w:tcPr>
          <w:p w14:paraId="69E89168" w14:textId="20E3D1D4" w:rsidR="00B9695A" w:rsidRPr="00467C30" w:rsidRDefault="00B9695A" w:rsidP="00B9695A">
            <w:pPr>
              <w:jc w:val="both"/>
              <w:rPr>
                <w:rFonts w:eastAsia="Times New Roman"/>
                <w:bCs/>
                <w:color w:val="000000"/>
                <w:sz w:val="16"/>
                <w:szCs w:val="16"/>
                <w:lang w:val="en-US"/>
              </w:rPr>
            </w:pPr>
            <w:r w:rsidRPr="00467C30">
              <w:rPr>
                <w:rFonts w:eastAsia="Times New Roman"/>
                <w:bCs/>
                <w:color w:val="000000"/>
                <w:sz w:val="16"/>
                <w:szCs w:val="16"/>
                <w:lang w:val="en-US"/>
              </w:rPr>
              <w:t>GEORGE CHERIAN</w:t>
            </w:r>
          </w:p>
        </w:tc>
        <w:tc>
          <w:tcPr>
            <w:tcW w:w="540" w:type="dxa"/>
            <w:shd w:val="clear" w:color="auto" w:fill="auto"/>
            <w:noWrap/>
          </w:tcPr>
          <w:p w14:paraId="1A1F1F65" w14:textId="193AB5C0" w:rsidR="00B9695A" w:rsidRPr="00467C30" w:rsidRDefault="00B9695A" w:rsidP="00B9695A">
            <w:pPr>
              <w:jc w:val="both"/>
              <w:rPr>
                <w:rFonts w:eastAsia="Times New Roman"/>
                <w:bCs/>
                <w:color w:val="000000"/>
                <w:sz w:val="16"/>
                <w:szCs w:val="16"/>
                <w:lang w:val="en-US"/>
              </w:rPr>
            </w:pPr>
            <w:r w:rsidRPr="00467C30">
              <w:rPr>
                <w:rFonts w:eastAsia="Times New Roman"/>
                <w:bCs/>
                <w:color w:val="000000"/>
                <w:sz w:val="16"/>
                <w:szCs w:val="16"/>
                <w:lang w:val="en-US"/>
              </w:rPr>
              <w:t>430.00</w:t>
            </w:r>
          </w:p>
        </w:tc>
        <w:tc>
          <w:tcPr>
            <w:tcW w:w="3170" w:type="dxa"/>
            <w:shd w:val="clear" w:color="auto" w:fill="auto"/>
            <w:noWrap/>
          </w:tcPr>
          <w:p w14:paraId="37042CA6" w14:textId="3415E4B0" w:rsidR="00B9695A" w:rsidRPr="00467C30" w:rsidRDefault="00B9695A" w:rsidP="00B9695A">
            <w:pPr>
              <w:jc w:val="both"/>
              <w:rPr>
                <w:rFonts w:eastAsia="Times New Roman"/>
                <w:bCs/>
                <w:color w:val="000000"/>
                <w:sz w:val="16"/>
                <w:szCs w:val="16"/>
                <w:lang w:val="en-US"/>
              </w:rPr>
            </w:pPr>
            <w:r w:rsidRPr="00467C30">
              <w:rPr>
                <w:rFonts w:eastAsia="Times New Roman"/>
                <w:bCs/>
                <w:color w:val="000000"/>
                <w:sz w:val="16"/>
                <w:szCs w:val="16"/>
                <w:lang w:val="en-US"/>
              </w:rPr>
              <w:t>6GHz access: Add rules to MU EDCA access that will help AP to better manage the medium. For example, instead of starting the MU EDCA timer only for the AC for which an MPDU is sent in the HE TB PPDU, start the timer for all ACs (of course, with different values as in the draft) if the HE TB PPDU is sent by the STA irrespective of the AC of the MPDU that is carried in the HE TB PPDU</w:t>
            </w:r>
          </w:p>
        </w:tc>
        <w:tc>
          <w:tcPr>
            <w:tcW w:w="1530" w:type="dxa"/>
            <w:shd w:val="clear" w:color="auto" w:fill="auto"/>
            <w:noWrap/>
          </w:tcPr>
          <w:p w14:paraId="3631B6AB" w14:textId="46F2F487" w:rsidR="00B9695A" w:rsidRPr="00467C30" w:rsidRDefault="00B9695A" w:rsidP="00B9695A">
            <w:pPr>
              <w:jc w:val="both"/>
              <w:rPr>
                <w:rFonts w:eastAsia="Times New Roman"/>
                <w:bCs/>
                <w:color w:val="000000"/>
                <w:sz w:val="16"/>
                <w:szCs w:val="16"/>
                <w:lang w:val="en-US"/>
              </w:rPr>
            </w:pPr>
            <w:r w:rsidRPr="00467C30">
              <w:rPr>
                <w:rFonts w:eastAsia="Times New Roman"/>
                <w:bCs/>
                <w:color w:val="000000"/>
                <w:sz w:val="16"/>
                <w:szCs w:val="16"/>
                <w:lang w:val="en-US"/>
              </w:rPr>
              <w:t>As in the comment.</w:t>
            </w:r>
          </w:p>
        </w:tc>
        <w:tc>
          <w:tcPr>
            <w:tcW w:w="4320" w:type="dxa"/>
            <w:shd w:val="clear" w:color="auto" w:fill="auto"/>
            <w:vAlign w:val="center"/>
          </w:tcPr>
          <w:p w14:paraId="7F8F0CDE" w14:textId="11FE28FA" w:rsidR="007F0294" w:rsidRPr="00467C30" w:rsidRDefault="007F0294" w:rsidP="00B9695A">
            <w:pPr>
              <w:jc w:val="both"/>
              <w:rPr>
                <w:rFonts w:eastAsia="Times New Roman"/>
                <w:bCs/>
                <w:color w:val="000000"/>
                <w:sz w:val="16"/>
                <w:szCs w:val="16"/>
                <w:lang w:val="en-US"/>
              </w:rPr>
            </w:pPr>
            <w:r w:rsidRPr="00467C30">
              <w:rPr>
                <w:rFonts w:eastAsia="Times New Roman"/>
                <w:bCs/>
                <w:color w:val="000000"/>
                <w:sz w:val="16"/>
                <w:szCs w:val="16"/>
                <w:lang w:val="en-US"/>
              </w:rPr>
              <w:t>Rejected –</w:t>
            </w:r>
          </w:p>
          <w:p w14:paraId="08EB1312" w14:textId="77777777" w:rsidR="007F0294" w:rsidRPr="00467C30" w:rsidRDefault="007F0294" w:rsidP="00B9695A">
            <w:pPr>
              <w:jc w:val="both"/>
              <w:rPr>
                <w:rFonts w:eastAsia="Times New Roman"/>
                <w:bCs/>
                <w:color w:val="000000"/>
                <w:sz w:val="16"/>
                <w:szCs w:val="16"/>
                <w:lang w:val="en-US"/>
              </w:rPr>
            </w:pPr>
          </w:p>
          <w:p w14:paraId="2C399A36" w14:textId="760F9D6B" w:rsidR="007F0294" w:rsidRPr="00467C30" w:rsidRDefault="00467C30" w:rsidP="00B9695A">
            <w:pPr>
              <w:jc w:val="both"/>
              <w:rPr>
                <w:rFonts w:eastAsia="Times New Roman"/>
                <w:bCs/>
                <w:color w:val="000000"/>
                <w:sz w:val="16"/>
                <w:szCs w:val="16"/>
                <w:lang w:val="en-US"/>
              </w:rPr>
            </w:pPr>
            <w:r w:rsidRPr="00467C30">
              <w:rPr>
                <w:rFonts w:eastAsia="Times New Roman"/>
                <w:bCs/>
                <w:color w:val="000000"/>
                <w:sz w:val="16"/>
                <w:szCs w:val="16"/>
                <w:lang w:val="en-US"/>
              </w:rPr>
              <w:t>This was discussed earlier in the preceding meetings and the group could not reach consensus on it. The expectation is that a device will generally wait to be triggered by the AP, and if the AP behaves appropriately (i.e., schedules the STA frequently) then the STA will not contend on its own to send frames using EDCA.</w:t>
            </w:r>
          </w:p>
        </w:tc>
      </w:tr>
      <w:tr w:rsidR="00B9695A" w:rsidRPr="001F620B" w14:paraId="38D77B56" w14:textId="77777777" w:rsidTr="00D9303C">
        <w:trPr>
          <w:trHeight w:val="220"/>
        </w:trPr>
        <w:tc>
          <w:tcPr>
            <w:tcW w:w="696" w:type="dxa"/>
            <w:shd w:val="clear" w:color="auto" w:fill="auto"/>
            <w:noWrap/>
          </w:tcPr>
          <w:p w14:paraId="75A943F3" w14:textId="5EF569C3" w:rsidR="00B9695A" w:rsidRPr="002130DC" w:rsidRDefault="00B9695A" w:rsidP="00B9695A">
            <w:pPr>
              <w:jc w:val="both"/>
              <w:rPr>
                <w:rFonts w:eastAsia="Times New Roman"/>
                <w:bCs/>
                <w:color w:val="000000"/>
                <w:sz w:val="16"/>
                <w:szCs w:val="16"/>
                <w:lang w:val="en-US"/>
              </w:rPr>
            </w:pPr>
            <w:r w:rsidRPr="00B9695A">
              <w:rPr>
                <w:rFonts w:eastAsia="Times New Roman"/>
                <w:bCs/>
                <w:color w:val="000000"/>
                <w:sz w:val="16"/>
                <w:szCs w:val="16"/>
                <w:lang w:val="en-US"/>
              </w:rPr>
              <w:t>21512</w:t>
            </w:r>
          </w:p>
        </w:tc>
        <w:tc>
          <w:tcPr>
            <w:tcW w:w="1061" w:type="dxa"/>
            <w:shd w:val="clear" w:color="auto" w:fill="auto"/>
            <w:noWrap/>
          </w:tcPr>
          <w:p w14:paraId="79A0B7A9" w14:textId="07E73D14" w:rsidR="00B9695A" w:rsidRPr="002130DC" w:rsidRDefault="00B9695A" w:rsidP="00B9695A">
            <w:pPr>
              <w:jc w:val="both"/>
              <w:rPr>
                <w:rFonts w:eastAsia="Times New Roman"/>
                <w:bCs/>
                <w:color w:val="000000"/>
                <w:sz w:val="16"/>
                <w:szCs w:val="16"/>
                <w:lang w:val="en-US"/>
              </w:rPr>
            </w:pPr>
            <w:r w:rsidRPr="00B9695A">
              <w:rPr>
                <w:rFonts w:eastAsia="Times New Roman"/>
                <w:bCs/>
                <w:color w:val="000000"/>
                <w:sz w:val="16"/>
                <w:szCs w:val="16"/>
                <w:lang w:val="en-US"/>
              </w:rPr>
              <w:t>Yonggang Fang</w:t>
            </w:r>
          </w:p>
        </w:tc>
        <w:tc>
          <w:tcPr>
            <w:tcW w:w="540" w:type="dxa"/>
            <w:shd w:val="clear" w:color="auto" w:fill="auto"/>
            <w:noWrap/>
          </w:tcPr>
          <w:p w14:paraId="25B2CE4D" w14:textId="7C5B4DC7" w:rsidR="00B9695A" w:rsidRPr="002130DC" w:rsidRDefault="00B9695A" w:rsidP="00B9695A">
            <w:pPr>
              <w:jc w:val="both"/>
              <w:rPr>
                <w:rFonts w:eastAsia="Times New Roman"/>
                <w:bCs/>
                <w:color w:val="000000"/>
                <w:sz w:val="16"/>
                <w:szCs w:val="16"/>
                <w:lang w:val="en-US"/>
              </w:rPr>
            </w:pPr>
            <w:r w:rsidRPr="00B9695A">
              <w:rPr>
                <w:rFonts w:eastAsia="Times New Roman"/>
                <w:bCs/>
                <w:color w:val="000000"/>
                <w:sz w:val="16"/>
                <w:szCs w:val="16"/>
                <w:lang w:val="en-US"/>
              </w:rPr>
              <w:t>430.59</w:t>
            </w:r>
          </w:p>
        </w:tc>
        <w:tc>
          <w:tcPr>
            <w:tcW w:w="3170" w:type="dxa"/>
            <w:shd w:val="clear" w:color="auto" w:fill="auto"/>
            <w:noWrap/>
          </w:tcPr>
          <w:p w14:paraId="57A115D8" w14:textId="719BA88C" w:rsidR="00B9695A" w:rsidRPr="002130DC" w:rsidRDefault="00B9695A" w:rsidP="00B9695A">
            <w:pPr>
              <w:jc w:val="both"/>
              <w:rPr>
                <w:rFonts w:eastAsia="Times New Roman"/>
                <w:bCs/>
                <w:color w:val="000000"/>
                <w:sz w:val="16"/>
                <w:szCs w:val="16"/>
                <w:lang w:val="en-US"/>
              </w:rPr>
            </w:pPr>
            <w:r w:rsidRPr="00B9695A">
              <w:rPr>
                <w:rFonts w:eastAsia="Times New Roman"/>
                <w:bCs/>
                <w:color w:val="000000"/>
                <w:sz w:val="16"/>
                <w:szCs w:val="16"/>
                <w:lang w:val="en-US"/>
              </w:rPr>
              <w:t>Both HE SU PPDU and HE ER SU PPDU are supported in Beacon frame format. Suggest to add HE ER SU beacon as an optional for an HE AP in 6GHz as the HE ER beacon could help to improve the receiving reliability if there is a need.</w:t>
            </w:r>
          </w:p>
        </w:tc>
        <w:tc>
          <w:tcPr>
            <w:tcW w:w="1530" w:type="dxa"/>
            <w:shd w:val="clear" w:color="auto" w:fill="auto"/>
            <w:noWrap/>
          </w:tcPr>
          <w:p w14:paraId="59CFF04F" w14:textId="7B9DE3F7" w:rsidR="00B9695A" w:rsidRPr="002130DC" w:rsidRDefault="00B9695A" w:rsidP="00B9695A">
            <w:pPr>
              <w:jc w:val="both"/>
              <w:rPr>
                <w:rFonts w:eastAsia="Times New Roman"/>
                <w:bCs/>
                <w:color w:val="000000"/>
                <w:sz w:val="16"/>
                <w:szCs w:val="16"/>
                <w:lang w:val="en-US"/>
              </w:rPr>
            </w:pPr>
            <w:r w:rsidRPr="00B9695A">
              <w:rPr>
                <w:rFonts w:eastAsia="Times New Roman"/>
                <w:bCs/>
                <w:color w:val="000000"/>
                <w:sz w:val="16"/>
                <w:szCs w:val="16"/>
                <w:lang w:val="en-US"/>
              </w:rPr>
              <w:t>As in the comment</w:t>
            </w:r>
          </w:p>
        </w:tc>
        <w:tc>
          <w:tcPr>
            <w:tcW w:w="4320" w:type="dxa"/>
            <w:shd w:val="clear" w:color="auto" w:fill="auto"/>
            <w:vAlign w:val="center"/>
          </w:tcPr>
          <w:p w14:paraId="020B90C8" w14:textId="39005121" w:rsidR="00B9695A" w:rsidRDefault="003E3F3C" w:rsidP="00B9695A">
            <w:pPr>
              <w:jc w:val="both"/>
              <w:rPr>
                <w:rFonts w:eastAsia="Times New Roman"/>
                <w:bCs/>
                <w:color w:val="000000"/>
                <w:sz w:val="16"/>
                <w:szCs w:val="16"/>
                <w:lang w:val="en-US"/>
              </w:rPr>
            </w:pPr>
            <w:r>
              <w:rPr>
                <w:rFonts w:eastAsia="Times New Roman"/>
                <w:bCs/>
                <w:color w:val="000000"/>
                <w:sz w:val="16"/>
                <w:szCs w:val="16"/>
                <w:lang w:val="en-US"/>
              </w:rPr>
              <w:t>Rejected –</w:t>
            </w:r>
          </w:p>
          <w:p w14:paraId="5C35329B" w14:textId="77777777" w:rsidR="00354048" w:rsidRDefault="00354048" w:rsidP="00B9695A">
            <w:pPr>
              <w:jc w:val="both"/>
              <w:rPr>
                <w:rFonts w:eastAsia="Times New Roman"/>
                <w:bCs/>
                <w:color w:val="000000"/>
                <w:sz w:val="16"/>
                <w:szCs w:val="16"/>
                <w:lang w:val="en-US"/>
              </w:rPr>
            </w:pPr>
          </w:p>
          <w:p w14:paraId="1942F5AC" w14:textId="6B288BF9" w:rsidR="003E3F3C" w:rsidRPr="00002955" w:rsidRDefault="003E3F3C" w:rsidP="00B9695A">
            <w:pPr>
              <w:jc w:val="both"/>
              <w:rPr>
                <w:rFonts w:eastAsia="Times New Roman"/>
                <w:bCs/>
                <w:color w:val="000000"/>
                <w:sz w:val="16"/>
                <w:szCs w:val="16"/>
                <w:lang w:val="en-US"/>
              </w:rPr>
            </w:pPr>
            <w:r>
              <w:rPr>
                <w:rFonts w:eastAsia="Times New Roman"/>
                <w:bCs/>
                <w:color w:val="000000"/>
                <w:sz w:val="16"/>
                <w:szCs w:val="16"/>
                <w:lang w:val="en-US"/>
              </w:rPr>
              <w:t xml:space="preserve">If an AP is having range issues then it should </w:t>
            </w:r>
            <w:r w:rsidR="006F6AAE">
              <w:rPr>
                <w:rFonts w:eastAsia="Times New Roman"/>
                <w:bCs/>
                <w:color w:val="000000"/>
                <w:sz w:val="16"/>
                <w:szCs w:val="16"/>
                <w:lang w:val="en-US"/>
              </w:rPr>
              <w:t xml:space="preserve">naturally </w:t>
            </w:r>
            <w:r>
              <w:rPr>
                <w:rFonts w:eastAsia="Times New Roman"/>
                <w:bCs/>
                <w:color w:val="000000"/>
                <w:sz w:val="16"/>
                <w:szCs w:val="16"/>
                <w:lang w:val="en-US"/>
              </w:rPr>
              <w:t>move to the lower bands (2.4 GHz band or 5 GHz band) rather than sending frames in ER SU PPDU, which are longer.</w:t>
            </w:r>
          </w:p>
        </w:tc>
      </w:tr>
      <w:tr w:rsidR="00076F20" w:rsidRPr="001F620B" w14:paraId="3DE9679F" w14:textId="77777777" w:rsidTr="00D9303C">
        <w:trPr>
          <w:trHeight w:val="220"/>
        </w:trPr>
        <w:tc>
          <w:tcPr>
            <w:tcW w:w="696" w:type="dxa"/>
            <w:shd w:val="clear" w:color="auto" w:fill="auto"/>
            <w:noWrap/>
          </w:tcPr>
          <w:p w14:paraId="31B6D1ED" w14:textId="48137703" w:rsidR="00076F20" w:rsidRPr="00B0055C" w:rsidRDefault="00076F20" w:rsidP="00076F20">
            <w:pPr>
              <w:jc w:val="both"/>
              <w:rPr>
                <w:rFonts w:eastAsia="Times New Roman"/>
                <w:bCs/>
                <w:color w:val="000000"/>
                <w:sz w:val="16"/>
                <w:szCs w:val="16"/>
                <w:lang w:val="en-US"/>
              </w:rPr>
            </w:pPr>
            <w:r w:rsidRPr="00B0055C">
              <w:rPr>
                <w:rFonts w:eastAsia="Times New Roman"/>
                <w:bCs/>
                <w:color w:val="000000"/>
                <w:sz w:val="16"/>
                <w:szCs w:val="16"/>
                <w:lang w:val="en-US"/>
              </w:rPr>
              <w:t>21048</w:t>
            </w:r>
          </w:p>
        </w:tc>
        <w:tc>
          <w:tcPr>
            <w:tcW w:w="1061" w:type="dxa"/>
            <w:shd w:val="clear" w:color="auto" w:fill="auto"/>
            <w:noWrap/>
          </w:tcPr>
          <w:p w14:paraId="4DA02F5D" w14:textId="2DC99B7D" w:rsidR="00076F20" w:rsidRPr="00B0055C" w:rsidRDefault="00076F20" w:rsidP="00076F20">
            <w:pPr>
              <w:jc w:val="both"/>
              <w:rPr>
                <w:rFonts w:eastAsia="Times New Roman"/>
                <w:bCs/>
                <w:color w:val="000000"/>
                <w:sz w:val="16"/>
                <w:szCs w:val="16"/>
                <w:lang w:val="en-US"/>
              </w:rPr>
            </w:pPr>
            <w:r w:rsidRPr="00B0055C">
              <w:rPr>
                <w:rFonts w:eastAsia="Times New Roman"/>
                <w:bCs/>
                <w:color w:val="000000"/>
                <w:sz w:val="16"/>
                <w:szCs w:val="16"/>
                <w:lang w:val="en-US"/>
              </w:rPr>
              <w:t>Matthew Fischer</w:t>
            </w:r>
          </w:p>
        </w:tc>
        <w:tc>
          <w:tcPr>
            <w:tcW w:w="540" w:type="dxa"/>
            <w:shd w:val="clear" w:color="auto" w:fill="auto"/>
            <w:noWrap/>
          </w:tcPr>
          <w:p w14:paraId="1545DA74" w14:textId="77777777" w:rsidR="00076F20" w:rsidRPr="00B0055C" w:rsidRDefault="00076F20" w:rsidP="00076F20">
            <w:pPr>
              <w:jc w:val="both"/>
              <w:rPr>
                <w:rFonts w:eastAsia="Times New Roman"/>
                <w:bCs/>
                <w:color w:val="000000"/>
                <w:sz w:val="16"/>
                <w:szCs w:val="16"/>
                <w:lang w:val="en-US"/>
              </w:rPr>
            </w:pPr>
          </w:p>
        </w:tc>
        <w:tc>
          <w:tcPr>
            <w:tcW w:w="3170" w:type="dxa"/>
            <w:shd w:val="clear" w:color="auto" w:fill="auto"/>
            <w:noWrap/>
          </w:tcPr>
          <w:p w14:paraId="33DA5B8C" w14:textId="5D5D254F" w:rsidR="00076F20" w:rsidRPr="00B0055C" w:rsidRDefault="00076F20" w:rsidP="00076F20">
            <w:pPr>
              <w:jc w:val="both"/>
              <w:rPr>
                <w:rFonts w:eastAsia="Times New Roman"/>
                <w:bCs/>
                <w:color w:val="000000"/>
                <w:sz w:val="16"/>
                <w:szCs w:val="16"/>
                <w:lang w:val="en-US"/>
              </w:rPr>
            </w:pPr>
            <w:r w:rsidRPr="00B0055C">
              <w:rPr>
                <w:rFonts w:eastAsia="Times New Roman"/>
                <w:bCs/>
                <w:color w:val="000000"/>
                <w:sz w:val="16"/>
                <w:szCs w:val="16"/>
                <w:lang w:val="en-US"/>
              </w:rPr>
              <w:t xml:space="preserve">Given that a new protocol might be defined for the 5.940 band, it would be good to have some way to disable EDCA access by </w:t>
            </w:r>
            <w:proofErr w:type="spellStart"/>
            <w:r w:rsidRPr="00B0055C">
              <w:rPr>
                <w:rFonts w:eastAsia="Times New Roman"/>
                <w:bCs/>
                <w:color w:val="000000"/>
                <w:sz w:val="16"/>
                <w:szCs w:val="16"/>
                <w:lang w:val="en-US"/>
              </w:rPr>
              <w:t>Tgax</w:t>
            </w:r>
            <w:proofErr w:type="spellEnd"/>
            <w:r w:rsidRPr="00B0055C">
              <w:rPr>
                <w:rFonts w:eastAsia="Times New Roman"/>
                <w:bCs/>
                <w:color w:val="000000"/>
                <w:sz w:val="16"/>
                <w:szCs w:val="16"/>
                <w:lang w:val="en-US"/>
              </w:rPr>
              <w:t xml:space="preserve"> devices in this band to allow most efficient use of this new spectrum.</w:t>
            </w:r>
          </w:p>
        </w:tc>
        <w:tc>
          <w:tcPr>
            <w:tcW w:w="1530" w:type="dxa"/>
            <w:shd w:val="clear" w:color="auto" w:fill="auto"/>
            <w:noWrap/>
          </w:tcPr>
          <w:p w14:paraId="5AF6E7AB" w14:textId="596D2B6D" w:rsidR="00076F20" w:rsidRPr="00B0055C" w:rsidRDefault="00076F20" w:rsidP="00076F20">
            <w:pPr>
              <w:jc w:val="both"/>
              <w:rPr>
                <w:rFonts w:eastAsia="Times New Roman"/>
                <w:bCs/>
                <w:color w:val="000000"/>
                <w:sz w:val="16"/>
                <w:szCs w:val="16"/>
                <w:lang w:val="en-US"/>
              </w:rPr>
            </w:pPr>
            <w:r w:rsidRPr="00B0055C">
              <w:rPr>
                <w:rFonts w:eastAsia="Times New Roman"/>
                <w:bCs/>
                <w:color w:val="000000"/>
                <w:sz w:val="16"/>
                <w:szCs w:val="16"/>
                <w:lang w:val="en-US"/>
              </w:rPr>
              <w:t xml:space="preserve">Add a signaling mechanism that allows future devices to disable EDCA in </w:t>
            </w:r>
            <w:proofErr w:type="spellStart"/>
            <w:r w:rsidRPr="00B0055C">
              <w:rPr>
                <w:rFonts w:eastAsia="Times New Roman"/>
                <w:bCs/>
                <w:color w:val="000000"/>
                <w:sz w:val="16"/>
                <w:szCs w:val="16"/>
                <w:lang w:val="en-US"/>
              </w:rPr>
              <w:t>Tgax</w:t>
            </w:r>
            <w:proofErr w:type="spellEnd"/>
            <w:r w:rsidRPr="00B0055C">
              <w:rPr>
                <w:rFonts w:eastAsia="Times New Roman"/>
                <w:bCs/>
                <w:color w:val="000000"/>
                <w:sz w:val="16"/>
                <w:szCs w:val="16"/>
                <w:lang w:val="en-US"/>
              </w:rPr>
              <w:t xml:space="preserve"> devices operating in channels referenced to 5.940 GHz</w:t>
            </w:r>
          </w:p>
        </w:tc>
        <w:tc>
          <w:tcPr>
            <w:tcW w:w="4320" w:type="dxa"/>
            <w:shd w:val="clear" w:color="auto" w:fill="auto"/>
            <w:vAlign w:val="center"/>
          </w:tcPr>
          <w:p w14:paraId="740E3E2A" w14:textId="32F270B8" w:rsidR="00076F20" w:rsidRPr="00B0055C" w:rsidRDefault="007550CC" w:rsidP="00076F20">
            <w:pPr>
              <w:jc w:val="both"/>
              <w:rPr>
                <w:rFonts w:eastAsia="Times New Roman"/>
                <w:bCs/>
                <w:color w:val="000000"/>
                <w:sz w:val="16"/>
                <w:szCs w:val="16"/>
                <w:lang w:val="en-US"/>
              </w:rPr>
            </w:pPr>
            <w:r w:rsidRPr="00B0055C">
              <w:rPr>
                <w:rFonts w:eastAsia="Times New Roman"/>
                <w:bCs/>
                <w:color w:val="000000"/>
                <w:sz w:val="16"/>
                <w:szCs w:val="16"/>
                <w:lang w:val="en-US"/>
              </w:rPr>
              <w:t>Rejected –</w:t>
            </w:r>
          </w:p>
          <w:p w14:paraId="047567EF" w14:textId="77777777" w:rsidR="007550CC" w:rsidRPr="00B0055C" w:rsidRDefault="007550CC" w:rsidP="00076F20">
            <w:pPr>
              <w:jc w:val="both"/>
              <w:rPr>
                <w:rFonts w:eastAsia="Times New Roman"/>
                <w:bCs/>
                <w:color w:val="000000"/>
                <w:sz w:val="16"/>
                <w:szCs w:val="16"/>
                <w:lang w:val="en-US"/>
              </w:rPr>
            </w:pPr>
          </w:p>
          <w:p w14:paraId="4D2274D8" w14:textId="7DABBC0C" w:rsidR="007550CC" w:rsidRPr="00B0055C" w:rsidRDefault="007550CC" w:rsidP="00076F20">
            <w:pPr>
              <w:jc w:val="both"/>
              <w:rPr>
                <w:rFonts w:eastAsia="Times New Roman"/>
                <w:bCs/>
                <w:color w:val="000000"/>
                <w:sz w:val="16"/>
                <w:szCs w:val="16"/>
                <w:lang w:val="en-US"/>
              </w:rPr>
            </w:pPr>
            <w:r w:rsidRPr="00B0055C">
              <w:rPr>
                <w:rFonts w:eastAsia="Times New Roman"/>
                <w:bCs/>
                <w:color w:val="000000"/>
                <w:sz w:val="16"/>
                <w:szCs w:val="16"/>
                <w:lang w:val="en-US"/>
              </w:rPr>
              <w:t xml:space="preserve">This is already achievable by using the </w:t>
            </w:r>
            <w:r w:rsidR="00467C30">
              <w:rPr>
                <w:rFonts w:eastAsia="Times New Roman"/>
                <w:bCs/>
                <w:color w:val="000000"/>
                <w:sz w:val="16"/>
                <w:szCs w:val="16"/>
                <w:lang w:val="en-US"/>
              </w:rPr>
              <w:t xml:space="preserve">baseline </w:t>
            </w:r>
            <w:r w:rsidRPr="00B0055C">
              <w:rPr>
                <w:rFonts w:eastAsia="Times New Roman"/>
                <w:bCs/>
                <w:color w:val="000000"/>
                <w:sz w:val="16"/>
                <w:szCs w:val="16"/>
                <w:lang w:val="en-US"/>
              </w:rPr>
              <w:t xml:space="preserve">Quiet </w:t>
            </w:r>
            <w:r w:rsidR="00467C30">
              <w:rPr>
                <w:rFonts w:eastAsia="Times New Roman"/>
                <w:bCs/>
                <w:color w:val="000000"/>
                <w:sz w:val="16"/>
                <w:szCs w:val="16"/>
                <w:lang w:val="en-US"/>
              </w:rPr>
              <w:t>element</w:t>
            </w:r>
            <w:r w:rsidRPr="00B0055C">
              <w:rPr>
                <w:rFonts w:eastAsia="Times New Roman"/>
                <w:bCs/>
                <w:color w:val="000000"/>
                <w:sz w:val="16"/>
                <w:szCs w:val="16"/>
                <w:lang w:val="en-US"/>
              </w:rPr>
              <w:t xml:space="preserve">. Any STA that receives a frame that contains a Quiet Time element </w:t>
            </w:r>
            <w:r w:rsidR="00160BF6">
              <w:rPr>
                <w:rFonts w:eastAsia="Times New Roman"/>
                <w:bCs/>
                <w:color w:val="000000"/>
                <w:sz w:val="16"/>
                <w:szCs w:val="16"/>
                <w:lang w:val="en-US"/>
              </w:rPr>
              <w:t>does</w:t>
            </w:r>
            <w:r w:rsidRPr="00B0055C">
              <w:rPr>
                <w:rFonts w:eastAsia="Times New Roman"/>
                <w:bCs/>
                <w:color w:val="000000"/>
                <w:sz w:val="16"/>
                <w:szCs w:val="16"/>
                <w:lang w:val="en-US"/>
              </w:rPr>
              <w:t xml:space="preserve"> not access the </w:t>
            </w:r>
            <w:proofErr w:type="spellStart"/>
            <w:r w:rsidRPr="00B0055C">
              <w:rPr>
                <w:rFonts w:eastAsia="Times New Roman"/>
                <w:bCs/>
                <w:color w:val="000000"/>
                <w:sz w:val="16"/>
                <w:szCs w:val="16"/>
                <w:lang w:val="en-US"/>
              </w:rPr>
              <w:t>medim</w:t>
            </w:r>
            <w:proofErr w:type="spellEnd"/>
            <w:r w:rsidRPr="00B0055C">
              <w:rPr>
                <w:rFonts w:eastAsia="Times New Roman"/>
                <w:bCs/>
                <w:color w:val="000000"/>
                <w:sz w:val="16"/>
                <w:szCs w:val="16"/>
                <w:lang w:val="en-US"/>
              </w:rPr>
              <w:t xml:space="preserve"> during the quiet time periods</w:t>
            </w:r>
            <w:r w:rsidR="00467C30">
              <w:rPr>
                <w:rFonts w:eastAsia="Times New Roman"/>
                <w:bCs/>
                <w:color w:val="000000"/>
                <w:sz w:val="16"/>
                <w:szCs w:val="16"/>
                <w:lang w:val="en-US"/>
              </w:rPr>
              <w:t xml:space="preserve">. </w:t>
            </w:r>
            <w:r w:rsidRPr="00B0055C">
              <w:rPr>
                <w:rFonts w:eastAsia="Times New Roman"/>
                <w:bCs/>
                <w:color w:val="000000"/>
                <w:sz w:val="16"/>
                <w:szCs w:val="16"/>
                <w:lang w:val="en-US"/>
              </w:rPr>
              <w:t xml:space="preserve">One thing that needs to be considered in the future is to add exemptions for future devices to </w:t>
            </w:r>
            <w:r w:rsidR="00160BF6">
              <w:rPr>
                <w:rFonts w:eastAsia="Times New Roman"/>
                <w:bCs/>
                <w:color w:val="000000"/>
                <w:sz w:val="16"/>
                <w:szCs w:val="16"/>
                <w:lang w:val="en-US"/>
              </w:rPr>
              <w:t>be exempt from</w:t>
            </w:r>
            <w:r w:rsidRPr="00B0055C">
              <w:rPr>
                <w:rFonts w:eastAsia="Times New Roman"/>
                <w:bCs/>
                <w:color w:val="000000"/>
                <w:sz w:val="16"/>
                <w:szCs w:val="16"/>
                <w:lang w:val="en-US"/>
              </w:rPr>
              <w:t xml:space="preserve"> these restrictions for the 6 </w:t>
            </w:r>
            <w:proofErr w:type="spellStart"/>
            <w:r w:rsidRPr="00B0055C">
              <w:rPr>
                <w:rFonts w:eastAsia="Times New Roman"/>
                <w:bCs/>
                <w:color w:val="000000"/>
                <w:sz w:val="16"/>
                <w:szCs w:val="16"/>
                <w:lang w:val="en-US"/>
              </w:rPr>
              <w:t>Ghz</w:t>
            </w:r>
            <w:proofErr w:type="spellEnd"/>
            <w:r w:rsidRPr="00B0055C">
              <w:rPr>
                <w:rFonts w:eastAsia="Times New Roman"/>
                <w:bCs/>
                <w:color w:val="000000"/>
                <w:sz w:val="16"/>
                <w:szCs w:val="16"/>
                <w:lang w:val="en-US"/>
              </w:rPr>
              <w:t xml:space="preserve"> band, since all</w:t>
            </w:r>
            <w:r w:rsidR="005379CC">
              <w:rPr>
                <w:rFonts w:eastAsia="Times New Roman"/>
                <w:bCs/>
                <w:color w:val="000000"/>
                <w:sz w:val="16"/>
                <w:szCs w:val="16"/>
                <w:lang w:val="en-US"/>
              </w:rPr>
              <w:t xml:space="preserve"> 11ax</w:t>
            </w:r>
            <w:r w:rsidRPr="00B0055C">
              <w:rPr>
                <w:rFonts w:eastAsia="Times New Roman"/>
                <w:bCs/>
                <w:color w:val="000000"/>
                <w:sz w:val="16"/>
                <w:szCs w:val="16"/>
                <w:lang w:val="en-US"/>
              </w:rPr>
              <w:t xml:space="preserve"> STAs are restricted from accessing the medium during this period.</w:t>
            </w:r>
          </w:p>
        </w:tc>
      </w:tr>
    </w:tbl>
    <w:p w14:paraId="5969E606" w14:textId="553F7540" w:rsidR="00ED52FE" w:rsidRPr="00D9303C"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E757DB">
        <w:rPr>
          <w:rFonts w:ascii="Arial" w:hAnsi="Arial" w:cs="Arial"/>
          <w:b/>
          <w:bCs/>
          <w:i/>
          <w:color w:val="000000"/>
          <w:sz w:val="22"/>
          <w:szCs w:val="22"/>
          <w:u w:val="single"/>
          <w:lang w:val="en-US" w:eastAsia="ko-KR"/>
        </w:rPr>
        <w:t>None.</w:t>
      </w:r>
    </w:p>
    <w:sectPr w:rsidR="00ED52FE" w:rsidRPr="00D9303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18FD3" w14:textId="77777777" w:rsidR="00781EBF" w:rsidRDefault="00781EBF">
      <w:r>
        <w:separator/>
      </w:r>
    </w:p>
  </w:endnote>
  <w:endnote w:type="continuationSeparator" w:id="0">
    <w:p w14:paraId="455564C1" w14:textId="77777777" w:rsidR="00781EBF" w:rsidRDefault="0078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7D297F">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D44C7" w14:textId="77777777" w:rsidR="00781EBF" w:rsidRDefault="00781EBF">
      <w:r>
        <w:separator/>
      </w:r>
    </w:p>
  </w:footnote>
  <w:footnote w:type="continuationSeparator" w:id="0">
    <w:p w14:paraId="687D1AC7" w14:textId="77777777" w:rsidR="00781EBF" w:rsidRDefault="00781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A031944" w:rsidR="00FE05E8" w:rsidRDefault="003968FE">
    <w:pPr>
      <w:pStyle w:val="Header"/>
      <w:tabs>
        <w:tab w:val="clear" w:pos="6480"/>
        <w:tab w:val="center" w:pos="4680"/>
        <w:tab w:val="right" w:pos="9360"/>
      </w:tabs>
    </w:pPr>
    <w:r>
      <w:rPr>
        <w:lang w:eastAsia="ko-KR"/>
      </w:rPr>
      <w:t>Ju</w:t>
    </w:r>
    <w:r w:rsidR="00644123">
      <w:rPr>
        <w:lang w:eastAsia="ko-KR"/>
      </w:rPr>
      <w:t>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D33AC9">
        <w:rPr>
          <w:lang w:eastAsia="ko-KR"/>
        </w:rPr>
        <w:t>0965</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6F20"/>
    <w:rsid w:val="00077C25"/>
    <w:rsid w:val="00080ACC"/>
    <w:rsid w:val="00080E1A"/>
    <w:rsid w:val="000815C7"/>
    <w:rsid w:val="00081C2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E5E"/>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5FAD"/>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0BF6"/>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270"/>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19F"/>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4048"/>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1EE"/>
    <w:rsid w:val="003906A1"/>
    <w:rsid w:val="00390DCB"/>
    <w:rsid w:val="00391845"/>
    <w:rsid w:val="003924F8"/>
    <w:rsid w:val="003945E3"/>
    <w:rsid w:val="00394E6A"/>
    <w:rsid w:val="00395A50"/>
    <w:rsid w:val="003968FE"/>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2ED3"/>
    <w:rsid w:val="003E32DF"/>
    <w:rsid w:val="003E3F3C"/>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07F6"/>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67C30"/>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379CC"/>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2FD9"/>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243"/>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123"/>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1FAA"/>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1875"/>
    <w:rsid w:val="006A3117"/>
    <w:rsid w:val="006A3A0E"/>
    <w:rsid w:val="006A3EB3"/>
    <w:rsid w:val="006A4F60"/>
    <w:rsid w:val="006A503E"/>
    <w:rsid w:val="006A59BC"/>
    <w:rsid w:val="006A67EB"/>
    <w:rsid w:val="006A6A83"/>
    <w:rsid w:val="006A7A77"/>
    <w:rsid w:val="006A7F86"/>
    <w:rsid w:val="006C0178"/>
    <w:rsid w:val="006C063A"/>
    <w:rsid w:val="006C09BC"/>
    <w:rsid w:val="006C1785"/>
    <w:rsid w:val="006C1FA8"/>
    <w:rsid w:val="006C2C97"/>
    <w:rsid w:val="006C3C41"/>
    <w:rsid w:val="006C419C"/>
    <w:rsid w:val="006C5695"/>
    <w:rsid w:val="006D108A"/>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AAE"/>
    <w:rsid w:val="006F6E4C"/>
    <w:rsid w:val="006F7ED7"/>
    <w:rsid w:val="00700354"/>
    <w:rsid w:val="007027DC"/>
    <w:rsid w:val="00702CA2"/>
    <w:rsid w:val="00703288"/>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0CC"/>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1EB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307F"/>
    <w:rsid w:val="007C681F"/>
    <w:rsid w:val="007C6C61"/>
    <w:rsid w:val="007D083C"/>
    <w:rsid w:val="007D08BB"/>
    <w:rsid w:val="007D09C8"/>
    <w:rsid w:val="007D1085"/>
    <w:rsid w:val="007D18E1"/>
    <w:rsid w:val="007D1926"/>
    <w:rsid w:val="007D297F"/>
    <w:rsid w:val="007D3C15"/>
    <w:rsid w:val="007D4D44"/>
    <w:rsid w:val="007D50FF"/>
    <w:rsid w:val="007D58A9"/>
    <w:rsid w:val="007D6B5D"/>
    <w:rsid w:val="007D79F2"/>
    <w:rsid w:val="007D7FFC"/>
    <w:rsid w:val="007E21DF"/>
    <w:rsid w:val="007E2920"/>
    <w:rsid w:val="007E41CB"/>
    <w:rsid w:val="007E5479"/>
    <w:rsid w:val="007E5F8E"/>
    <w:rsid w:val="007E611D"/>
    <w:rsid w:val="007E79A4"/>
    <w:rsid w:val="007F029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3F6"/>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39"/>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055C"/>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692"/>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95A"/>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0D98"/>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034C"/>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AC9"/>
    <w:rsid w:val="00D33C85"/>
    <w:rsid w:val="00D3611A"/>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303C"/>
    <w:rsid w:val="00D9485C"/>
    <w:rsid w:val="00D94B05"/>
    <w:rsid w:val="00D95BF4"/>
    <w:rsid w:val="00D9667F"/>
    <w:rsid w:val="00D97318"/>
    <w:rsid w:val="00D97DF1"/>
    <w:rsid w:val="00DA122F"/>
    <w:rsid w:val="00DA2971"/>
    <w:rsid w:val="00DA3576"/>
    <w:rsid w:val="00DA3D06"/>
    <w:rsid w:val="00DA3D0C"/>
    <w:rsid w:val="00DA3EDB"/>
    <w:rsid w:val="00DA63CC"/>
    <w:rsid w:val="00DA7631"/>
    <w:rsid w:val="00DA7A97"/>
    <w:rsid w:val="00DA7F0D"/>
    <w:rsid w:val="00DB222D"/>
    <w:rsid w:val="00DB2B0A"/>
    <w:rsid w:val="00DB3801"/>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034"/>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57DB"/>
    <w:rsid w:val="00E77407"/>
    <w:rsid w:val="00E800D6"/>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7BA"/>
    <w:rsid w:val="00E94720"/>
    <w:rsid w:val="00E94A6B"/>
    <w:rsid w:val="00E9535F"/>
    <w:rsid w:val="00E95B0F"/>
    <w:rsid w:val="00E95CC4"/>
    <w:rsid w:val="00E96E8E"/>
    <w:rsid w:val="00EA0BB5"/>
    <w:rsid w:val="00EA2CE4"/>
    <w:rsid w:val="00EA48D0"/>
    <w:rsid w:val="00EA5542"/>
    <w:rsid w:val="00EA678C"/>
    <w:rsid w:val="00EA6A6E"/>
    <w:rsid w:val="00EA6DCB"/>
    <w:rsid w:val="00EA7603"/>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003B"/>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3B0"/>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A28F-87C4-4EA7-B262-2B5DA5C0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11275</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4876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137</cp:revision>
  <cp:lastPrinted>2010-05-04T03:47:00Z</cp:lastPrinted>
  <dcterms:created xsi:type="dcterms:W3CDTF">2018-07-11T18:28:00Z</dcterms:created>
  <dcterms:modified xsi:type="dcterms:W3CDTF">2019-07-15T12:43:00Z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