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33527116"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A87F65">
              <w:rPr>
                <w:b w:val="0"/>
                <w:sz w:val="20"/>
              </w:rPr>
              <w:t>8</w:t>
            </w:r>
            <w:r w:rsidR="009F6F13">
              <w:rPr>
                <w:b w:val="0"/>
                <w:sz w:val="20"/>
              </w:rPr>
              <w:t>-</w:t>
            </w:r>
            <w:r w:rsidR="00351CD7">
              <w:rPr>
                <w:b w:val="0"/>
                <w:sz w:val="20"/>
              </w:rPr>
              <w:t>09</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646687" w:rsidRDefault="00646687">
                            <w:pPr>
                              <w:pStyle w:val="T1"/>
                              <w:spacing w:after="120"/>
                            </w:pPr>
                            <w:r>
                              <w:t>Abstract</w:t>
                            </w:r>
                          </w:p>
                          <w:p w14:paraId="1C3BCE3F" w14:textId="77777777" w:rsidR="00646687" w:rsidRDefault="00646687" w:rsidP="00083FE0">
                            <w:pPr>
                              <w:jc w:val="both"/>
                            </w:pPr>
                          </w:p>
                          <w:p w14:paraId="4C4DB0CB" w14:textId="57526B1A" w:rsidR="00646687" w:rsidRPr="007710CD" w:rsidRDefault="00646687"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646687" w:rsidRPr="007710CD" w:rsidRDefault="00646687" w:rsidP="00083FE0">
                            <w:pPr>
                              <w:jc w:val="both"/>
                              <w:rPr>
                                <w:sz w:val="20"/>
                              </w:rPr>
                            </w:pPr>
                          </w:p>
                          <w:p w14:paraId="3C7C8D20" w14:textId="76D5A191" w:rsidR="00646687" w:rsidRPr="007710CD" w:rsidRDefault="00646687"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646687" w:rsidRPr="007710CD" w:rsidRDefault="00646687" w:rsidP="006832AA">
                            <w:pPr>
                              <w:jc w:val="both"/>
                              <w:rPr>
                                <w:sz w:val="20"/>
                              </w:rPr>
                            </w:pPr>
                          </w:p>
                          <w:p w14:paraId="366971AF" w14:textId="77777777" w:rsidR="00646687" w:rsidRPr="007710CD" w:rsidRDefault="00646687" w:rsidP="006832AA">
                            <w:pPr>
                              <w:jc w:val="both"/>
                              <w:rPr>
                                <w:sz w:val="20"/>
                              </w:rPr>
                            </w:pPr>
                          </w:p>
                          <w:p w14:paraId="4E9EE86F" w14:textId="3B88A5F5" w:rsidR="00646687" w:rsidRPr="007710CD" w:rsidRDefault="00646687">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646687" w:rsidRDefault="00646687"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646687" w:rsidRDefault="00646687"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646687" w:rsidRDefault="00646687"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646687" w:rsidRDefault="00646687"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646687" w:rsidRDefault="00646687" w:rsidP="00D96EB7">
                            <w:pPr>
                              <w:jc w:val="both"/>
                              <w:rPr>
                                <w:sz w:val="20"/>
                              </w:rPr>
                            </w:pPr>
                            <w:r>
                              <w:rPr>
                                <w:sz w:val="20"/>
                              </w:rPr>
                              <w:t>R5 – Moved agreed resolutions from July 11 telecon to the Completed section.</w:t>
                            </w:r>
                          </w:p>
                          <w:p w14:paraId="0A1E27A2" w14:textId="6E7C08A0" w:rsidR="00646687" w:rsidRDefault="00646687" w:rsidP="00D96EB7">
                            <w:pPr>
                              <w:jc w:val="both"/>
                              <w:rPr>
                                <w:sz w:val="20"/>
                              </w:rPr>
                            </w:pPr>
                            <w:r>
                              <w:rPr>
                                <w:sz w:val="20"/>
                              </w:rPr>
                              <w:t>R6 – Proposed resolutions ready for review, for CIDs: 2692, 2480, 2009, 2188, 2250, 2252, 2275, 2618, 2230, 2235, 2239, 2472, 2242.</w:t>
                            </w:r>
                          </w:p>
                          <w:p w14:paraId="2763E2DB" w14:textId="276E9F5B" w:rsidR="002040C1" w:rsidRDefault="002040C1" w:rsidP="00D96EB7">
                            <w:pPr>
                              <w:jc w:val="both"/>
                              <w:rPr>
                                <w:sz w:val="20"/>
                              </w:rPr>
                            </w:pPr>
                            <w:r>
                              <w:rPr>
                                <w:sz w:val="20"/>
                              </w:rPr>
                              <w:t>R7 – Moved agreed resolutions from July F2F</w:t>
                            </w:r>
                            <w:r w:rsidR="00315B2C">
                              <w:rPr>
                                <w:sz w:val="20"/>
                              </w:rPr>
                              <w:t xml:space="preserve"> (finalized with Motion “MAC-AD”)</w:t>
                            </w:r>
                            <w:r>
                              <w:rPr>
                                <w:sz w:val="20"/>
                              </w:rPr>
                              <w:t xml:space="preserve"> and Aug 6 telecon</w:t>
                            </w:r>
                            <w:r w:rsidR="00315B2C">
                              <w:rPr>
                                <w:sz w:val="20"/>
                              </w:rPr>
                              <w:t xml:space="preserve"> (ready for motion on “MAC-AE”)</w:t>
                            </w:r>
                            <w:r>
                              <w:rPr>
                                <w:sz w:val="20"/>
                              </w:rPr>
                              <w:t xml:space="preserve"> to the Completed section.</w:t>
                            </w:r>
                          </w:p>
                          <w:p w14:paraId="59E42047" w14:textId="4B450BC6" w:rsidR="008527D1" w:rsidRPr="00531427" w:rsidRDefault="008527D1" w:rsidP="00D96EB7">
                            <w:pPr>
                              <w:jc w:val="both"/>
                              <w:rPr>
                                <w:sz w:val="20"/>
                              </w:rPr>
                            </w:pPr>
                            <w:r>
                              <w:rPr>
                                <w:sz w:val="20"/>
                              </w:rPr>
                              <w:t>R8 – CID 2618 completed (instructions to deprecate the MIB attribute) as directed on Aug 6 telecon.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646687" w:rsidRDefault="00646687">
                      <w:pPr>
                        <w:pStyle w:val="T1"/>
                        <w:spacing w:after="120"/>
                      </w:pPr>
                      <w:r>
                        <w:t>Abstract</w:t>
                      </w:r>
                    </w:p>
                    <w:p w14:paraId="1C3BCE3F" w14:textId="77777777" w:rsidR="00646687" w:rsidRDefault="00646687" w:rsidP="00083FE0">
                      <w:pPr>
                        <w:jc w:val="both"/>
                      </w:pPr>
                    </w:p>
                    <w:p w14:paraId="4C4DB0CB" w14:textId="57526B1A" w:rsidR="00646687" w:rsidRPr="007710CD" w:rsidRDefault="00646687" w:rsidP="003D4DE9">
                      <w:pPr>
                        <w:rPr>
                          <w:sz w:val="20"/>
                        </w:rPr>
                      </w:pPr>
                      <w:r w:rsidRPr="007710CD">
                        <w:rPr>
                          <w:sz w:val="20"/>
                        </w:rPr>
                        <w:t>This submission contains comments on REVmd LB 23</w:t>
                      </w:r>
                      <w:r>
                        <w:rPr>
                          <w:sz w:val="20"/>
                        </w:rPr>
                        <w:t>6</w:t>
                      </w:r>
                      <w:r w:rsidRPr="007710CD">
                        <w:rPr>
                          <w:sz w:val="20"/>
                        </w:rPr>
                        <w:t>, assigned to Mark Hamilton for preparation of proposed resolutions.</w:t>
                      </w:r>
                    </w:p>
                    <w:p w14:paraId="2F94801A" w14:textId="2D193E6C" w:rsidR="00646687" w:rsidRPr="007710CD" w:rsidRDefault="00646687" w:rsidP="00083FE0">
                      <w:pPr>
                        <w:jc w:val="both"/>
                        <w:rPr>
                          <w:sz w:val="20"/>
                        </w:rPr>
                      </w:pPr>
                    </w:p>
                    <w:p w14:paraId="3C7C8D20" w14:textId="76D5A191" w:rsidR="00646687" w:rsidRPr="007710CD" w:rsidRDefault="00646687" w:rsidP="00083FE0">
                      <w:pPr>
                        <w:jc w:val="both"/>
                        <w:rPr>
                          <w:sz w:val="20"/>
                        </w:rPr>
                      </w:pPr>
                      <w:r w:rsidRPr="007710CD">
                        <w:rPr>
                          <w:sz w:val="20"/>
                        </w:rPr>
                        <w:t>The first section contains comments with proposed resolutions ready for review or discussion by TGmd.  The latter sections are comments not ready for discussion yet, or already completed.</w:t>
                      </w:r>
                    </w:p>
                    <w:p w14:paraId="3A97AE21" w14:textId="77777777" w:rsidR="00646687" w:rsidRPr="007710CD" w:rsidRDefault="00646687" w:rsidP="006832AA">
                      <w:pPr>
                        <w:jc w:val="both"/>
                        <w:rPr>
                          <w:sz w:val="20"/>
                        </w:rPr>
                      </w:pPr>
                    </w:p>
                    <w:p w14:paraId="366971AF" w14:textId="77777777" w:rsidR="00646687" w:rsidRPr="007710CD" w:rsidRDefault="00646687" w:rsidP="006832AA">
                      <w:pPr>
                        <w:jc w:val="both"/>
                        <w:rPr>
                          <w:sz w:val="20"/>
                        </w:rPr>
                      </w:pPr>
                    </w:p>
                    <w:p w14:paraId="4E9EE86F" w14:textId="3B88A5F5" w:rsidR="00646687" w:rsidRPr="007710CD" w:rsidRDefault="00646687">
                      <w:pPr>
                        <w:jc w:val="both"/>
                        <w:rPr>
                          <w:sz w:val="20"/>
                        </w:rPr>
                      </w:pPr>
                      <w:r w:rsidRPr="007710CD">
                        <w:rPr>
                          <w:sz w:val="20"/>
                        </w:rPr>
                        <w:t>R0 – initial version.  CIDs ready for TGmd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646687" w:rsidRDefault="00646687"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646687" w:rsidRDefault="00646687"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646687" w:rsidRDefault="00646687"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646687" w:rsidRDefault="00646687"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646687" w:rsidRDefault="00646687" w:rsidP="00D96EB7">
                      <w:pPr>
                        <w:jc w:val="both"/>
                        <w:rPr>
                          <w:sz w:val="20"/>
                        </w:rPr>
                      </w:pPr>
                      <w:r>
                        <w:rPr>
                          <w:sz w:val="20"/>
                        </w:rPr>
                        <w:t>R5 – Moved agreed resolutions from July 11 telecon to the Completed section.</w:t>
                      </w:r>
                    </w:p>
                    <w:p w14:paraId="0A1E27A2" w14:textId="6E7C08A0" w:rsidR="00646687" w:rsidRDefault="00646687" w:rsidP="00D96EB7">
                      <w:pPr>
                        <w:jc w:val="both"/>
                        <w:rPr>
                          <w:sz w:val="20"/>
                        </w:rPr>
                      </w:pPr>
                      <w:r>
                        <w:rPr>
                          <w:sz w:val="20"/>
                        </w:rPr>
                        <w:t>R6 – Proposed resolutions ready for review, for CIDs: 2692, 2480, 2009, 2188, 2250, 2252, 2275, 2618, 2230, 2235, 2239, 2472, 2242.</w:t>
                      </w:r>
                    </w:p>
                    <w:p w14:paraId="2763E2DB" w14:textId="276E9F5B" w:rsidR="002040C1" w:rsidRDefault="002040C1" w:rsidP="00D96EB7">
                      <w:pPr>
                        <w:jc w:val="both"/>
                        <w:rPr>
                          <w:sz w:val="20"/>
                        </w:rPr>
                      </w:pPr>
                      <w:r>
                        <w:rPr>
                          <w:sz w:val="20"/>
                        </w:rPr>
                        <w:t>R7 – Moved agreed resolutions from July F2F</w:t>
                      </w:r>
                      <w:r w:rsidR="00315B2C">
                        <w:rPr>
                          <w:sz w:val="20"/>
                        </w:rPr>
                        <w:t xml:space="preserve"> (finalized with Motion “MAC-AD”)</w:t>
                      </w:r>
                      <w:r>
                        <w:rPr>
                          <w:sz w:val="20"/>
                        </w:rPr>
                        <w:t xml:space="preserve"> and Aug 6 telecon</w:t>
                      </w:r>
                      <w:r w:rsidR="00315B2C">
                        <w:rPr>
                          <w:sz w:val="20"/>
                        </w:rPr>
                        <w:t xml:space="preserve"> (ready for motion on “MAC-AE”)</w:t>
                      </w:r>
                      <w:r>
                        <w:rPr>
                          <w:sz w:val="20"/>
                        </w:rPr>
                        <w:t xml:space="preserve"> to the Completed section.</w:t>
                      </w:r>
                    </w:p>
                    <w:p w14:paraId="59E42047" w14:textId="4B450BC6" w:rsidR="008527D1" w:rsidRPr="00531427" w:rsidRDefault="008527D1" w:rsidP="00D96EB7">
                      <w:pPr>
                        <w:jc w:val="both"/>
                        <w:rPr>
                          <w:sz w:val="20"/>
                        </w:rPr>
                      </w:pPr>
                      <w:r>
                        <w:rPr>
                          <w:sz w:val="20"/>
                        </w:rPr>
                        <w:t>R8 – CID 2618 completed (instructions to deprecate the MIB attribute) as directed on Aug 6 telecon.</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59BF03AA" w14:textId="21293996" w:rsidR="00743953" w:rsidRDefault="00743953"/>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3953" w:rsidRPr="007837C2" w14:paraId="281F9ADE" w14:textId="77777777" w:rsidTr="00533738">
        <w:trPr>
          <w:trHeight w:val="524"/>
        </w:trPr>
        <w:tc>
          <w:tcPr>
            <w:tcW w:w="738" w:type="dxa"/>
            <w:hideMark/>
          </w:tcPr>
          <w:p w14:paraId="0FFC69A0"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16CE2E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4AD36D"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9DC5F4"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BFF4C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43953" w:rsidRPr="00DC0730" w14:paraId="55E38C21" w14:textId="77777777" w:rsidTr="00533738">
        <w:trPr>
          <w:trHeight w:val="2550"/>
        </w:trPr>
        <w:tc>
          <w:tcPr>
            <w:tcW w:w="738" w:type="dxa"/>
            <w:hideMark/>
          </w:tcPr>
          <w:p w14:paraId="3A6ED0C6" w14:textId="77777777"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84C116C" w14:textId="72576FFD"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2311.</w:t>
            </w:r>
            <w:r w:rsidR="001D69D1">
              <w:rPr>
                <w:rFonts w:ascii="Arial" w:eastAsia="Times New Roman" w:hAnsi="Arial" w:cs="Arial"/>
                <w:sz w:val="20"/>
                <w:lang w:val="en-US"/>
              </w:rPr>
              <w:t>47</w:t>
            </w:r>
          </w:p>
        </w:tc>
        <w:tc>
          <w:tcPr>
            <w:tcW w:w="1080" w:type="dxa"/>
            <w:hideMark/>
          </w:tcPr>
          <w:p w14:paraId="29453FBE"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60AB17E4"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EC064B1"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Change "The STA sets the Forty MHz Intolerant field of the 20/40 BSS Coexistence element based on A STA's FortyMHzIntolerant" to "The STA sets the Forty MHz Intolerant field of the 20/40 BSS Coexistence element per the rules listed in 11.15.11."</w:t>
            </w:r>
          </w:p>
        </w:tc>
      </w:tr>
    </w:tbl>
    <w:p w14:paraId="145D2CDD" w14:textId="15839FD0" w:rsidR="00894D81" w:rsidRDefault="00894D81"/>
    <w:p w14:paraId="7596AF86" w14:textId="4980DDE0" w:rsidR="00743953" w:rsidRDefault="00743953">
      <w:r>
        <w:rPr>
          <w:u w:val="single"/>
        </w:rPr>
        <w:t>Discussion:</w:t>
      </w:r>
    </w:p>
    <w:p w14:paraId="6FCCABD2" w14:textId="00748AD0" w:rsidR="00743953" w:rsidRDefault="00743953"/>
    <w:p w14:paraId="11FDEF0F" w14:textId="5E9FFAD5" w:rsidR="00743953" w:rsidRDefault="001D69D1">
      <w:r>
        <w:rPr>
          <w:noProof/>
        </w:rPr>
        <w:drawing>
          <wp:inline distT="0" distB="0" distL="0" distR="0" wp14:anchorId="6DA5B5D6" wp14:editId="0EDCFBAB">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66B0FE" w14:textId="10A0E488" w:rsidR="001D69D1" w:rsidRDefault="001D69D1"/>
    <w:p w14:paraId="397D9E7F" w14:textId="3DADA7C4" w:rsidR="001D69D1" w:rsidRDefault="001D69D1">
      <w:r>
        <w:t>The sentence does have some grammar issues.  Subclause 11.15.11 does make the intention clear:</w:t>
      </w:r>
    </w:p>
    <w:p w14:paraId="4A09D727" w14:textId="4595FD54" w:rsidR="001D69D1" w:rsidRDefault="001D69D1">
      <w:r>
        <w:rPr>
          <w:noProof/>
        </w:rPr>
        <w:drawing>
          <wp:inline distT="0" distB="0" distL="0" distR="0" wp14:anchorId="09047E01" wp14:editId="2A0D7F1E">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AB3390" w14:textId="77777777" w:rsidR="001D69D1" w:rsidRDefault="001D69D1"/>
    <w:p w14:paraId="076BEA3C" w14:textId="1A7835B4" w:rsidR="001D69D1" w:rsidRDefault="001D69D1">
      <w:r>
        <w:t>One possible solution is to change “A STA” to “the STA’s” and change “FortyMHzIntolerant”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5DE2F7C3" w14:textId="6747E19C" w:rsidR="001D69D1" w:rsidRDefault="001D69D1"/>
    <w:p w14:paraId="4BA6FB7B" w14:textId="4FCF879C" w:rsidR="001D69D1" w:rsidRDefault="001D69D1">
      <w:r w:rsidRPr="001D69D1">
        <w:rPr>
          <w:highlight w:val="yellow"/>
          <w:u w:val="single"/>
        </w:rPr>
        <w:t>Proposed Resolution:</w:t>
      </w:r>
    </w:p>
    <w:p w14:paraId="679257DE" w14:textId="7441C493" w:rsidR="001D69D1" w:rsidRDefault="001D69D1"/>
    <w:p w14:paraId="1A1F2EF2" w14:textId="499796D0" w:rsidR="001D69D1" w:rsidRPr="001D69D1" w:rsidRDefault="001D69D1">
      <w:r>
        <w:t>Accepted.</w:t>
      </w:r>
    </w:p>
    <w:p w14:paraId="137A8579" w14:textId="77777777" w:rsidR="00743953" w:rsidRDefault="00743953"/>
    <w:p w14:paraId="07D55375" w14:textId="1DEF61B5" w:rsidR="00743953" w:rsidRDefault="00743953">
      <w:r>
        <w:lastRenderedPageBreak/>
        <w:br w:type="page"/>
      </w:r>
    </w:p>
    <w:p w14:paraId="4711D893" w14:textId="77777777" w:rsidR="003010EF" w:rsidRDefault="003010EF" w:rsidP="008A162E">
      <w:pPr>
        <w:rPr>
          <w:b/>
          <w:sz w:val="40"/>
        </w:rPr>
      </w:pPr>
    </w:p>
    <w:p w14:paraId="749B86B5" w14:textId="197560DE" w:rsidR="008A162E" w:rsidRDefault="008A162E" w:rsidP="008A162E">
      <w:pPr>
        <w:rPr>
          <w:b/>
          <w:sz w:val="40"/>
        </w:rPr>
      </w:pPr>
      <w:r w:rsidRPr="004A4E87">
        <w:rPr>
          <w:b/>
          <w:sz w:val="40"/>
        </w:rPr>
        <w:t>Not ready for review, yet:</w:t>
      </w:r>
    </w:p>
    <w:p w14:paraId="6B178B95" w14:textId="77777777" w:rsidR="003672DE" w:rsidRDefault="003672DE"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68432809" w14:textId="77777777" w:rsidTr="00704A77">
        <w:trPr>
          <w:trHeight w:val="524"/>
        </w:trPr>
        <w:tc>
          <w:tcPr>
            <w:tcW w:w="738" w:type="dxa"/>
            <w:hideMark/>
          </w:tcPr>
          <w:p w14:paraId="0152BF8E"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E8B57C4"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B2E85A"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888416"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400D18"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70DAD25B" w14:textId="77777777" w:rsidTr="00704A77">
        <w:trPr>
          <w:trHeight w:val="765"/>
        </w:trPr>
        <w:tc>
          <w:tcPr>
            <w:tcW w:w="738" w:type="dxa"/>
            <w:hideMark/>
          </w:tcPr>
          <w:p w14:paraId="7363C4B2" w14:textId="77777777" w:rsidR="003672DE" w:rsidRPr="00DC0730" w:rsidRDefault="003672DE" w:rsidP="00704A77">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557DE24A" w14:textId="77777777" w:rsidR="003672DE" w:rsidRPr="00DC0730" w:rsidRDefault="003672DE" w:rsidP="00704A77">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595F1403" w14:textId="77777777" w:rsidR="003672DE" w:rsidRPr="00DC0730" w:rsidRDefault="003672DE" w:rsidP="00704A77">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F8F9CD8" w14:textId="77777777" w:rsidR="003672DE" w:rsidRPr="00DC0730" w:rsidRDefault="003672DE" w:rsidP="00704A77">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3380D792" w14:textId="77777777" w:rsidR="003672DE" w:rsidRPr="00DC0730" w:rsidRDefault="003672DE" w:rsidP="00704A77">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15C4D07E" w14:textId="77777777" w:rsidR="003672DE" w:rsidRDefault="003672DE" w:rsidP="003672DE"/>
    <w:p w14:paraId="3A7F26C0" w14:textId="77777777" w:rsidR="003672DE" w:rsidRDefault="003672DE" w:rsidP="003672DE">
      <w:r>
        <w:rPr>
          <w:u w:val="single"/>
        </w:rPr>
        <w:t>Discussion:</w:t>
      </w:r>
    </w:p>
    <w:p w14:paraId="3AFE5756" w14:textId="77777777" w:rsidR="003672DE" w:rsidRDefault="003672DE" w:rsidP="003672DE"/>
    <w:p w14:paraId="4A6951F0" w14:textId="77777777" w:rsidR="003672DE" w:rsidRDefault="003672DE" w:rsidP="003672DE">
      <w:r>
        <w:rPr>
          <w:noProof/>
        </w:rPr>
        <w:drawing>
          <wp:inline distT="0" distB="0" distL="0" distR="0" wp14:anchorId="272F0CD9" wp14:editId="530CA910">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7939E8" w14:textId="77777777" w:rsidR="003672DE" w:rsidRDefault="003672DE" w:rsidP="003672DE"/>
    <w:p w14:paraId="56AF4B54" w14:textId="77777777" w:rsidR="003672DE" w:rsidRDefault="003672DE" w:rsidP="003672DE">
      <w:r>
        <w:t>Dissecting these bullets, we see that (c) and (d) state:</w:t>
      </w:r>
    </w:p>
    <w:p w14:paraId="1DE9AB63" w14:textId="77777777" w:rsidR="003672DE" w:rsidRDefault="003672DE" w:rsidP="003672DE">
      <w:pPr>
        <w:pStyle w:val="ListParagraph"/>
        <w:numPr>
          <w:ilvl w:val="0"/>
          <w:numId w:val="37"/>
        </w:numPr>
      </w:pPr>
      <w:r>
        <w:t xml:space="preserve">Perform basic access procedure [ </w:t>
      </w:r>
      <w:r>
        <w:rPr>
          <w:i/>
        </w:rPr>
        <w:t xml:space="preserve">is this done only once? </w:t>
      </w:r>
      <w:r>
        <w:t>]</w:t>
      </w:r>
    </w:p>
    <w:p w14:paraId="2860AE96" w14:textId="77777777" w:rsidR="003672DE" w:rsidRDefault="003672DE" w:rsidP="003672DE">
      <w:pPr>
        <w:pStyle w:val="ListParagraph"/>
        <w:numPr>
          <w:ilvl w:val="0"/>
          <w:numId w:val="37"/>
        </w:numPr>
      </w:pPr>
      <w:r>
        <w:t>Send a probe request to the broadcast address, with SSID and BSSID from MLME-SCAN parameters.</w:t>
      </w:r>
    </w:p>
    <w:p w14:paraId="20167E1F" w14:textId="77777777" w:rsidR="003672DE" w:rsidRDefault="003672DE" w:rsidP="003672DE">
      <w:pPr>
        <w:pStyle w:val="ListParagraph"/>
        <w:numPr>
          <w:ilvl w:val="0"/>
          <w:numId w:val="37"/>
        </w:numPr>
      </w:pPr>
      <w:r>
        <w:t xml:space="preserve">If SSID List is present in MLME-SCAN.request, send </w:t>
      </w:r>
      <w:r w:rsidRPr="008815DF">
        <w:rPr>
          <w:i/>
        </w:rPr>
        <w:t>one or more</w:t>
      </w:r>
      <w:r>
        <w:t xml:space="preserve"> probe requests, each with an SSID from the list and BSSID from the primitive’s parameter.  [ </w:t>
      </w:r>
      <w:r>
        <w:rPr>
          <w:i/>
        </w:rPr>
        <w:t xml:space="preserve">It’s unclear if these probes are sent to the broadcast address. </w:t>
      </w:r>
      <w:r>
        <w:t>]</w:t>
      </w:r>
    </w:p>
    <w:p w14:paraId="19F125A2" w14:textId="77777777" w:rsidR="003672DE" w:rsidRDefault="003672DE" w:rsidP="003672DE"/>
    <w:p w14:paraId="533D7E6F" w14:textId="77777777" w:rsidR="003672DE" w:rsidRDefault="003672DE" w:rsidP="003672DE">
      <w:r>
        <w:t>And, (e) states:</w:t>
      </w:r>
    </w:p>
    <w:p w14:paraId="79284635" w14:textId="77777777" w:rsidR="003672DE" w:rsidRDefault="003672DE" w:rsidP="003672DE">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91A4FF3" w14:textId="77777777" w:rsidR="003672DE" w:rsidRDefault="003672DE" w:rsidP="003672DE">
      <w:pPr>
        <w:pStyle w:val="ListParagraph"/>
        <w:numPr>
          <w:ilvl w:val="0"/>
          <w:numId w:val="37"/>
        </w:numPr>
      </w:pPr>
      <w:r>
        <w:t>Each of the above probes is preceded by a basic access procedure.</w:t>
      </w:r>
    </w:p>
    <w:p w14:paraId="2179D7F3" w14:textId="77777777" w:rsidR="003672DE" w:rsidRDefault="003672DE" w:rsidP="003672DE">
      <w:pPr>
        <w:pStyle w:val="ListParagraph"/>
        <w:numPr>
          <w:ilvl w:val="0"/>
          <w:numId w:val="37"/>
        </w:numPr>
      </w:pPr>
      <w:r>
        <w:t>[</w:t>
      </w:r>
      <w:r>
        <w:rPr>
          <w:i/>
        </w:rPr>
        <w:t xml:space="preserve"> There is no mention of sending a probe with the SSID from the MLME-SCAN parameter. </w:t>
      </w:r>
      <w:r>
        <w:t>]</w:t>
      </w:r>
    </w:p>
    <w:p w14:paraId="5A5E415E" w14:textId="77777777" w:rsidR="003672DE" w:rsidRDefault="003672DE" w:rsidP="003672DE"/>
    <w:p w14:paraId="6CFEA6E9" w14:textId="77777777" w:rsidR="003672DE" w:rsidRDefault="003672DE" w:rsidP="003672DE">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00562AD7" w14:textId="77777777" w:rsidR="003672DE" w:rsidRDefault="003672DE" w:rsidP="003672DE"/>
    <w:p w14:paraId="04B626B1" w14:textId="77777777" w:rsidR="003672DE" w:rsidRDefault="003672DE" w:rsidP="003672DE">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5AF70AB3" w14:textId="77777777" w:rsidR="003672DE" w:rsidRDefault="003672DE" w:rsidP="003672DE"/>
    <w:p w14:paraId="5262584B" w14:textId="77777777" w:rsidR="003672DE" w:rsidRDefault="003672DE" w:rsidP="003672DE">
      <w:r>
        <w:t>Exception (2) is partially addressed by the purpose of the SSID List stated in 4.3.19.15:</w:t>
      </w:r>
    </w:p>
    <w:p w14:paraId="21E21216" w14:textId="77777777" w:rsidR="003672DE" w:rsidRDefault="003672DE" w:rsidP="003672DE">
      <w:pPr>
        <w:ind w:left="720"/>
      </w:pPr>
      <w:r>
        <w:t>The SSID List element enables the non-AP STA to request information on a list of SSIDs. This is intended to reduce the number of Probe Request frames sent by the non-AP STA.</w:t>
      </w:r>
    </w:p>
    <w:p w14:paraId="78DC8B7D" w14:textId="77777777" w:rsidR="003672DE" w:rsidRDefault="003672DE" w:rsidP="003672DE">
      <w:r>
        <w:lastRenderedPageBreak/>
        <w:t>To maximize the opportunity to send as few probe request frames as possible, it should be allowed for the STA to send only the “main” probe request (to the SSID provided directly in the primitive) containing an SSID List element, and complete the procedure (if sufficient responses are determined to have been received).</w:t>
      </w:r>
    </w:p>
    <w:p w14:paraId="3FE02EC6" w14:textId="77777777" w:rsidR="003672DE" w:rsidRDefault="003672DE" w:rsidP="003672DE"/>
    <w:p w14:paraId="166F3F38" w14:textId="77777777" w:rsidR="003672DE" w:rsidRDefault="003672DE" w:rsidP="003672DE">
      <w:r w:rsidRPr="008815DF">
        <w:rPr>
          <w:highlight w:val="yellow"/>
          <w:u w:val="single"/>
        </w:rPr>
        <w:t>Proposed Resolution:</w:t>
      </w:r>
    </w:p>
    <w:p w14:paraId="44D9004A" w14:textId="77777777" w:rsidR="003672DE" w:rsidRDefault="003672DE" w:rsidP="003672DE"/>
    <w:p w14:paraId="53ECF285" w14:textId="77777777" w:rsidR="003672DE" w:rsidRDefault="003672DE" w:rsidP="003672DE">
      <w:r>
        <w:t>Revised.</w:t>
      </w:r>
    </w:p>
    <w:p w14:paraId="4420B7C6" w14:textId="77777777" w:rsidR="003672DE" w:rsidRDefault="003672DE" w:rsidP="003672DE"/>
    <w:p w14:paraId="36371081" w14:textId="77777777" w:rsidR="003672DE" w:rsidRDefault="003672DE" w:rsidP="003672DE">
      <w:r>
        <w:t>Modify bullets (c) and (d) as shown:</w:t>
      </w:r>
    </w:p>
    <w:p w14:paraId="7980FC14" w14:textId="77777777" w:rsidR="003672DE" w:rsidRPr="00D32A24" w:rsidRDefault="003672DE" w:rsidP="003672DE">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MLME-SCAN.request primitive.</w:t>
      </w:r>
      <w:r>
        <w:rPr>
          <w:u w:val="single"/>
        </w:rPr>
        <w:t xml:space="preserve">  </w:t>
      </w:r>
      <w:r w:rsidRPr="006B72F9">
        <w:rPr>
          <w:highlight w:val="cyan"/>
          <w:u w:val="single"/>
        </w:rPr>
        <w:t>&lt;Some hint here to include the SSID List&gt;</w:t>
      </w:r>
    </w:p>
    <w:p w14:paraId="64537596" w14:textId="77777777" w:rsidR="003672DE" w:rsidRDefault="003672DE" w:rsidP="003672DE">
      <w:pPr>
        <w:ind w:left="720"/>
      </w:pPr>
    </w:p>
    <w:p w14:paraId="70D2F21A" w14:textId="77777777" w:rsidR="003672DE" w:rsidRDefault="003672DE" w:rsidP="003672DE">
      <w:pPr>
        <w:ind w:left="720"/>
      </w:pPr>
      <w:r w:rsidRPr="006B72F9">
        <w:rPr>
          <w:highlight w:val="cyan"/>
        </w:rPr>
        <w:t>&lt;Something with Jouni about encouraging a single probe&gt;</w:t>
      </w:r>
    </w:p>
    <w:p w14:paraId="679EBDE3" w14:textId="77777777" w:rsidR="003672DE" w:rsidRPr="00D32A24" w:rsidRDefault="003672DE" w:rsidP="003672DE">
      <w:pPr>
        <w:ind w:left="720"/>
      </w:pPr>
    </w:p>
    <w:p w14:paraId="4FE7A3C7" w14:textId="77777777" w:rsidR="003672DE" w:rsidRPr="00933B2F" w:rsidRDefault="003672DE" w:rsidP="003672DE">
      <w:pPr>
        <w:ind w:left="990" w:hanging="270"/>
        <w:rPr>
          <w:u w:val="single"/>
        </w:rPr>
      </w:pPr>
      <w:r w:rsidRPr="00D32A24">
        <w:t xml:space="preserve">d) </w:t>
      </w:r>
      <w:r w:rsidRPr="00933B2F">
        <w:rPr>
          <w:strike/>
        </w:rPr>
        <w:t>Send a probe request to the broadcast destination address. The probe request is sent with the SSID and BSSID from the received MLME-SCAN.request primitive.</w:t>
      </w:r>
      <w:r w:rsidRPr="00D32A24">
        <w:t xml:space="preserve"> When the SSID List is present in the MLME-SCAN.request primitive, send </w:t>
      </w:r>
      <w:r w:rsidRPr="00B34815">
        <w:rPr>
          <w:strike/>
        </w:rPr>
        <w:t>one</w:t>
      </w:r>
      <w:r w:rsidRPr="00D32A24">
        <w:t xml:space="preserve"> </w:t>
      </w:r>
      <w:r>
        <w:rPr>
          <w:u w:val="single"/>
        </w:rPr>
        <w:t xml:space="preserve">zero </w:t>
      </w:r>
      <w:r w:rsidRPr="00D32A24">
        <w:t>or more Probe Request frames</w:t>
      </w:r>
      <w:r>
        <w:t xml:space="preserve"> &lt;to the broadcast address&gt;</w:t>
      </w:r>
      <w:r w:rsidRPr="00D32A24">
        <w:t>, each with an SSID indicated in the SSID List and the BSSID from the MLME-SCAN.request primitive(11ai).</w:t>
      </w:r>
      <w:r>
        <w:t xml:space="preserve">  </w:t>
      </w:r>
      <w:r w:rsidRPr="00933B2F">
        <w:rPr>
          <w:u w:val="single"/>
        </w:rPr>
        <w:t>The basic access procedure (10.3.4.2 (Basic access)) is performed prior to each probe request transmission</w:t>
      </w:r>
      <w:r>
        <w:rPr>
          <w:u w:val="single"/>
        </w:rPr>
        <w:t xml:space="preserve">, as required </w:t>
      </w:r>
      <w:r w:rsidRPr="006B72F9">
        <w:rPr>
          <w:highlight w:val="cyan"/>
          <w:u w:val="single"/>
        </w:rPr>
        <w:t>&lt;explain continuation TXOP&gt;.</w:t>
      </w:r>
    </w:p>
    <w:p w14:paraId="0482DBDE" w14:textId="77777777" w:rsidR="003672DE" w:rsidRDefault="003672DE" w:rsidP="003672DE">
      <w:pPr>
        <w:ind w:left="720"/>
      </w:pPr>
    </w:p>
    <w:p w14:paraId="2B398D92" w14:textId="77777777" w:rsidR="003672DE" w:rsidRDefault="003672DE" w:rsidP="003672DE">
      <w:r>
        <w:t>Delete bullet (e).</w:t>
      </w:r>
    </w:p>
    <w:p w14:paraId="59F8DD2C" w14:textId="77777777" w:rsidR="003672DE" w:rsidRDefault="003672DE" w:rsidP="003672DE"/>
    <w:p w14:paraId="3B49D799" w14:textId="77777777" w:rsidR="003672DE" w:rsidRDefault="003672DE" w:rsidP="003672DE">
      <w:r>
        <w:t xml:space="preserve">Renumber references (2x) to “step i)” to reference “step h)”.  </w:t>
      </w:r>
      <w:r w:rsidRPr="006B72F9">
        <w:rPr>
          <w:highlight w:val="cyan"/>
        </w:rPr>
        <w:t>&lt;Work with editors.  Step l, also?&gt;</w:t>
      </w:r>
    </w:p>
    <w:p w14:paraId="1AE0D0AA" w14:textId="77777777" w:rsidR="003672DE" w:rsidRPr="00D32A24" w:rsidRDefault="003672DE" w:rsidP="003672DE"/>
    <w:p w14:paraId="3DB1D98F" w14:textId="77777777" w:rsidR="003672DE" w:rsidRDefault="003672DE" w:rsidP="003672DE">
      <w:r>
        <w:br w:type="page"/>
      </w:r>
    </w:p>
    <w:p w14:paraId="6AF40795" w14:textId="77777777" w:rsidR="003672DE" w:rsidRDefault="003672DE" w:rsidP="003672DE"/>
    <w:p w14:paraId="2ED3C7A8" w14:textId="77777777" w:rsidR="003672DE" w:rsidRDefault="003672DE" w:rsidP="003672DE"/>
    <w:p w14:paraId="0D9F3A7F" w14:textId="77777777" w:rsidR="003672DE" w:rsidRDefault="003672DE" w:rsidP="003672DE">
      <w:pPr>
        <w:rPr>
          <w:u w:val="single"/>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2E7AE6B4" w14:textId="77777777" w:rsidTr="00704A77">
        <w:trPr>
          <w:trHeight w:val="524"/>
        </w:trPr>
        <w:tc>
          <w:tcPr>
            <w:tcW w:w="738" w:type="dxa"/>
            <w:hideMark/>
          </w:tcPr>
          <w:p w14:paraId="3093D209"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31ED6A14"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C0B4DB0"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8B063A1"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1EAF9B9" w14:textId="77777777" w:rsidR="003672DE" w:rsidRPr="007837C2" w:rsidRDefault="003672D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6A6CD2F7" w14:textId="77777777" w:rsidTr="00704A77">
        <w:trPr>
          <w:trHeight w:val="1785"/>
        </w:trPr>
        <w:tc>
          <w:tcPr>
            <w:tcW w:w="738" w:type="dxa"/>
            <w:hideMark/>
          </w:tcPr>
          <w:p w14:paraId="3BF15F96" w14:textId="77777777" w:rsidR="003672DE" w:rsidRPr="00DC0730" w:rsidRDefault="003672DE" w:rsidP="00704A77">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35ECBFF4" w14:textId="77777777" w:rsidR="003672DE" w:rsidRPr="00DC0730" w:rsidRDefault="003672DE" w:rsidP="00704A77">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568CD1E6" w14:textId="77777777" w:rsidR="003672DE" w:rsidRPr="00DC0730" w:rsidRDefault="003672DE" w:rsidP="00704A77">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735D51B9" w14:textId="77777777" w:rsidR="003672DE" w:rsidRPr="00DC0730" w:rsidRDefault="003672DE" w:rsidP="00704A77">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E1518FF" w14:textId="77777777" w:rsidR="003672DE" w:rsidRPr="00DC0730" w:rsidRDefault="003672DE" w:rsidP="00704A77">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BE62FE2" w14:textId="77777777" w:rsidR="003672DE" w:rsidRDefault="003672DE" w:rsidP="003672DE">
      <w:pPr>
        <w:rPr>
          <w:u w:val="single"/>
        </w:rPr>
      </w:pPr>
    </w:p>
    <w:p w14:paraId="78C7EF5A" w14:textId="77777777" w:rsidR="003672DE" w:rsidRPr="00894D81" w:rsidRDefault="003672DE" w:rsidP="003672DE">
      <w:pPr>
        <w:rPr>
          <w:u w:val="single"/>
        </w:rPr>
      </w:pPr>
      <w:r w:rsidRPr="00894D81">
        <w:rPr>
          <w:u w:val="single"/>
        </w:rPr>
        <w:t>Discussion:</w:t>
      </w:r>
    </w:p>
    <w:p w14:paraId="29365272" w14:textId="77777777" w:rsidR="003672DE" w:rsidRDefault="003672DE" w:rsidP="003672DE"/>
    <w:p w14:paraId="2405B7E8" w14:textId="77777777" w:rsidR="003672DE" w:rsidRDefault="003672DE" w:rsidP="003672DE">
      <w:r>
        <w:rPr>
          <w:noProof/>
        </w:rPr>
        <w:drawing>
          <wp:inline distT="0" distB="0" distL="0" distR="0" wp14:anchorId="27BEA88D" wp14:editId="5854E59D">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6D069E" w14:textId="77777777" w:rsidR="003672DE" w:rsidRDefault="003672DE" w:rsidP="003672DE"/>
    <w:p w14:paraId="13A38BE1" w14:textId="77777777" w:rsidR="003672DE" w:rsidRDefault="003672DE" w:rsidP="003672DE">
      <w:r>
        <w:t>The commenter claims that the value of 1 is obvious, in this context.  Here’s the logic:</w:t>
      </w:r>
    </w:p>
    <w:p w14:paraId="0439FE39" w14:textId="77777777" w:rsidR="003672DE" w:rsidRDefault="003672DE" w:rsidP="003672DE">
      <w:pPr>
        <w:pStyle w:val="ListParagraph"/>
        <w:numPr>
          <w:ilvl w:val="0"/>
          <w:numId w:val="37"/>
        </w:numPr>
      </w:pPr>
      <w:r>
        <w:t>The count is the “number of TBTTs until the STA ... switches to the new channel”.</w:t>
      </w:r>
    </w:p>
    <w:p w14:paraId="3FDA8F1F" w14:textId="77777777" w:rsidR="003672DE" w:rsidRDefault="003672DE" w:rsidP="003672DE">
      <w:pPr>
        <w:pStyle w:val="ListParagraph"/>
        <w:numPr>
          <w:ilvl w:val="0"/>
          <w:numId w:val="37"/>
        </w:numPr>
      </w:pPr>
      <w:r>
        <w:t>So, if the value is 1, that implies there is 1 TBTT “until” the STA switches channels.  That leaves it ambiguous if the channel switch happens just before that next TBTT, or just after it.  (What does “until” mean, here?  And, obviously it can’t switch channels _at_ the TBTT, or it will have to delay the Beacon transmission while waiting for a CCA operation.)</w:t>
      </w:r>
    </w:p>
    <w:p w14:paraId="3EB17DDD" w14:textId="77777777" w:rsidR="003672DE" w:rsidRDefault="003672DE" w:rsidP="003672DE">
      <w:pPr>
        <w:pStyle w:val="ListParagraph"/>
        <w:numPr>
          <w:ilvl w:val="0"/>
          <w:numId w:val="37"/>
        </w:numPr>
      </w:pPr>
      <w:r>
        <w:t>Thus, the example of stating that ‘1’ means the switch happens just before the next TBTT/Beacon seems a useful clarification.</w:t>
      </w:r>
    </w:p>
    <w:p w14:paraId="3A366CD0" w14:textId="77777777" w:rsidR="003672DE" w:rsidRDefault="003672DE" w:rsidP="003672DE">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54F9461F" w14:textId="77777777" w:rsidR="003672DE" w:rsidRDefault="003672DE" w:rsidP="003672DE">
      <w:pPr>
        <w:pStyle w:val="ListParagraph"/>
        <w:numPr>
          <w:ilvl w:val="0"/>
          <w:numId w:val="37"/>
        </w:numPr>
      </w:pPr>
      <w:r>
        <w:t>Perhaps it would be better to replace “until” with “just before”, something similar to:</w:t>
      </w:r>
    </w:p>
    <w:p w14:paraId="7A03F5F0" w14:textId="77777777" w:rsidR="003672DE" w:rsidRDefault="003672DE" w:rsidP="003672DE">
      <w:pPr>
        <w:pStyle w:val="ListParagraph"/>
        <w:numPr>
          <w:ilvl w:val="1"/>
          <w:numId w:val="37"/>
        </w:numPr>
      </w:pPr>
      <w:r>
        <w:t>“the number of TBTTs, just before which the STA … switches to the new channel”.</w:t>
      </w:r>
    </w:p>
    <w:p w14:paraId="04FF00DC" w14:textId="77777777" w:rsidR="003672DE" w:rsidRDefault="003672DE" w:rsidP="003672DE">
      <w:pPr>
        <w:pStyle w:val="ListParagraph"/>
        <w:numPr>
          <w:ilvl w:val="0"/>
          <w:numId w:val="37"/>
        </w:numPr>
      </w:pPr>
      <w:r>
        <w:t>The example of what 0 means is clearly non-obvious, and the commenter does not suggest removing that one.</w:t>
      </w:r>
    </w:p>
    <w:p w14:paraId="45D0B763" w14:textId="77777777" w:rsidR="003672DE" w:rsidRDefault="003672DE" w:rsidP="003672DE"/>
    <w:p w14:paraId="73182508" w14:textId="77777777" w:rsidR="003672DE" w:rsidRDefault="003672DE" w:rsidP="003672DE">
      <w:r w:rsidRPr="00C129FD">
        <w:rPr>
          <w:highlight w:val="yellow"/>
          <w:u w:val="single"/>
        </w:rPr>
        <w:t>Proposed Resolution:</w:t>
      </w:r>
    </w:p>
    <w:p w14:paraId="00519C78" w14:textId="77777777" w:rsidR="003672DE" w:rsidRDefault="003672DE" w:rsidP="003672DE"/>
    <w:p w14:paraId="55EC651C" w14:textId="77777777" w:rsidR="003672DE" w:rsidRPr="00894D81" w:rsidRDefault="003672DE" w:rsidP="003672DE">
      <w:r>
        <w:t>Rejected.  The language “number of TBTTs until” is not obvious to indicate “just before” or “just after” that number of TBTTs happens.  The example clarifies this.</w:t>
      </w:r>
    </w:p>
    <w:p w14:paraId="68EFC1E1" w14:textId="77777777" w:rsidR="003672DE" w:rsidRDefault="003672DE" w:rsidP="003672DE"/>
    <w:p w14:paraId="50EDD3BE" w14:textId="77777777" w:rsidR="003672DE" w:rsidRDefault="003672DE" w:rsidP="003672DE">
      <w:r w:rsidRPr="00C129FD">
        <w:rPr>
          <w:highlight w:val="cyan"/>
        </w:rPr>
        <w:t>Look at 9.4.2.22, also.</w:t>
      </w:r>
    </w:p>
    <w:p w14:paraId="2DBCE8E7" w14:textId="4EE0F54B" w:rsidR="009C6FFD" w:rsidRDefault="003672DE" w:rsidP="003672DE">
      <w:r>
        <w:br w:type="page"/>
      </w:r>
      <w:bookmarkStart w:id="0" w:name="_GoBack"/>
      <w:bookmarkEnd w:id="0"/>
    </w:p>
    <w:p w14:paraId="31281E1A" w14:textId="77777777" w:rsidR="003672DE" w:rsidRDefault="003672DE" w:rsidP="008A162E"/>
    <w:p w14:paraId="024CC905" w14:textId="55D9FE61" w:rsidR="00192743" w:rsidRDefault="00192743" w:rsidP="008A162E">
      <w:r>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1"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"The Extended Capabilities element is optionally present if any of the fields in this element are nonzero." -- I think this is trying to say that the EC element is present if and only if there are some extended capabilities to advertise.  However, as it's written it's actually saying you don't have to advertise your extended capabilities (even in assoc)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Delete "optionally" in the cited text at the referenced location and also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Request..  RSN(E) is described as present (not optional) if RSNA is activated (“security is required”) for other frame types.</w:t>
      </w:r>
    </w:p>
    <w:bookmarkEnd w:id="1"/>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In 9.7.1: "Each nonfinal A-MPDU subframe in an A-MPDU has padding octets ..."  Next paragraph has, "In an HT PPDU, the final A-MPDU subframe is not padded."  Is that redundant?  Is there another option (for non HT PPDU)?  Clarify if a non-HT PPDU has another option, or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Clarify if a non-HT PPDU has another option, or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more clear.</w:t>
      </w:r>
    </w:p>
    <w:p w14:paraId="15D79EE0" w14:textId="77777777" w:rsidR="003010EF" w:rsidRDefault="003010EF" w:rsidP="003010EF"/>
    <w:p w14:paraId="0BF6A250" w14:textId="77777777" w:rsidR="003010EF" w:rsidRDefault="003010EF" w:rsidP="003010EF">
      <w:r w:rsidRPr="008E3D4E">
        <w:rPr>
          <w:highlight w:val="red"/>
        </w:rPr>
        <w:t>For DMG:  ???</w:t>
      </w:r>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r w:rsidRPr="004B223E">
        <w:rPr>
          <w:highlight w:val="red"/>
        </w:rPr>
        <w:t>DMG ??</w:t>
      </w:r>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646687">
        <w:trPr>
          <w:trHeight w:val="524"/>
        </w:trPr>
        <w:tc>
          <w:tcPr>
            <w:tcW w:w="738" w:type="dxa"/>
            <w:hideMark/>
          </w:tcPr>
          <w:p w14:paraId="28F5C54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646687">
        <w:trPr>
          <w:trHeight w:val="1530"/>
        </w:trPr>
        <w:tc>
          <w:tcPr>
            <w:tcW w:w="738" w:type="dxa"/>
            <w:hideMark/>
          </w:tcPr>
          <w:p w14:paraId="5A3AD88E"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646687">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Jiamin, Assaf?</w:t>
      </w:r>
    </w:p>
    <w:p w14:paraId="729B1D49" w14:textId="77777777" w:rsidR="003010EF" w:rsidRDefault="003010EF" w:rsidP="003010EF">
      <w:r>
        <w:br w:type="page"/>
      </w:r>
    </w:p>
    <w:p w14:paraId="2700C148" w14:textId="6303AC2A" w:rsidR="003010EF" w:rsidRDefault="003010EF" w:rsidP="008A162E"/>
    <w:p w14:paraId="1EF0AC43" w14:textId="77777777" w:rsidR="003010EF" w:rsidRDefault="003010EF"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92743" w:rsidRPr="007837C2" w14:paraId="446D596B" w14:textId="77777777" w:rsidTr="000435C1">
        <w:trPr>
          <w:trHeight w:val="524"/>
        </w:trPr>
        <w:tc>
          <w:tcPr>
            <w:tcW w:w="738" w:type="dxa"/>
            <w:hideMark/>
          </w:tcPr>
          <w:p w14:paraId="15784577" w14:textId="77777777" w:rsidR="00192743" w:rsidRPr="007837C2" w:rsidRDefault="00192743" w:rsidP="000435C1">
            <w:pPr>
              <w:autoSpaceDE w:val="0"/>
              <w:autoSpaceDN w:val="0"/>
              <w:adjustRightInd w:val="0"/>
              <w:rPr>
                <w:rFonts w:ascii="Arial" w:hAnsi="Arial" w:cs="Arial"/>
                <w:b/>
                <w:bCs/>
                <w:sz w:val="20"/>
                <w:lang w:eastAsia="ja-JP" w:bidi="he-IL"/>
              </w:rPr>
            </w:pPr>
            <w:bookmarkStart w:id="2" w:name="_Hlk13734345"/>
            <w:bookmarkStart w:id="3" w:name="_Hlk13734796"/>
            <w:bookmarkStart w:id="4" w:name="_Hlk13945538"/>
            <w:r w:rsidRPr="007837C2">
              <w:rPr>
                <w:rFonts w:ascii="Arial" w:hAnsi="Arial" w:cs="Arial"/>
                <w:b/>
                <w:bCs/>
                <w:sz w:val="20"/>
                <w:lang w:eastAsia="ja-JP" w:bidi="he-IL"/>
              </w:rPr>
              <w:t>CID</w:t>
            </w:r>
          </w:p>
        </w:tc>
        <w:tc>
          <w:tcPr>
            <w:tcW w:w="990" w:type="dxa"/>
            <w:hideMark/>
          </w:tcPr>
          <w:p w14:paraId="420D9A4E"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E58565"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63B2C1C"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1825C3"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85FA4" w:rsidRPr="00DC0730" w14:paraId="0E33F78A" w14:textId="77777777" w:rsidTr="000435C1">
        <w:trPr>
          <w:trHeight w:val="1020"/>
        </w:trPr>
        <w:tc>
          <w:tcPr>
            <w:tcW w:w="738" w:type="dxa"/>
          </w:tcPr>
          <w:p w14:paraId="4EB236D7" w14:textId="778B48E0" w:rsidR="00E85FA4" w:rsidRPr="00DC0730" w:rsidRDefault="00E85FA4" w:rsidP="000435C1">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25EEA981" w14:textId="46D98F57" w:rsidR="00E85FA4" w:rsidRPr="00DC0730" w:rsidRDefault="00D2281F" w:rsidP="000435C1">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4FE973B5" w14:textId="3D92CF66" w:rsidR="00E85FA4" w:rsidRPr="00DC0730" w:rsidRDefault="00D2281F" w:rsidP="000435C1">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A08C949" w14:textId="4C4ED217" w:rsidR="00E85FA4" w:rsidRPr="00DC0730" w:rsidRDefault="00D2281F" w:rsidP="000435C1">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36C6132" w14:textId="77777777" w:rsidR="00D2281F" w:rsidRPr="00D2281F" w:rsidRDefault="00D2281F" w:rsidP="00D2281F">
            <w:pPr>
              <w:rPr>
                <w:rFonts w:ascii="Arial" w:eastAsia="Times New Roman" w:hAnsi="Arial" w:cs="Arial"/>
                <w:sz w:val="20"/>
                <w:lang w:val="en-US"/>
              </w:rPr>
            </w:pPr>
            <w:r w:rsidRPr="00D2281F">
              <w:rPr>
                <w:rFonts w:ascii="Arial" w:eastAsia="Times New Roman" w:hAnsi="Arial" w:cs="Arial"/>
                <w:sz w:val="20"/>
                <w:lang w:val="en-US"/>
              </w:rPr>
              <w:t>Replace</w:t>
            </w:r>
          </w:p>
          <w:p w14:paraId="4FD9A616" w14:textId="77777777" w:rsidR="00D2281F" w:rsidRPr="00D2281F" w:rsidRDefault="00D2281F" w:rsidP="00D2281F">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6BC57B8C" w14:textId="77777777" w:rsidR="00D2281F" w:rsidRPr="00D2281F" w:rsidRDefault="00D2281F" w:rsidP="00D2281F">
            <w:pPr>
              <w:rPr>
                <w:rFonts w:ascii="Arial" w:eastAsia="Times New Roman" w:hAnsi="Arial" w:cs="Arial"/>
                <w:sz w:val="20"/>
                <w:lang w:val="en-US"/>
              </w:rPr>
            </w:pPr>
            <w:r w:rsidRPr="00D2281F">
              <w:rPr>
                <w:rFonts w:ascii="Arial" w:eastAsia="Times New Roman" w:hAnsi="Arial" w:cs="Arial"/>
                <w:sz w:val="20"/>
                <w:lang w:val="en-US"/>
              </w:rPr>
              <w:t>with</w:t>
            </w:r>
          </w:p>
          <w:p w14:paraId="4E1EC9E3" w14:textId="122196BC" w:rsidR="00E85FA4" w:rsidRPr="00DC0730" w:rsidRDefault="00D2281F" w:rsidP="00D2281F">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r w:rsidR="00192743" w:rsidRPr="00DC0730" w14:paraId="5B6A0D50" w14:textId="77777777" w:rsidTr="000435C1">
        <w:trPr>
          <w:trHeight w:val="1020"/>
        </w:trPr>
        <w:tc>
          <w:tcPr>
            <w:tcW w:w="738" w:type="dxa"/>
            <w:hideMark/>
          </w:tcPr>
          <w:p w14:paraId="4EB4447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74B47172" w14:textId="759718CA"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1129.0</w:t>
            </w:r>
            <w:r w:rsidR="00955325">
              <w:rPr>
                <w:rFonts w:ascii="Arial" w:eastAsia="Times New Roman" w:hAnsi="Arial" w:cs="Arial"/>
                <w:sz w:val="20"/>
                <w:lang w:val="en-US"/>
              </w:rPr>
              <w:t>6</w:t>
            </w:r>
          </w:p>
        </w:tc>
        <w:tc>
          <w:tcPr>
            <w:tcW w:w="1080" w:type="dxa"/>
            <w:hideMark/>
          </w:tcPr>
          <w:p w14:paraId="4971188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12C5CA8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48F789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bookmarkEnd w:id="2"/>
      <w:bookmarkEnd w:id="3"/>
      <w:bookmarkEnd w:id="4"/>
      <w:tr w:rsidR="00192743" w:rsidRPr="00DC0730" w14:paraId="58316020" w14:textId="77777777" w:rsidTr="000435C1">
        <w:trPr>
          <w:trHeight w:val="1020"/>
        </w:trPr>
        <w:tc>
          <w:tcPr>
            <w:tcW w:w="738" w:type="dxa"/>
            <w:hideMark/>
          </w:tcPr>
          <w:p w14:paraId="300F793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5CA9F58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7F3CAE2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55F303C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66E41C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192743" w:rsidRPr="00DC0730" w14:paraId="79FC1BE7" w14:textId="77777777" w:rsidTr="000435C1">
        <w:trPr>
          <w:trHeight w:val="2295"/>
        </w:trPr>
        <w:tc>
          <w:tcPr>
            <w:tcW w:w="738" w:type="dxa"/>
            <w:hideMark/>
          </w:tcPr>
          <w:p w14:paraId="7941974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645619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560EA44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AC15F3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376D5F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192743" w:rsidRPr="00DC0730" w14:paraId="5DE2534C" w14:textId="77777777" w:rsidTr="000435C1">
        <w:trPr>
          <w:trHeight w:val="2295"/>
        </w:trPr>
        <w:tc>
          <w:tcPr>
            <w:tcW w:w="738" w:type="dxa"/>
            <w:hideMark/>
          </w:tcPr>
          <w:p w14:paraId="57C765A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7929CF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6E9BA00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356AAD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0EE40D6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192743" w:rsidRPr="00DC0730" w14:paraId="6AD93808" w14:textId="77777777" w:rsidTr="000435C1">
        <w:trPr>
          <w:trHeight w:val="2805"/>
        </w:trPr>
        <w:tc>
          <w:tcPr>
            <w:tcW w:w="738" w:type="dxa"/>
            <w:hideMark/>
          </w:tcPr>
          <w:p w14:paraId="4EA27DA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2287</w:t>
            </w:r>
          </w:p>
        </w:tc>
        <w:tc>
          <w:tcPr>
            <w:tcW w:w="990" w:type="dxa"/>
            <w:hideMark/>
          </w:tcPr>
          <w:p w14:paraId="4ABA35F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64B64D6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40C54D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Mixes of "AID subfield" and "AID field" in this subclause.  Also, there is no "AID subfield", only an "AID12 subfield" or an "AID13 subfield".  Since this is a VHT subclause, it must be specifying a non-S1G STA, and therefore the STA Info field has a AID12 subfield (and not an AID13 subfield).</w:t>
            </w:r>
          </w:p>
        </w:tc>
        <w:tc>
          <w:tcPr>
            <w:tcW w:w="3600" w:type="dxa"/>
            <w:hideMark/>
          </w:tcPr>
          <w:p w14:paraId="6C4D419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192743" w:rsidRPr="00DC0730" w14:paraId="6852C8C1" w14:textId="77777777" w:rsidTr="000435C1">
        <w:trPr>
          <w:trHeight w:val="3060"/>
        </w:trPr>
        <w:tc>
          <w:tcPr>
            <w:tcW w:w="738" w:type="dxa"/>
            <w:hideMark/>
          </w:tcPr>
          <w:p w14:paraId="2A477B8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135A9DD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665487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469A12D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FD27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 and change the first "AID" to "STA_ID".</w:t>
            </w:r>
            <w:r w:rsidRPr="00DC0730">
              <w:rPr>
                <w:rFonts w:ascii="Arial" w:eastAsia="Times New Roman" w:hAnsi="Arial" w:cs="Arial"/>
                <w:sz w:val="20"/>
                <w:lang w:val="en-US"/>
              </w:rPr>
              <w:br/>
              <w:t>At the end of the sentence at P913.1, add ", and is formatted per 9.4.1.8 (AID field)."</w:t>
            </w:r>
          </w:p>
        </w:tc>
      </w:tr>
      <w:tr w:rsidR="00192743" w:rsidRPr="00DC0730" w14:paraId="0718896A" w14:textId="77777777" w:rsidTr="000435C1">
        <w:trPr>
          <w:trHeight w:val="3570"/>
        </w:trPr>
        <w:tc>
          <w:tcPr>
            <w:tcW w:w="738" w:type="dxa"/>
            <w:hideMark/>
          </w:tcPr>
          <w:p w14:paraId="4AEC80C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6E147AD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22B9D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EA0A44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03CA688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192743" w:rsidRPr="00DC0730" w14:paraId="51D60E40" w14:textId="77777777" w:rsidTr="000435C1">
        <w:trPr>
          <w:trHeight w:val="2295"/>
        </w:trPr>
        <w:tc>
          <w:tcPr>
            <w:tcW w:w="738" w:type="dxa"/>
            <w:hideMark/>
          </w:tcPr>
          <w:p w14:paraId="535C6BD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BA20A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326B1A2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51D6602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Per CID 1412, "dual beacon" went from deprecated to obsolete in REVmd, but "STBC Beacon" (and some references to dual beacon) is still only deprecated.  Change all these references to Obsolete.  Similar issues with "Dual CTS"</w:t>
            </w:r>
          </w:p>
        </w:tc>
        <w:tc>
          <w:tcPr>
            <w:tcW w:w="3600" w:type="dxa"/>
            <w:hideMark/>
          </w:tcPr>
          <w:p w14:paraId="2833447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cited location, change "deprecated" to "obsolete".  Also at 1166.61, P1735.32, P3664.9, and P3664.18.</w:t>
            </w:r>
          </w:p>
        </w:tc>
      </w:tr>
      <w:tr w:rsidR="00192743" w:rsidRPr="00DC0730" w14:paraId="6AD9A64E" w14:textId="77777777" w:rsidTr="000435C1">
        <w:trPr>
          <w:trHeight w:val="1530"/>
        </w:trPr>
        <w:tc>
          <w:tcPr>
            <w:tcW w:w="738" w:type="dxa"/>
            <w:hideMark/>
          </w:tcPr>
          <w:p w14:paraId="1BED8D9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035E63C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5726956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7E3F18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55A30A9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sentence to, "The KDE List field contains one of more KDEs encapsulated using the format shown(#243) in Figure 12-35.</w:t>
            </w:r>
          </w:p>
        </w:tc>
      </w:tr>
      <w:tr w:rsidR="00192743" w:rsidRPr="00DC0730" w14:paraId="7C1D1031" w14:textId="77777777" w:rsidTr="000435C1">
        <w:trPr>
          <w:trHeight w:val="3060"/>
        </w:trPr>
        <w:tc>
          <w:tcPr>
            <w:tcW w:w="738" w:type="dxa"/>
            <w:hideMark/>
          </w:tcPr>
          <w:p w14:paraId="3ACDF6A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2558</w:t>
            </w:r>
          </w:p>
        </w:tc>
        <w:tc>
          <w:tcPr>
            <w:tcW w:w="990" w:type="dxa"/>
            <w:hideMark/>
          </w:tcPr>
          <w:p w14:paraId="0A7CF3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6979A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310CF2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(11ah)Duration/ID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to 1." -- not true if it's a PS-Poll+BDT</w:t>
            </w:r>
          </w:p>
        </w:tc>
        <w:tc>
          <w:tcPr>
            <w:tcW w:w="3600" w:type="dxa"/>
            <w:hideMark/>
          </w:tcPr>
          <w:p w14:paraId="58CAEE1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192743" w:rsidRPr="00DC0730" w14:paraId="6AC892BA" w14:textId="77777777" w:rsidTr="000435C1">
        <w:trPr>
          <w:trHeight w:val="5610"/>
        </w:trPr>
        <w:tc>
          <w:tcPr>
            <w:tcW w:w="738" w:type="dxa"/>
            <w:hideMark/>
          </w:tcPr>
          <w:p w14:paraId="7AE5077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3F5D053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6E9EC7A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5C5E515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29638A9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192743" w:rsidRPr="00DC0730" w14:paraId="6E10D853" w14:textId="77777777" w:rsidTr="000435C1">
        <w:trPr>
          <w:trHeight w:val="2295"/>
        </w:trPr>
        <w:tc>
          <w:tcPr>
            <w:tcW w:w="738" w:type="dxa"/>
            <w:hideMark/>
          </w:tcPr>
          <w:p w14:paraId="2BB1DB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613FFB3F" w14:textId="77777777" w:rsidR="00192743" w:rsidRPr="00DC0730" w:rsidRDefault="00192743" w:rsidP="000435C1">
            <w:pPr>
              <w:jc w:val="right"/>
              <w:rPr>
                <w:rFonts w:ascii="Arial" w:eastAsia="Times New Roman" w:hAnsi="Arial" w:cs="Arial"/>
                <w:sz w:val="20"/>
                <w:lang w:val="en-US"/>
              </w:rPr>
            </w:pPr>
          </w:p>
        </w:tc>
        <w:tc>
          <w:tcPr>
            <w:tcW w:w="1080" w:type="dxa"/>
            <w:hideMark/>
          </w:tcPr>
          <w:p w14:paraId="6E968F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211E5FD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254F4B8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192743" w:rsidRPr="00DC0730" w14:paraId="620D08FD" w14:textId="77777777" w:rsidTr="000435C1">
        <w:trPr>
          <w:trHeight w:val="765"/>
        </w:trPr>
        <w:tc>
          <w:tcPr>
            <w:tcW w:w="738" w:type="dxa"/>
            <w:hideMark/>
          </w:tcPr>
          <w:p w14:paraId="1747CC0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386B2DB1"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02C4B08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EB4DA9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Subelement ID field is set to 0." duplicates Table 9-427</w:t>
            </w:r>
          </w:p>
        </w:tc>
        <w:tc>
          <w:tcPr>
            <w:tcW w:w="3600" w:type="dxa"/>
            <w:hideMark/>
          </w:tcPr>
          <w:p w14:paraId="0B33ECB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27CBB000" w14:textId="77777777" w:rsidTr="000435C1">
        <w:trPr>
          <w:trHeight w:val="765"/>
        </w:trPr>
        <w:tc>
          <w:tcPr>
            <w:tcW w:w="738" w:type="dxa"/>
            <w:hideMark/>
          </w:tcPr>
          <w:p w14:paraId="291EA9F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186AB98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515C393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A0D11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Subelement ID field is set to 1." duplicates Table 9-427</w:t>
            </w:r>
          </w:p>
        </w:tc>
        <w:tc>
          <w:tcPr>
            <w:tcW w:w="3600" w:type="dxa"/>
            <w:hideMark/>
          </w:tcPr>
          <w:p w14:paraId="4264959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03A7467E" w14:textId="77777777" w:rsidTr="000435C1">
        <w:trPr>
          <w:trHeight w:val="1785"/>
        </w:trPr>
        <w:tc>
          <w:tcPr>
            <w:tcW w:w="738" w:type="dxa"/>
            <w:hideMark/>
          </w:tcPr>
          <w:p w14:paraId="4C2BCA4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2513</w:t>
            </w:r>
          </w:p>
        </w:tc>
        <w:tc>
          <w:tcPr>
            <w:tcW w:w="990" w:type="dxa"/>
            <w:hideMark/>
          </w:tcPr>
          <w:p w14:paraId="46FC4E0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58493D0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CB7060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6EA4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192743" w:rsidRPr="00DC0730" w14:paraId="33DBEC54" w14:textId="77777777" w:rsidTr="000435C1">
        <w:trPr>
          <w:trHeight w:val="4335"/>
        </w:trPr>
        <w:tc>
          <w:tcPr>
            <w:tcW w:w="738" w:type="dxa"/>
            <w:hideMark/>
          </w:tcPr>
          <w:p w14:paraId="4347EF2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39AF229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0ECE7F6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2FB55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F0C3F0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192743" w:rsidRPr="00DC0730" w14:paraId="1B78EA93" w14:textId="77777777" w:rsidTr="000435C1">
        <w:trPr>
          <w:trHeight w:val="1275"/>
        </w:trPr>
        <w:tc>
          <w:tcPr>
            <w:tcW w:w="738" w:type="dxa"/>
            <w:hideMark/>
          </w:tcPr>
          <w:p w14:paraId="170630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0435C1">
        <w:trPr>
          <w:trHeight w:val="3570"/>
        </w:trPr>
        <w:tc>
          <w:tcPr>
            <w:tcW w:w="738" w:type="dxa"/>
            <w:hideMark/>
          </w:tcPr>
          <w:p w14:paraId="58047BA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0435C1">
        <w:trPr>
          <w:trHeight w:val="8190"/>
        </w:trPr>
        <w:tc>
          <w:tcPr>
            <w:tcW w:w="738" w:type="dxa"/>
            <w:hideMark/>
          </w:tcPr>
          <w:p w14:paraId="7A30D3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2566</w:t>
            </w:r>
          </w:p>
        </w:tc>
        <w:tc>
          <w:tcPr>
            <w:tcW w:w="990" w:type="dxa"/>
            <w:hideMark/>
          </w:tcPr>
          <w:p w14:paraId="3E3ACC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Reduced Neighbor Report is actually about BSSes not APs.  So the fields therein should refer to BSSes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the SSID of the responding STA" -- BSSes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the SSID of the responding STA" -- BSSes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0435C1">
        <w:trPr>
          <w:trHeight w:val="1530"/>
        </w:trPr>
        <w:tc>
          <w:tcPr>
            <w:tcW w:w="738" w:type="dxa"/>
            <w:hideMark/>
          </w:tcPr>
          <w:p w14:paraId="0F7025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2581</w:t>
            </w:r>
          </w:p>
        </w:tc>
        <w:tc>
          <w:tcPr>
            <w:tcW w:w="990" w:type="dxa"/>
            <w:hideMark/>
          </w:tcPr>
          <w:p w14:paraId="5C5CCD7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6FCDC984" w:rsidR="00192743" w:rsidRDefault="00192743"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STA shall support the concurrent reception of fragments of at least three MSDUs or MMPDUs." The requirement for STA to support concurrent reception of fragments of at least three MSDUs or MMPDUs is in conflict with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(3) Some other frams (e.g., 9.6.7.7 Extended Channel Switch Announcement frame format) list the elements directly in a figure representing teh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I think (1) is the anomaly, and propose not to represent any IE appended to a frame as a field in that frame. This will simplify the text too, as teher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All the statements of the form "The $blah field contains zero or more subelements. The subelement format and ordering of</w:t>
            </w:r>
            <w:r w:rsidRPr="00DC0730">
              <w:rPr>
                <w:rFonts w:ascii="Arial" w:eastAsia="Times New Roman" w:hAnsi="Arial" w:cs="Arial"/>
                <w:sz w:val="20"/>
                <w:lang w:val="en-US"/>
              </w:rPr>
              <w:br/>
              <w:t>subelements are defined in 9.4.3 (Subelements)." are unclear as to whether you can have more than one subelement with the same Subelement ID.  Having more than one could lead to interop issues (for example, if there are two Originator Requesting STA MAC Address subelements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Add a para at the end of 9.4.3: "Unless stated otherwise, no more than one subelement with the same Subelement ID, apart from Vendor Specific subelements,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It should be possible to use the ChannelList when doing OCT scanning to specify the peer NT-MLME channels.  Currently, the Multi-band local in the MLME-SCAN.req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We should therefore replace it with a list of { band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tuples (or a single band ID parameter and a list of { channel,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if the TR-MLMEs have to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5G channels 36, 40 or 44, tunnelling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MLME-SCAN.req:</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Local TRs = { 2G4,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BRP packet structure has some problems in details.</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"Traning Length" in Table 20-11 (etc)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Also, the AGC/TRN subfields are sometimes called "training fields" and sometimes "a training field".  Since both of these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"A value of N in the Training Length field indicates 4├ùN AGC subfields" - does this mean the AGC (sub)field(s) has that many "AGC fields" (each of which is 4N repetitions of the Golay sequence), or there are just a total of 4N repetitions of the Golay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TGm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The 802.11 Style Guide says clause 4 should be written in delcarative,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TGm should consider whether claues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TGm should discuss this topic, and based on agreement on direciton,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There is no information for the first three fields of the Probe Response frame. The Timestamp field and how it is set for Probe Response) is important in particular.</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Capabilities field format) in 9.4.2.24.4 (RSN capabilities)." In 9.4.2.24.4, the refered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  and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[Cc]apability”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Change "Finite field element (FFE) field" to "FFE field" throughout.  Also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say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2 octet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FD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"The  FD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Agree with commenter, “any particular” is more clear.</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frame"s in Subclause 11.6 are higher-layer constructs and so are properly referred to as "sync packet"s</w:t>
            </w:r>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23">
                      <w14:nvContentPartPr>
                        <w14:cNvContentPartPr/>
                      </w14:nvContentPartPr>
                      <w14:xfrm>
                        <a:off x="0" y="0"/>
                        <a:ext cx="210240" cy="39240"/>
                      </w14:xfrm>
                    </w14:contentPart>
                  </a:graphicData>
                </a:graphic>
              </wp:anchor>
            </w:drawing>
          </mc:Choice>
          <mc:Fallback>
            <w:pict>
              <v:shapetype w14:anchorId="5B6FD8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24"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25">
                      <w14:nvContentPartPr>
                        <w14:cNvContentPartPr/>
                      </w14:nvContentPartPr>
                      <w14:xfrm>
                        <a:off x="0" y="0"/>
                        <a:ext cx="226440" cy="5760"/>
                      </w14:xfrm>
                    </w14:contentPart>
                  </a:graphicData>
                </a:graphic>
              </wp:anchor>
            </w:drawing>
          </mc:Choice>
          <mc:Fallback>
            <w:pict>
              <v:shape w14:anchorId="6A1862D6"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26"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7">
                      <w14:nvContentPartPr>
                        <w14:cNvContentPartPr/>
                      </w14:nvContentPartPr>
                      <w14:xfrm>
                        <a:off x="0" y="0"/>
                        <a:ext cx="240840" cy="17280"/>
                      </w14:xfrm>
                    </w14:contentPart>
                  </a:graphicData>
                </a:graphic>
              </wp:anchor>
            </w:drawing>
          </mc:Choice>
          <mc:Fallback>
            <w:pict>
              <v:shape w14:anchorId="74D36542"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28"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29">
                      <w14:nvContentPartPr>
                        <w14:cNvContentPartPr/>
                      </w14:nvContentPartPr>
                      <w14:xfrm>
                        <a:off x="0" y="0"/>
                        <a:ext cx="240840" cy="360"/>
                      </w14:xfrm>
                    </w14:contentPart>
                  </a:graphicData>
                </a:graphic>
              </wp:anchor>
            </w:drawing>
          </mc:Choice>
          <mc:Fallback>
            <w:pict>
              <v:shape w14:anchorId="165E6FD5"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30"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31">
                      <w14:nvContentPartPr>
                        <w14:cNvContentPartPr/>
                      </w14:nvContentPartPr>
                      <w14:xfrm>
                        <a:off x="0" y="0"/>
                        <a:ext cx="252000" cy="17640"/>
                      </w14:xfrm>
                    </w14:contentPart>
                  </a:graphicData>
                </a:graphic>
              </wp:anchor>
            </w:drawing>
          </mc:Choice>
          <mc:Fallback>
            <w:pict>
              <v:shape w14:anchorId="35AF07AC"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32"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33">
                      <w14:nvContentPartPr>
                        <w14:cNvContentPartPr/>
                      </w14:nvContentPartPr>
                      <w14:xfrm>
                        <a:off x="0" y="0"/>
                        <a:ext cx="294840" cy="56880"/>
                      </w14:xfrm>
                    </w14:contentPart>
                  </a:graphicData>
                </a:graphic>
              </wp:anchor>
            </w:drawing>
          </mc:Choice>
          <mc:Fallback>
            <w:pict>
              <v:shape w14:anchorId="61095708"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34"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35">
                      <w14:nvContentPartPr>
                        <w14:cNvContentPartPr/>
                      </w14:nvContentPartPr>
                      <w14:xfrm>
                        <a:off x="0" y="0"/>
                        <a:ext cx="263160" cy="23040"/>
                      </w14:xfrm>
                    </w14:contentPart>
                  </a:graphicData>
                </a:graphic>
              </wp:anchor>
            </w:drawing>
          </mc:Choice>
          <mc:Fallback>
            <w:pict>
              <v:shape w14:anchorId="4B9BC778"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36"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7">
                      <w14:nvContentPartPr>
                        <w14:cNvContentPartPr/>
                      </w14:nvContentPartPr>
                      <w14:xfrm>
                        <a:off x="0" y="0"/>
                        <a:ext cx="274680" cy="360"/>
                      </w14:xfrm>
                    </w14:contentPart>
                  </a:graphicData>
                </a:graphic>
              </wp:anchor>
            </w:drawing>
          </mc:Choice>
          <mc:Fallback>
            <w:pict>
              <v:shape w14:anchorId="584A2597"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38"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39">
                      <w14:nvContentPartPr>
                        <w14:cNvContentPartPr/>
                      </w14:nvContentPartPr>
                      <w14:xfrm>
                        <a:off x="0" y="0"/>
                        <a:ext cx="232920" cy="6480"/>
                      </w14:xfrm>
                    </w14:contentPart>
                  </a:graphicData>
                </a:graphic>
              </wp:anchor>
            </w:drawing>
          </mc:Choice>
          <mc:Fallback>
            <w:pict>
              <v:shape w14:anchorId="225EE42D"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40"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41">
                      <w14:nvContentPartPr>
                        <w14:cNvContentPartPr/>
                      </w14:nvContentPartPr>
                      <w14:xfrm>
                        <a:off x="0" y="0"/>
                        <a:ext cx="269280" cy="6120"/>
                      </w14:xfrm>
                    </w14:contentPart>
                  </a:graphicData>
                </a:graphic>
              </wp:anchor>
            </w:drawing>
          </mc:Choice>
          <mc:Fallback>
            <w:pict>
              <v:shape w14:anchorId="45B4DEAF"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42"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43">
                      <w14:nvContentPartPr>
                        <w14:cNvContentPartPr/>
                      </w14:nvContentPartPr>
                      <w14:xfrm>
                        <a:off x="0" y="0"/>
                        <a:ext cx="278280" cy="23040"/>
                      </w14:xfrm>
                    </w14:contentPart>
                  </a:graphicData>
                </a:graphic>
              </wp:anchor>
            </w:drawing>
          </mc:Choice>
          <mc:Fallback>
            <w:pict>
              <v:shape w14:anchorId="26B14E02"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44"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45">
                      <w14:nvContentPartPr>
                        <w14:cNvContentPartPr/>
                      </w14:nvContentPartPr>
                      <w14:xfrm>
                        <a:off x="0" y="0"/>
                        <a:ext cx="274680" cy="11520"/>
                      </w14:xfrm>
                    </w14:contentPart>
                  </a:graphicData>
                </a:graphic>
              </wp:anchor>
            </w:drawing>
          </mc:Choice>
          <mc:Fallback>
            <w:pict>
              <v:shape w14:anchorId="0029B9C5"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46"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7">
                      <w14:nvContentPartPr>
                        <w14:cNvContentPartPr/>
                      </w14:nvContentPartPr>
                      <w14:xfrm>
                        <a:off x="0" y="0"/>
                        <a:ext cx="269640" cy="5400"/>
                      </w14:xfrm>
                    </w14:contentPart>
                  </a:graphicData>
                </a:graphic>
              </wp:anchor>
            </w:drawing>
          </mc:Choice>
          <mc:Fallback>
            <w:pict>
              <v:shape w14:anchorId="7EE31CD5"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48"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49">
                      <w14:nvContentPartPr>
                        <w14:cNvContentPartPr/>
                      </w14:nvContentPartPr>
                      <w14:xfrm>
                        <a:off x="0" y="0"/>
                        <a:ext cx="280080" cy="17640"/>
                      </w14:xfrm>
                    </w14:contentPart>
                  </a:graphicData>
                </a:graphic>
              </wp:anchor>
            </w:drawing>
          </mc:Choice>
          <mc:Fallback>
            <w:pict>
              <v:shape w14:anchorId="2D0A8ACE"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50"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51">
                      <w14:nvContentPartPr>
                        <w14:cNvContentPartPr/>
                      </w14:nvContentPartPr>
                      <w14:xfrm>
                        <a:off x="0" y="0"/>
                        <a:ext cx="278640" cy="28800"/>
                      </w14:xfrm>
                    </w14:contentPart>
                  </a:graphicData>
                </a:graphic>
              </wp:anchor>
            </w:drawing>
          </mc:Choice>
          <mc:Fallback>
            <w:pict>
              <v:shape w14:anchorId="4D51F2C1"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52"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53">
                      <w14:nvContentPartPr>
                        <w14:cNvContentPartPr/>
                      </w14:nvContentPartPr>
                      <w14:xfrm>
                        <a:off x="0" y="0"/>
                        <a:ext cx="274680" cy="360"/>
                      </w14:xfrm>
                    </w14:contentPart>
                  </a:graphicData>
                </a:graphic>
              </wp:anchor>
            </w:drawing>
          </mc:Choice>
          <mc:Fallback>
            <w:pict>
              <v:shape w14:anchorId="5587509D"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38"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54">
                      <w14:nvContentPartPr>
                        <w14:cNvContentPartPr/>
                      </w14:nvContentPartPr>
                      <w14:xfrm>
                        <a:off x="0" y="0"/>
                        <a:ext cx="313920" cy="11520"/>
                      </w14:xfrm>
                    </w14:contentPart>
                  </a:graphicData>
                </a:graphic>
              </wp:anchor>
            </w:drawing>
          </mc:Choice>
          <mc:Fallback>
            <w:pict>
              <v:shape w14:anchorId="52DF718F"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55"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56">
                      <w14:nvContentPartPr>
                        <w14:cNvContentPartPr/>
                      </w14:nvContentPartPr>
                      <w14:xfrm>
                        <a:off x="0" y="0"/>
                        <a:ext cx="286920" cy="6120"/>
                      </w14:xfrm>
                    </w14:contentPart>
                  </a:graphicData>
                </a:graphic>
              </wp:anchor>
            </w:drawing>
          </mc:Choice>
          <mc:Fallback>
            <w:pict>
              <v:shape w14:anchorId="62AC441D"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57"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8">
                      <w14:nvContentPartPr>
                        <w14:cNvContentPartPr/>
                      </w14:nvContentPartPr>
                      <w14:xfrm>
                        <a:off x="0" y="0"/>
                        <a:ext cx="263520" cy="6120"/>
                      </w14:xfrm>
                    </w14:contentPart>
                  </a:graphicData>
                </a:graphic>
              </wp:anchor>
            </w:drawing>
          </mc:Choice>
          <mc:Fallback>
            <w:pict>
              <v:shape w14:anchorId="077E4678"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59"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60">
                      <w14:nvContentPartPr>
                        <w14:cNvContentPartPr/>
                      </w14:nvContentPartPr>
                      <w14:xfrm>
                        <a:off x="0" y="0"/>
                        <a:ext cx="319680" cy="28800"/>
                      </w14:xfrm>
                    </w14:contentPart>
                  </a:graphicData>
                </a:graphic>
              </wp:anchor>
            </w:drawing>
          </mc:Choice>
          <mc:Fallback>
            <w:pict>
              <v:shape w14:anchorId="2F3DFF20"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61"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62">
                      <w14:nvContentPartPr>
                        <w14:cNvContentPartPr/>
                      </w14:nvContentPartPr>
                      <w14:xfrm>
                        <a:off x="0" y="0"/>
                        <a:ext cx="325080" cy="360"/>
                      </w14:xfrm>
                    </w14:contentPart>
                  </a:graphicData>
                </a:graphic>
              </wp:anchor>
            </w:drawing>
          </mc:Choice>
          <mc:Fallback>
            <w:pict>
              <v:shape w14:anchorId="5448D5B4"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63"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64">
                      <w14:nvContentPartPr>
                        <w14:cNvContentPartPr/>
                      </w14:nvContentPartPr>
                      <w14:xfrm>
                        <a:off x="0" y="0"/>
                        <a:ext cx="291600" cy="17280"/>
                      </w14:xfrm>
                    </w14:contentPart>
                  </a:graphicData>
                </a:graphic>
              </wp:anchor>
            </w:drawing>
          </mc:Choice>
          <mc:Fallback>
            <w:pict>
              <v:shape w14:anchorId="571BFE11"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65"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more clear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Per the liaison exchange in 11-19/0185 and 11-19/0277, it has been confirmed that the Wi-Fi Alliance does use these bits, and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71"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commenter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"MA-UNITDATA.indicate"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"MA-UNITDATA.indication"</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Agree with the comment.  Based on a search, this is the only occurrence of “.indicate”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dot11S1GOptionImplemented shall be true for an S1G STA." -- both of these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most one of the following is present: x, y, z" is not clear.  Does it mean that only what is specified in x or y or z can be present, or can e.g. you have stuff in x plus other stuff as long as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75">
                      <w14:nvContentPartPr>
                        <w14:cNvContentPartPr/>
                      </w14:nvContentPartPr>
                      <w14:xfrm>
                        <a:off x="0" y="0"/>
                        <a:ext cx="336240" cy="17280"/>
                      </w14:xfrm>
                    </w14:contentPart>
                  </a:graphicData>
                </a:graphic>
              </wp:anchor>
            </w:drawing>
          </mc:Choice>
          <mc:Fallback>
            <w:pict>
              <v:shape w14:anchorId="3A64DEED"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76"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77">
                      <w14:nvContentPartPr>
                        <w14:cNvContentPartPr/>
                      </w14:nvContentPartPr>
                      <w14:xfrm>
                        <a:off x="0" y="0"/>
                        <a:ext cx="1071720" cy="22680"/>
                      </w14:xfrm>
                    </w14:contentPart>
                  </a:graphicData>
                </a:graphic>
              </wp:anchor>
            </w:drawing>
          </mc:Choice>
          <mc:Fallback>
            <w:pict>
              <v:shape w14:anchorId="7E643A93"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78"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79">
                      <w14:nvContentPartPr>
                        <w14:cNvContentPartPr/>
                      </w14:nvContentPartPr>
                      <w14:xfrm>
                        <a:off x="0" y="0"/>
                        <a:ext cx="350280" cy="9360"/>
                      </w14:xfrm>
                    </w14:contentPart>
                  </a:graphicData>
                </a:graphic>
              </wp:anchor>
            </w:drawing>
          </mc:Choice>
          <mc:Fallback>
            <w:pict>
              <v:shape w14:anchorId="659332B4"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80"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81">
                      <w14:nvContentPartPr>
                        <w14:cNvContentPartPr/>
                      </w14:nvContentPartPr>
                      <w14:xfrm>
                        <a:off x="0" y="0"/>
                        <a:ext cx="1026360" cy="69120"/>
                      </w14:xfrm>
                    </w14:contentPart>
                  </a:graphicData>
                </a:graphic>
              </wp:anchor>
            </w:drawing>
          </mc:Choice>
          <mc:Fallback>
            <w:pict>
              <v:shape w14:anchorId="2D48383B"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82"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BlockAck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All  members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All  members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5" w:name="_Hlk4067402"/>
            <w:r w:rsidRPr="00DC0730">
              <w:rPr>
                <w:rFonts w:ascii="Arial" w:eastAsia="Times New Roman" w:hAnsi="Arial" w:cs="Arial"/>
                <w:sz w:val="20"/>
                <w:lang w:val="en-US"/>
              </w:rPr>
              <w:t xml:space="preserve">"An unsigned integer indicating a finite cyclic group" </w:t>
            </w:r>
            <w:bookmarkEnd w:id="5"/>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90"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(M101)the cryptographic group to use in the SAE exchange as specified in 12.4 (Authentication using a password). This field is also used in FILS to indicate (M101)the cryptographic group to use in FILS authentication as specified in 12.12 (Authentication for FILS(11ai)) (11ai). See Figure 9-130 (Finite Cyclic Group field format(#2607)).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(0..65535)”.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w.r.t. SAE, FILS and AP PeerKey protocols, which all use this field (in similar ways).  Note that </w:t>
      </w:r>
      <w:r w:rsidRPr="00012867">
        <w:t>SAE mentions this table in 12.2.4, 12.4.4.1; AP PeerKey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Finally, agreed to update the wording within the SAE, FILS and AP PeerKey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 xml:space="preserve">The Finite Cyclic Group field(M101) is used in SAE to indicate (M101)the cryptographic group to use in the SAE exchange as specified in 12.4 (Authentication using a password). This field is also used in FILS </w:t>
      </w:r>
      <w:r w:rsidRPr="00664F48">
        <w:t>to indicate (M101)the cryptographic group to use in FILS authentication as specified in 12.12 (Authentication for FILS(11ai)) (11ai). See Figure 9-130 (Finite Cyclic Group field format(#2607)).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[B18][B33],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(0..65535)”.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similar to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(M85)dot11RSNAConfigDLCGroupTable,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[B18][B33].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[B18][B33]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frames allowed per sector sweep is 5, the subfield contains the value 4.".  In 9.4.2.170.2 delete "For example, a value of 0 indicates that one TBTT Information field is included. "  In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In these cases, it seems fine to remove the examples, as long as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 in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 ]</w:t>
      </w:r>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the a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 in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 ]</w:t>
      </w:r>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AES-keywrap always adds 64 bits to the wrapped data, to carry the integrity check used by the receiver to know that the decryption was successful.  So, len(AES-Keywrap(GTK)) will always be len(GTK)+64.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Per the MIB description, dot11AuthenticationResponseTimeout is supposed to be used to timeout each message exchange in an Authentication sequence.  While AuthenticateFailureTimeout does a timeout across the entire sequence (apparently, per the MLME-AUTHENTICATE.request primitive description). It does not seem that we really need both.</w:t>
      </w:r>
    </w:p>
    <w:p w14:paraId="318E40B2" w14:textId="77777777" w:rsidR="00397784" w:rsidRDefault="00397784" w:rsidP="00397784">
      <w:r>
        <w:t> </w:t>
      </w:r>
    </w:p>
    <w:p w14:paraId="3954C35B" w14:textId="77777777" w:rsidR="00397784" w:rsidRDefault="00397784" w:rsidP="00397784">
      <w:r>
        <w:t>A reasonable answer to the CID might be to add that it was deprecated because it was redundant with AuthenticateFailureTimeout,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and with implementation-specific timeouts as guided by the AuthenticateFailureTimeout provided in the MLME-AUTHENTICATE.request</w:t>
      </w:r>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and with implementation-specific timeouts as guided by the AuthenticateFailureTimeout parameter in the MLME-AUTHENTICATE.request</w:t>
      </w:r>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Deprecated, as redundant in purpose with the AuthenticateFailureTimeout parameter provided in an MLME-AUTHENTICATE.request.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"PeerSTAAddress" shall be "STAAddress" to be consistent with MLME-GAS.indication. In MLME-GAS.request and MLME-GAS.confirm primitives, the first parameter is "STAAddress". In MLME-GAS.indication primitive, the parameter is named as "PeerSTAAddress". To be consistent, "PeerSTAAddress" shall be "STAAddress" in MLME-GAS.indication.</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"PeerSTAAddress" to  "STAAddress"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 xml:space="preserve">in the MLME-GAS.indication, the first parameter is called “PeerSTAAddress”, but in other MLME-GAS primitives have “STAAddress”.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(Some of?) This came from 802.11aq, which added the concept that a GAS request could be a group address behaviour.  But,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r>
              <w:t>.request</w:t>
            </w:r>
          </w:p>
        </w:tc>
        <w:tc>
          <w:tcPr>
            <w:tcW w:w="3434" w:type="dxa"/>
          </w:tcPr>
          <w:p w14:paraId="28A71784" w14:textId="77777777" w:rsidR="00397784" w:rsidRDefault="00397784" w:rsidP="00BB6439">
            <w:r>
              <w:t>STAAddress</w:t>
            </w:r>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r>
              <w:t>.indication</w:t>
            </w:r>
          </w:p>
        </w:tc>
        <w:tc>
          <w:tcPr>
            <w:tcW w:w="3434" w:type="dxa"/>
          </w:tcPr>
          <w:p w14:paraId="74B5328C" w14:textId="77777777" w:rsidR="00397784" w:rsidRDefault="00397784" w:rsidP="00BB6439">
            <w:r>
              <w:t>PeerSTAAddress</w:t>
            </w:r>
          </w:p>
        </w:tc>
        <w:tc>
          <w:tcPr>
            <w:tcW w:w="3434" w:type="dxa"/>
          </w:tcPr>
          <w:p w14:paraId="66612895" w14:textId="77777777" w:rsidR="00397784" w:rsidRDefault="00397784" w:rsidP="00BB6439">
            <w:r>
              <w:t>Described as the peer entity from which the query (request) message was received.  Should be specific to a single peer, and is.  No change.</w:t>
            </w:r>
          </w:p>
        </w:tc>
      </w:tr>
      <w:tr w:rsidR="00397784" w14:paraId="156AFC29" w14:textId="77777777" w:rsidTr="00BB6439">
        <w:tc>
          <w:tcPr>
            <w:tcW w:w="3434" w:type="dxa"/>
          </w:tcPr>
          <w:p w14:paraId="265AA70A" w14:textId="77777777" w:rsidR="00397784" w:rsidRDefault="00397784" w:rsidP="00BB6439">
            <w:r>
              <w:t>.response</w:t>
            </w:r>
          </w:p>
        </w:tc>
        <w:tc>
          <w:tcPr>
            <w:tcW w:w="3434" w:type="dxa"/>
          </w:tcPr>
          <w:p w14:paraId="7EC70238" w14:textId="77777777" w:rsidR="00397784" w:rsidRDefault="00397784" w:rsidP="00BB6439">
            <w:r>
              <w:t>STAAddress</w:t>
            </w:r>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r>
              <w:lastRenderedPageBreak/>
              <w:t>.confirm</w:t>
            </w:r>
          </w:p>
        </w:tc>
        <w:tc>
          <w:tcPr>
            <w:tcW w:w="3434" w:type="dxa"/>
          </w:tcPr>
          <w:p w14:paraId="1062676B" w14:textId="77777777" w:rsidR="00397784" w:rsidRDefault="00397784" w:rsidP="00BB6439">
            <w:r>
              <w:t>STAAddress</w:t>
            </w:r>
          </w:p>
        </w:tc>
        <w:tc>
          <w:tcPr>
            <w:tcW w:w="3434" w:type="dxa"/>
          </w:tcPr>
          <w:p w14:paraId="2A261DD5" w14:textId="77777777" w:rsidR="00397784" w:rsidRDefault="00397784" w:rsidP="00BB6439">
            <w:r>
              <w:t xml:space="preserve">Described as the peer entity from which the response is received.  Should be “PeerSTAAddress”.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 xml:space="preserve">Change “STAAddress” to “PeerSTAAddress” in the parameter list and parameter description table </w:t>
      </w:r>
      <w:r>
        <w:t xml:space="preserve">for the MLME-GAS.confirm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BA”/”asymmetric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03">
                      <w14:nvContentPartPr>
                        <w14:cNvContentPartPr/>
                      </w14:nvContentPartPr>
                      <w14:xfrm>
                        <a:off x="0" y="0"/>
                        <a:ext cx="418320" cy="57960"/>
                      </w14:xfrm>
                    </w14:contentPart>
                  </a:graphicData>
                </a:graphic>
              </wp:anchor>
            </w:drawing>
          </mc:Choice>
          <mc:Fallback>
            <w:pict>
              <v:shape w14:anchorId="3A0DC7AE"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04"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05">
                      <w14:nvContentPartPr>
                        <w14:cNvContentPartPr/>
                      </w14:nvContentPartPr>
                      <w14:xfrm>
                        <a:off x="0" y="0"/>
                        <a:ext cx="437400" cy="24840"/>
                      </w14:xfrm>
                    </w14:contentPart>
                  </a:graphicData>
                </a:graphic>
              </wp:anchor>
            </w:drawing>
          </mc:Choice>
          <mc:Fallback>
            <w:pict>
              <v:shape w14:anchorId="3ED44C31"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6"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08">
                      <w14:nvContentPartPr>
                        <w14:cNvContentPartPr/>
                      </w14:nvContentPartPr>
                      <w14:xfrm>
                        <a:off x="0" y="0"/>
                        <a:ext cx="465840" cy="360"/>
                      </w14:xfrm>
                    </w14:contentPart>
                  </a:graphicData>
                </a:graphic>
              </wp:anchor>
            </w:drawing>
          </mc:Choice>
          <mc:Fallback>
            <w:pict>
              <v:shape w14:anchorId="4ADC0C75"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09"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10">
                      <w14:nvContentPartPr>
                        <w14:cNvContentPartPr/>
                      </w14:nvContentPartPr>
                      <w14:xfrm>
                        <a:off x="0" y="0"/>
                        <a:ext cx="422280" cy="25200"/>
                      </w14:xfrm>
                    </w14:contentPart>
                  </a:graphicData>
                </a:graphic>
              </wp:anchor>
            </w:drawing>
          </mc:Choice>
          <mc:Fallback>
            <w:pict>
              <v:shape w14:anchorId="436387C2"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11"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“BlockAck session”  (Note “BlockAck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14">
                      <w14:nvContentPartPr>
                        <w14:cNvContentPartPr/>
                      </w14:nvContentPartPr>
                      <w14:xfrm>
                        <a:off x="0" y="0"/>
                        <a:ext cx="307800" cy="28440"/>
                      </w14:xfrm>
                    </w14:contentPart>
                  </a:graphicData>
                </a:graphic>
              </wp:anchor>
            </w:drawing>
          </mc:Choice>
          <mc:Fallback>
            <w:pict>
              <v:shape w14:anchorId="58CD19B2"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15"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16">
                      <w14:nvContentPartPr>
                        <w14:cNvContentPartPr/>
                      </w14:nvContentPartPr>
                      <w14:xfrm>
                        <a:off x="0" y="0"/>
                        <a:ext cx="329040" cy="29160"/>
                      </w14:xfrm>
                    </w14:contentPart>
                  </a:graphicData>
                </a:graphic>
              </wp:anchor>
            </w:drawing>
          </mc:Choice>
          <mc:Fallback>
            <w:pict>
              <v:shape w14:anchorId="1C0F783E"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17"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Change “the fragment BA procedure” to “fragment BA” in NOTE 3 in 10.2.6,:</w:t>
      </w:r>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Change “the asymmetric block ack operation” -&gt; “asymmetric BA”, and “asymmetric BlockAck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21">
                      <w14:nvContentPartPr>
                        <w14:cNvContentPartPr/>
                      </w14:nvContentPartPr>
                      <w14:xfrm>
                        <a:off x="0" y="0"/>
                        <a:ext cx="1542240" cy="57600"/>
                      </w14:xfrm>
                    </w14:contentPart>
                  </a:graphicData>
                </a:graphic>
              </wp:anchor>
            </w:drawing>
          </mc:Choice>
          <mc:Fallback>
            <w:pict>
              <v:shape w14:anchorId="03884163"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22"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23">
                      <w14:nvContentPartPr>
                        <w14:cNvContentPartPr/>
                      </w14:nvContentPartPr>
                      <w14:xfrm>
                        <a:off x="0" y="0"/>
                        <a:ext cx="1733400" cy="38160"/>
                      </w14:xfrm>
                    </w14:contentPart>
                  </a:graphicData>
                </a:graphic>
              </wp:anchor>
            </w:drawing>
          </mc:Choice>
          <mc:Fallback>
            <w:pict>
              <v:shape w14:anchorId="61E8DF5F"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24"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 .&gt;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27">
                      <w14:nvContentPartPr>
                        <w14:cNvContentPartPr/>
                      </w14:nvContentPartPr>
                      <w14:xfrm>
                        <a:off x="0" y="0"/>
                        <a:ext cx="446760" cy="19800"/>
                      </w14:xfrm>
                    </w14:contentPart>
                  </a:graphicData>
                </a:graphic>
              </wp:anchor>
            </w:drawing>
          </mc:Choice>
          <mc:Fallback>
            <w:pict>
              <v:shape w14:anchorId="15E3A56D"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28"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29">
                      <w14:nvContentPartPr>
                        <w14:cNvContentPartPr/>
                      </w14:nvContentPartPr>
                      <w14:xfrm>
                        <a:off x="0" y="0"/>
                        <a:ext cx="513360" cy="20520"/>
                      </w14:xfrm>
                    </w14:contentPart>
                  </a:graphicData>
                </a:graphic>
              </wp:anchor>
            </w:drawing>
          </mc:Choice>
          <mc:Fallback>
            <w:pict>
              <v:shape w14:anchorId="6044EAF2"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30"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32">
                      <w14:nvContentPartPr>
                        <w14:cNvContentPartPr/>
                      </w14:nvContentPartPr>
                      <w14:xfrm>
                        <a:off x="0" y="0"/>
                        <a:ext cx="1100160" cy="30240"/>
                      </w14:xfrm>
                    </w14:contentPart>
                  </a:graphicData>
                </a:graphic>
              </wp:anchor>
            </w:drawing>
          </mc:Choice>
          <mc:Fallback>
            <w:pict>
              <v:shape w14:anchorId="14A5E831"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33"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34">
                      <w14:nvContentPartPr>
                        <w14:cNvContentPartPr/>
                      </w14:nvContentPartPr>
                      <w14:xfrm>
                        <a:off x="0" y="0"/>
                        <a:ext cx="1780560" cy="96840"/>
                      </w14:xfrm>
                    </w14:contentPart>
                  </a:graphicData>
                </a:graphic>
              </wp:anchor>
            </w:drawing>
          </mc:Choice>
          <mc:Fallback>
            <w:pict>
              <v:shape w14:anchorId="2F6E74AF"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35"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36">
                      <w14:nvContentPartPr>
                        <w14:cNvContentPartPr/>
                      </w14:nvContentPartPr>
                      <w14:xfrm>
                        <a:off x="0" y="0"/>
                        <a:ext cx="1838160" cy="96840"/>
                      </w14:xfrm>
                    </w14:contentPart>
                  </a:graphicData>
                </a:graphic>
              </wp:anchor>
            </w:drawing>
          </mc:Choice>
          <mc:Fallback>
            <w:pict>
              <v:shape w14:anchorId="725FF4AC"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37"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38">
                      <w14:nvContentPartPr>
                        <w14:cNvContentPartPr/>
                      </w14:nvContentPartPr>
                      <w14:xfrm>
                        <a:off x="0" y="0"/>
                        <a:ext cx="1666080" cy="80280"/>
                      </w14:xfrm>
                    </w14:contentPart>
                  </a:graphicData>
                </a:graphic>
              </wp:anchor>
            </w:drawing>
          </mc:Choice>
          <mc:Fallback>
            <w:pict>
              <v:shape w14:anchorId="79277549"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39"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41">
                      <w14:nvContentPartPr>
                        <w14:cNvContentPartPr/>
                      </w14:nvContentPartPr>
                      <w14:xfrm>
                        <a:off x="0" y="0"/>
                        <a:ext cx="1774800" cy="65880"/>
                      </w14:xfrm>
                    </w14:contentPart>
                  </a:graphicData>
                </a:graphic>
              </wp:anchor>
            </w:drawing>
          </mc:Choice>
          <mc:Fallback>
            <w:pict>
              <v:shape w14:anchorId="16A9D091"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42"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43">
                      <w14:nvContentPartPr>
                        <w14:cNvContentPartPr/>
                      </w14:nvContentPartPr>
                      <w14:xfrm>
                        <a:off x="0" y="0"/>
                        <a:ext cx="1738440" cy="23400"/>
                      </w14:xfrm>
                    </w14:contentPart>
                  </a:graphicData>
                </a:graphic>
              </wp:anchor>
            </w:drawing>
          </mc:Choice>
          <mc:Fallback>
            <w:pict>
              <v:shape w14:anchorId="6F650E7E"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44"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BA”/”asymmetric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46">
                      <w14:nvContentPartPr>
                        <w14:cNvContentPartPr/>
                      </w14:nvContentPartPr>
                      <w14:xfrm>
                        <a:off x="0" y="0"/>
                        <a:ext cx="418320" cy="57960"/>
                      </w14:xfrm>
                    </w14:contentPart>
                  </a:graphicData>
                </a:graphic>
              </wp:anchor>
            </w:drawing>
          </mc:Choice>
          <mc:Fallback>
            <w:pict>
              <v:shape w14:anchorId="3D4188D4"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04"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47">
                      <w14:nvContentPartPr>
                        <w14:cNvContentPartPr/>
                      </w14:nvContentPartPr>
                      <w14:xfrm>
                        <a:off x="0" y="0"/>
                        <a:ext cx="437400" cy="24840"/>
                      </w14:xfrm>
                    </w14:contentPart>
                  </a:graphicData>
                </a:graphic>
              </wp:anchor>
            </w:drawing>
          </mc:Choice>
          <mc:Fallback>
            <w:pict>
              <v:shape w14:anchorId="5A56F32C"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6"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48">
                      <w14:nvContentPartPr>
                        <w14:cNvContentPartPr/>
                      </w14:nvContentPartPr>
                      <w14:xfrm>
                        <a:off x="0" y="0"/>
                        <a:ext cx="465840" cy="360"/>
                      </w14:xfrm>
                    </w14:contentPart>
                  </a:graphicData>
                </a:graphic>
              </wp:anchor>
            </w:drawing>
          </mc:Choice>
          <mc:Fallback>
            <w:pict>
              <v:shape w14:anchorId="02A070E5"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09"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49">
                      <w14:nvContentPartPr>
                        <w14:cNvContentPartPr/>
                      </w14:nvContentPartPr>
                      <w14:xfrm>
                        <a:off x="0" y="0"/>
                        <a:ext cx="422280" cy="25200"/>
                      </w14:xfrm>
                    </w14:contentPart>
                  </a:graphicData>
                </a:graphic>
              </wp:anchor>
            </w:drawing>
          </mc:Choice>
          <mc:Fallback>
            <w:pict>
              <v:shape w14:anchorId="1FB42CE4"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11"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Change “the fragment BA procedure” to “fragment BA” in NOTE 3 in 10.2.6,:</w:t>
      </w:r>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Change “the asymmetric block ack operation” -&gt; “asymmetric BA”, and “asymmetric BlockAck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50">
                      <w14:nvContentPartPr>
                        <w14:cNvContentPartPr/>
                      </w14:nvContentPartPr>
                      <w14:xfrm>
                        <a:off x="0" y="0"/>
                        <a:ext cx="1542240" cy="57600"/>
                      </w14:xfrm>
                    </w14:contentPart>
                  </a:graphicData>
                </a:graphic>
              </wp:anchor>
            </w:drawing>
          </mc:Choice>
          <mc:Fallback>
            <w:pict>
              <v:shape w14:anchorId="739FD75E"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22"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51">
                      <w14:nvContentPartPr>
                        <w14:cNvContentPartPr/>
                      </w14:nvContentPartPr>
                      <w14:xfrm>
                        <a:off x="0" y="0"/>
                        <a:ext cx="1733400" cy="38160"/>
                      </w14:xfrm>
                    </w14:contentPart>
                  </a:graphicData>
                </a:graphic>
              </wp:anchor>
            </w:drawing>
          </mc:Choice>
          <mc:Fallback>
            <w:pict>
              <v:shape w14:anchorId="589AE215"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24"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52">
                      <w14:nvContentPartPr>
                        <w14:cNvContentPartPr/>
                      </w14:nvContentPartPr>
                      <w14:xfrm>
                        <a:off x="0" y="0"/>
                        <a:ext cx="446760" cy="19800"/>
                      </w14:xfrm>
                    </w14:contentPart>
                  </a:graphicData>
                </a:graphic>
              </wp:anchor>
            </w:drawing>
          </mc:Choice>
          <mc:Fallback>
            <w:pict>
              <v:shape w14:anchorId="493B50F4"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28"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53">
                      <w14:nvContentPartPr>
                        <w14:cNvContentPartPr/>
                      </w14:nvContentPartPr>
                      <w14:xfrm>
                        <a:off x="0" y="0"/>
                        <a:ext cx="513360" cy="20520"/>
                      </w14:xfrm>
                    </w14:contentPart>
                  </a:graphicData>
                </a:graphic>
              </wp:anchor>
            </w:drawing>
          </mc:Choice>
          <mc:Fallback>
            <w:pict>
              <v:shape w14:anchorId="5AE5A8F0"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30"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54">
                      <w14:nvContentPartPr>
                        <w14:cNvContentPartPr/>
                      </w14:nvContentPartPr>
                      <w14:xfrm>
                        <a:off x="0" y="0"/>
                        <a:ext cx="1100160" cy="30240"/>
                      </w14:xfrm>
                    </w14:contentPart>
                  </a:graphicData>
                </a:graphic>
              </wp:anchor>
            </w:drawing>
          </mc:Choice>
          <mc:Fallback>
            <w:pict>
              <v:shape w14:anchorId="3B8F2F11"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33"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55">
                      <w14:nvContentPartPr>
                        <w14:cNvContentPartPr/>
                      </w14:nvContentPartPr>
                      <w14:xfrm>
                        <a:off x="0" y="0"/>
                        <a:ext cx="1780560" cy="96840"/>
                      </w14:xfrm>
                    </w14:contentPart>
                  </a:graphicData>
                </a:graphic>
              </wp:anchor>
            </w:drawing>
          </mc:Choice>
          <mc:Fallback>
            <w:pict>
              <v:shape w14:anchorId="1CE8129B"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35"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56">
                      <w14:nvContentPartPr>
                        <w14:cNvContentPartPr/>
                      </w14:nvContentPartPr>
                      <w14:xfrm>
                        <a:off x="0" y="0"/>
                        <a:ext cx="1838160" cy="96840"/>
                      </w14:xfrm>
                    </w14:contentPart>
                  </a:graphicData>
                </a:graphic>
              </wp:anchor>
            </w:drawing>
          </mc:Choice>
          <mc:Fallback>
            <w:pict>
              <v:shape w14:anchorId="66489580"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37"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57">
                      <w14:nvContentPartPr>
                        <w14:cNvContentPartPr/>
                      </w14:nvContentPartPr>
                      <w14:xfrm>
                        <a:off x="0" y="0"/>
                        <a:ext cx="1666080" cy="80280"/>
                      </w14:xfrm>
                    </w14:contentPart>
                  </a:graphicData>
                </a:graphic>
              </wp:anchor>
            </w:drawing>
          </mc:Choice>
          <mc:Fallback>
            <w:pict>
              <v:shape w14:anchorId="5F6B03AA"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39"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58">
                      <w14:nvContentPartPr>
                        <w14:cNvContentPartPr/>
                      </w14:nvContentPartPr>
                      <w14:xfrm>
                        <a:off x="0" y="0"/>
                        <a:ext cx="1774800" cy="65880"/>
                      </w14:xfrm>
                    </w14:contentPart>
                  </a:graphicData>
                </a:graphic>
              </wp:anchor>
            </w:drawing>
          </mc:Choice>
          <mc:Fallback>
            <w:pict>
              <v:shape w14:anchorId="4C2148C1"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42"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59">
                      <w14:nvContentPartPr>
                        <w14:cNvContentPartPr/>
                      </w14:nvContentPartPr>
                      <w14:xfrm>
                        <a:off x="0" y="0"/>
                        <a:ext cx="1738440" cy="23400"/>
                      </w14:xfrm>
                    </w14:contentPart>
                  </a:graphicData>
                </a:graphic>
              </wp:anchor>
            </w:drawing>
          </mc:Choice>
          <mc:Fallback>
            <w:pict>
              <v:shape w14:anchorId="0C494E7C"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44"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(I think 3) instances of "unicast adress"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62">
                      <w14:nvContentPartPr>
                        <w14:cNvContentPartPr/>
                      </w14:nvContentPartPr>
                      <w14:xfrm>
                        <a:off x="0" y="0"/>
                        <a:ext cx="357120" cy="11160"/>
                      </w14:xfrm>
                    </w14:contentPart>
                  </a:graphicData>
                </a:graphic>
              </wp:anchor>
            </w:drawing>
          </mc:Choice>
          <mc:Fallback>
            <w:pict>
              <v:shape w14:anchorId="49F73AB6"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63"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64">
                      <w14:nvContentPartPr>
                        <w14:cNvContentPartPr/>
                      </w14:nvContentPartPr>
                      <w14:xfrm>
                        <a:off x="0" y="0"/>
                        <a:ext cx="359280" cy="27000"/>
                      </w14:xfrm>
                    </w14:contentPart>
                  </a:graphicData>
                </a:graphic>
              </wp:anchor>
            </w:drawing>
          </mc:Choice>
          <mc:Fallback>
            <w:pict>
              <v:shape w14:anchorId="68F81438"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65"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MLME-GAS.request primitive, and similarly in the MLME-GAS.response primitivie:</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70">
                      <w14:nvContentPartPr>
                        <w14:cNvContentPartPr/>
                      </w14:nvContentPartPr>
                      <w14:xfrm>
                        <a:off x="0" y="0"/>
                        <a:ext cx="325440" cy="7560"/>
                      </w14:xfrm>
                    </w14:contentPart>
                  </a:graphicData>
                </a:graphic>
              </wp:anchor>
            </w:drawing>
          </mc:Choice>
          <mc:Fallback>
            <w:pict>
              <v:shape w14:anchorId="6D31A676"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71"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72">
                      <w14:nvContentPartPr>
                        <w14:cNvContentPartPr/>
                      </w14:nvContentPartPr>
                      <w14:xfrm>
                        <a:off x="0" y="0"/>
                        <a:ext cx="290520" cy="6120"/>
                      </w14:xfrm>
                    </w14:contentPart>
                  </a:graphicData>
                </a:graphic>
              </wp:anchor>
            </w:drawing>
          </mc:Choice>
          <mc:Fallback>
            <w:pict>
              <v:shape w14:anchorId="41FC3A1A"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73"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74">
                      <w14:nvContentPartPr>
                        <w14:cNvContentPartPr/>
                      </w14:nvContentPartPr>
                      <w14:xfrm>
                        <a:off x="0" y="0"/>
                        <a:ext cx="311400" cy="32400"/>
                      </w14:xfrm>
                    </w14:contentPart>
                  </a:graphicData>
                </a:graphic>
              </wp:anchor>
            </w:drawing>
          </mc:Choice>
          <mc:Fallback>
            <w:pict>
              <v:shape w14:anchorId="1E321799"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75"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76">
                      <w14:nvContentPartPr>
                        <w14:cNvContentPartPr/>
                      </w14:nvContentPartPr>
                      <w14:xfrm>
                        <a:off x="0" y="0"/>
                        <a:ext cx="327600" cy="21960"/>
                      </w14:xfrm>
                    </w14:contentPart>
                  </a:graphicData>
                </a:graphic>
              </wp:anchor>
            </w:drawing>
          </mc:Choice>
          <mc:Fallback>
            <w:pict>
              <v:shape w14:anchorId="243922EA"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77"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79">
                      <w14:nvContentPartPr>
                        <w14:cNvContentPartPr/>
                      </w14:nvContentPartPr>
                      <w14:xfrm>
                        <a:off x="0" y="0"/>
                        <a:ext cx="378720" cy="26280"/>
                      </w14:xfrm>
                    </w14:contentPart>
                  </a:graphicData>
                </a:graphic>
              </wp:anchor>
            </w:drawing>
          </mc:Choice>
          <mc:Fallback>
            <w:pict>
              <v:shape w14:anchorId="3F27693A"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80"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82">
                      <w14:nvContentPartPr>
                        <w14:cNvContentPartPr/>
                      </w14:nvContentPartPr>
                      <w14:xfrm>
                        <a:off x="0" y="0"/>
                        <a:ext cx="359280" cy="21960"/>
                      </w14:xfrm>
                    </w14:contentPart>
                  </a:graphicData>
                </a:graphic>
              </wp:anchor>
            </w:drawing>
          </mc:Choice>
          <mc:Fallback>
            <w:pict>
              <v:shape w14:anchorId="0CF6CED9"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83"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85">
                      <w14:nvContentPartPr>
                        <w14:cNvContentPartPr/>
                      </w14:nvContentPartPr>
                      <w14:xfrm>
                        <a:off x="0" y="0"/>
                        <a:ext cx="1025280" cy="16200"/>
                      </w14:xfrm>
                    </w14:contentPart>
                  </a:graphicData>
                </a:graphic>
              </wp:anchor>
            </w:drawing>
          </mc:Choice>
          <mc:Fallback>
            <w:pict>
              <v:shape w14:anchorId="1D2EDF0B"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6"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Recommend changing “multicast-to-unicast” to “group-to-individually addressed”.  This is consistent with the previous bullet and also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188">
                      <w14:nvContentPartPr>
                        <w14:cNvContentPartPr/>
                      </w14:nvContentPartPr>
                      <w14:xfrm>
                        <a:off x="0" y="0"/>
                        <a:ext cx="390960" cy="5760"/>
                      </w14:xfrm>
                    </w14:contentPart>
                  </a:graphicData>
                </a:graphic>
              </wp:anchor>
            </w:drawing>
          </mc:Choice>
          <mc:Fallback>
            <w:pict>
              <v:shape w14:anchorId="7DEC8748"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189"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191">
                      <w14:nvContentPartPr>
                        <w14:cNvContentPartPr/>
                      </w14:nvContentPartPr>
                      <w14:xfrm>
                        <a:off x="0" y="0"/>
                        <a:ext cx="348840" cy="23040"/>
                      </w14:xfrm>
                    </w14:contentPart>
                  </a:graphicData>
                </a:graphic>
              </wp:anchor>
            </w:drawing>
          </mc:Choice>
          <mc:Fallback>
            <w:pict>
              <v:shape w14:anchorId="7D7279CC"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192"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194">
                      <w14:nvContentPartPr>
                        <w14:cNvContentPartPr/>
                      </w14:nvContentPartPr>
                      <w14:xfrm>
                        <a:off x="0" y="0"/>
                        <a:ext cx="343800" cy="10440"/>
                      </w14:xfrm>
                    </w14:contentPart>
                  </a:graphicData>
                </a:graphic>
              </wp:anchor>
            </w:drawing>
          </mc:Choice>
          <mc:Fallback>
            <w:pict>
              <v:shape w14:anchorId="251D0C8D"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95"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196">
                      <w14:nvContentPartPr>
                        <w14:cNvContentPartPr/>
                      </w14:nvContentPartPr>
                      <w14:xfrm>
                        <a:off x="0" y="0"/>
                        <a:ext cx="359280" cy="16560"/>
                      </w14:xfrm>
                    </w14:contentPart>
                  </a:graphicData>
                </a:graphic>
              </wp:anchor>
            </w:drawing>
          </mc:Choice>
          <mc:Fallback>
            <w:pict>
              <v:shape w14:anchorId="5BB4C4DB"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7"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199">
                      <w14:nvContentPartPr>
                        <w14:cNvContentPartPr/>
                      </w14:nvContentPartPr>
                      <w14:xfrm>
                        <a:off x="0" y="0"/>
                        <a:ext cx="327600" cy="12960"/>
                      </w14:xfrm>
                    </w14:contentPart>
                  </a:graphicData>
                </a:graphic>
              </wp:anchor>
            </w:drawing>
          </mc:Choice>
          <mc:Fallback>
            <w:pict>
              <v:shape w14:anchorId="2B6C7478"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00"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02">
                      <w14:nvContentPartPr>
                        <w14:cNvContentPartPr/>
                      </w14:nvContentPartPr>
                      <w14:xfrm>
                        <a:off x="0" y="0"/>
                        <a:ext cx="353880" cy="11520"/>
                      </w14:xfrm>
                    </w14:contentPart>
                  </a:graphicData>
                </a:graphic>
              </wp:anchor>
            </w:drawing>
          </mc:Choice>
          <mc:Fallback>
            <w:pict>
              <v:shape w14:anchorId="6CFE27A4"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03"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04">
                      <w14:nvContentPartPr>
                        <w14:cNvContentPartPr/>
                      </w14:nvContentPartPr>
                      <w14:xfrm>
                        <a:off x="0" y="0"/>
                        <a:ext cx="448920" cy="22680"/>
                      </w14:xfrm>
                    </w14:contentPart>
                  </a:graphicData>
                </a:graphic>
              </wp:anchor>
            </w:drawing>
          </mc:Choice>
          <mc:Fallback>
            <w:pict>
              <v:shape w14:anchorId="4613686D"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05"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07">
                      <w14:nvContentPartPr>
                        <w14:cNvContentPartPr/>
                      </w14:nvContentPartPr>
                      <w14:xfrm>
                        <a:off x="0" y="0"/>
                        <a:ext cx="348480" cy="32040"/>
                      </w14:xfrm>
                    </w14:contentPart>
                  </a:graphicData>
                </a:graphic>
              </wp:anchor>
            </w:drawing>
          </mc:Choice>
          <mc:Fallback>
            <w:pict>
              <v:shape w14:anchorId="56EC956F"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08"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10">
                      <w14:nvContentPartPr>
                        <w14:cNvContentPartPr/>
                      </w14:nvContentPartPr>
                      <w14:xfrm>
                        <a:off x="0" y="0"/>
                        <a:ext cx="357120" cy="11160"/>
                      </w14:xfrm>
                    </w14:contentPart>
                  </a:graphicData>
                </a:graphic>
              </wp:anchor>
            </w:drawing>
          </mc:Choice>
          <mc:Fallback>
            <w:pict>
              <v:shape w14:anchorId="6FE08523"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63"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11">
                      <w14:nvContentPartPr>
                        <w14:cNvContentPartPr/>
                      </w14:nvContentPartPr>
                      <w14:xfrm>
                        <a:off x="0" y="0"/>
                        <a:ext cx="359280" cy="27000"/>
                      </w14:xfrm>
                    </w14:contentPart>
                  </a:graphicData>
                </a:graphic>
              </wp:anchor>
            </w:drawing>
          </mc:Choice>
          <mc:Fallback>
            <w:pict>
              <v:shape w14:anchorId="13CF61AD"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65"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12">
                      <w14:nvContentPartPr>
                        <w14:cNvContentPartPr/>
                      </w14:nvContentPartPr>
                      <w14:xfrm>
                        <a:off x="0" y="0"/>
                        <a:ext cx="755280" cy="50040"/>
                      </w14:xfrm>
                    </w14:contentPart>
                  </a:graphicData>
                </a:graphic>
              </wp:anchor>
            </w:drawing>
          </mc:Choice>
          <mc:Fallback>
            <w:pict>
              <v:shape w14:anchorId="4960CD51"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13"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MLME-GAS.request primitive, and similarly in the MLME-GAS.response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14">
                      <w14:nvContentPartPr>
                        <w14:cNvContentPartPr/>
                      </w14:nvContentPartPr>
                      <w14:xfrm>
                        <a:off x="0" y="0"/>
                        <a:ext cx="856440" cy="360"/>
                      </w14:xfrm>
                    </w14:contentPart>
                  </a:graphicData>
                </a:graphic>
              </wp:anchor>
            </w:drawing>
          </mc:Choice>
          <mc:Fallback>
            <w:pict>
              <v:shape w14:anchorId="41F031CA"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15"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16">
                      <w14:nvContentPartPr>
                        <w14:cNvContentPartPr/>
                      </w14:nvContentPartPr>
                      <w14:xfrm>
                        <a:off x="0" y="0"/>
                        <a:ext cx="54720" cy="3960"/>
                      </w14:xfrm>
                    </w14:contentPart>
                  </a:graphicData>
                </a:graphic>
              </wp:anchor>
            </w:drawing>
          </mc:Choice>
          <mc:Fallback>
            <w:pict>
              <v:shape w14:anchorId="294779C8"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17"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18">
                      <w14:nvContentPartPr>
                        <w14:cNvContentPartPr/>
                      </w14:nvContentPartPr>
                      <w14:xfrm>
                        <a:off x="0" y="0"/>
                        <a:ext cx="360720" cy="28800"/>
                      </w14:xfrm>
                    </w14:contentPart>
                  </a:graphicData>
                </a:graphic>
              </wp:anchor>
            </w:drawing>
          </mc:Choice>
          <mc:Fallback>
            <w:pict>
              <v:shape w14:anchorId="4EE25F0B"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19"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20">
                      <w14:nvContentPartPr>
                        <w14:cNvContentPartPr/>
                      </w14:nvContentPartPr>
                      <w14:xfrm>
                        <a:off x="0" y="0"/>
                        <a:ext cx="304920" cy="9720"/>
                      </w14:xfrm>
                    </w14:contentPart>
                  </a:graphicData>
                </a:graphic>
              </wp:anchor>
            </w:drawing>
          </mc:Choice>
          <mc:Fallback>
            <w:pict>
              <v:shape w14:anchorId="4161C68B"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21"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22">
                      <w14:nvContentPartPr>
                        <w14:cNvContentPartPr/>
                      </w14:nvContentPartPr>
                      <w14:xfrm>
                        <a:off x="0" y="0"/>
                        <a:ext cx="325440" cy="7560"/>
                      </w14:xfrm>
                    </w14:contentPart>
                  </a:graphicData>
                </a:graphic>
              </wp:anchor>
            </w:drawing>
          </mc:Choice>
          <mc:Fallback>
            <w:pict>
              <v:shape w14:anchorId="10FCA50D"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71"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23">
                      <w14:nvContentPartPr>
                        <w14:cNvContentPartPr/>
                      </w14:nvContentPartPr>
                      <w14:xfrm>
                        <a:off x="0" y="0"/>
                        <a:ext cx="290520" cy="6120"/>
                      </w14:xfrm>
                    </w14:contentPart>
                  </a:graphicData>
                </a:graphic>
              </wp:anchor>
            </w:drawing>
          </mc:Choice>
          <mc:Fallback>
            <w:pict>
              <v:shape w14:anchorId="0E4A7E40"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73"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24">
                      <w14:nvContentPartPr>
                        <w14:cNvContentPartPr/>
                      </w14:nvContentPartPr>
                      <w14:xfrm>
                        <a:off x="0" y="0"/>
                        <a:ext cx="311400" cy="32400"/>
                      </w14:xfrm>
                    </w14:contentPart>
                  </a:graphicData>
                </a:graphic>
              </wp:anchor>
            </w:drawing>
          </mc:Choice>
          <mc:Fallback>
            <w:pict>
              <v:shape w14:anchorId="14988BF9"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75"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25">
                      <w14:nvContentPartPr>
                        <w14:cNvContentPartPr/>
                      </w14:nvContentPartPr>
                      <w14:xfrm>
                        <a:off x="0" y="0"/>
                        <a:ext cx="327600" cy="21960"/>
                      </w14:xfrm>
                    </w14:contentPart>
                  </a:graphicData>
                </a:graphic>
              </wp:anchor>
            </w:drawing>
          </mc:Choice>
          <mc:Fallback>
            <w:pict>
              <v:shape w14:anchorId="7D5153C6"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77"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26">
                      <w14:nvContentPartPr>
                        <w14:cNvContentPartPr/>
                      </w14:nvContentPartPr>
                      <w14:xfrm>
                        <a:off x="0" y="0"/>
                        <a:ext cx="378720" cy="26280"/>
                      </w14:xfrm>
                    </w14:contentPart>
                  </a:graphicData>
                </a:graphic>
              </wp:anchor>
            </w:drawing>
          </mc:Choice>
          <mc:Fallback>
            <w:pict>
              <v:shape w14:anchorId="31BC6A5F"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80"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In 11.2.3.1, change “unicast frames” to to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27">
                      <w14:nvContentPartPr>
                        <w14:cNvContentPartPr/>
                      </w14:nvContentPartPr>
                      <w14:xfrm>
                        <a:off x="0" y="0"/>
                        <a:ext cx="359280" cy="21960"/>
                      </w14:xfrm>
                    </w14:contentPart>
                  </a:graphicData>
                </a:graphic>
              </wp:anchor>
            </w:drawing>
          </mc:Choice>
          <mc:Fallback>
            <w:pict>
              <v:shape w14:anchorId="36A5B374"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83"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28">
                      <w14:nvContentPartPr>
                        <w14:cNvContentPartPr/>
                      </w14:nvContentPartPr>
                      <w14:xfrm>
                        <a:off x="0" y="0"/>
                        <a:ext cx="1025280" cy="16200"/>
                      </w14:xfrm>
                    </w14:contentPart>
                  </a:graphicData>
                </a:graphic>
              </wp:anchor>
            </w:drawing>
          </mc:Choice>
          <mc:Fallback>
            <w:pict>
              <v:shape w14:anchorId="23D478AA"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6"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29">
                      <w14:nvContentPartPr>
                        <w14:cNvContentPartPr/>
                      </w14:nvContentPartPr>
                      <w14:xfrm>
                        <a:off x="0" y="0"/>
                        <a:ext cx="390960" cy="5760"/>
                      </w14:xfrm>
                    </w14:contentPart>
                  </a:graphicData>
                </a:graphic>
              </wp:anchor>
            </w:drawing>
          </mc:Choice>
          <mc:Fallback>
            <w:pict>
              <v:shape w14:anchorId="720E78E0"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189"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30">
                      <w14:nvContentPartPr>
                        <w14:cNvContentPartPr/>
                      </w14:nvContentPartPr>
                      <w14:xfrm>
                        <a:off x="0" y="0"/>
                        <a:ext cx="348840" cy="23040"/>
                      </w14:xfrm>
                    </w14:contentPart>
                  </a:graphicData>
                </a:graphic>
              </wp:anchor>
            </w:drawing>
          </mc:Choice>
          <mc:Fallback>
            <w:pict>
              <v:shape w14:anchorId="3DF872B1"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192"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31">
                      <w14:nvContentPartPr>
                        <w14:cNvContentPartPr/>
                      </w14:nvContentPartPr>
                      <w14:xfrm>
                        <a:off x="0" y="0"/>
                        <a:ext cx="343800" cy="10440"/>
                      </w14:xfrm>
                    </w14:contentPart>
                  </a:graphicData>
                </a:graphic>
              </wp:anchor>
            </w:drawing>
          </mc:Choice>
          <mc:Fallback>
            <w:pict>
              <v:shape w14:anchorId="29CD2F58"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95"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32">
                      <w14:nvContentPartPr>
                        <w14:cNvContentPartPr/>
                      </w14:nvContentPartPr>
                      <w14:xfrm>
                        <a:off x="0" y="0"/>
                        <a:ext cx="359280" cy="16560"/>
                      </w14:xfrm>
                    </w14:contentPart>
                  </a:graphicData>
                </a:graphic>
              </wp:anchor>
            </w:drawing>
          </mc:Choice>
          <mc:Fallback>
            <w:pict>
              <v:shape w14:anchorId="5D5513D6"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7"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33">
                      <w14:nvContentPartPr>
                        <w14:cNvContentPartPr/>
                      </w14:nvContentPartPr>
                      <w14:xfrm>
                        <a:off x="0" y="0"/>
                        <a:ext cx="327600" cy="12960"/>
                      </w14:xfrm>
                    </w14:contentPart>
                  </a:graphicData>
                </a:graphic>
              </wp:anchor>
            </w:drawing>
          </mc:Choice>
          <mc:Fallback>
            <w:pict>
              <v:shape w14:anchorId="4C6C00C4"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00"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34">
                      <w14:nvContentPartPr>
                        <w14:cNvContentPartPr/>
                      </w14:nvContentPartPr>
                      <w14:xfrm>
                        <a:off x="0" y="0"/>
                        <a:ext cx="353880" cy="11520"/>
                      </w14:xfrm>
                    </w14:contentPart>
                  </a:graphicData>
                </a:graphic>
              </wp:anchor>
            </w:drawing>
          </mc:Choice>
          <mc:Fallback>
            <w:pict>
              <v:shape w14:anchorId="38215AC4"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03"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35">
                      <w14:nvContentPartPr>
                        <w14:cNvContentPartPr/>
                      </w14:nvContentPartPr>
                      <w14:xfrm>
                        <a:off x="0" y="0"/>
                        <a:ext cx="448920" cy="22680"/>
                      </w14:xfrm>
                    </w14:contentPart>
                  </a:graphicData>
                </a:graphic>
              </wp:anchor>
            </w:drawing>
          </mc:Choice>
          <mc:Fallback>
            <w:pict>
              <v:shape w14:anchorId="4363E560"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05"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36">
                      <w14:nvContentPartPr>
                        <w14:cNvContentPartPr/>
                      </w14:nvContentPartPr>
                      <w14:xfrm>
                        <a:off x="0" y="0"/>
                        <a:ext cx="348480" cy="32040"/>
                      </w14:xfrm>
                    </w14:contentPart>
                  </a:graphicData>
                </a:graphic>
              </wp:anchor>
            </w:drawing>
          </mc:Choice>
          <mc:Fallback>
            <w:pict>
              <v:shape w14:anchorId="6CCF1662"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08"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704A77">
        <w:trPr>
          <w:trHeight w:val="524"/>
        </w:trPr>
        <w:tc>
          <w:tcPr>
            <w:tcW w:w="738" w:type="dxa"/>
            <w:hideMark/>
          </w:tcPr>
          <w:p w14:paraId="01550CDD"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704A77">
        <w:trPr>
          <w:trHeight w:val="765"/>
        </w:trPr>
        <w:tc>
          <w:tcPr>
            <w:tcW w:w="738" w:type="dxa"/>
            <w:hideMark/>
          </w:tcPr>
          <w:p w14:paraId="5543A44A"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Add a row for each of these, showing them explictly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704A77">
        <w:trPr>
          <w:trHeight w:val="524"/>
        </w:trPr>
        <w:tc>
          <w:tcPr>
            <w:tcW w:w="738" w:type="dxa"/>
            <w:hideMark/>
          </w:tcPr>
          <w:p w14:paraId="163ED56B"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704A77">
        <w:trPr>
          <w:trHeight w:val="1530"/>
        </w:trPr>
        <w:tc>
          <w:tcPr>
            <w:tcW w:w="738" w:type="dxa"/>
            <w:hideMark/>
          </w:tcPr>
          <w:p w14:paraId="2196B473"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first statement (“shall not respond if”) to then list a number of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shall|may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There are other reasons sprinkled throughout the clause/spec for why a STA shall not respond.  So, to make this permissive (“A STA may respond if”) would be in potential conflict with something else that says, no, it actually may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704A77">
        <w:trPr>
          <w:trHeight w:val="524"/>
        </w:trPr>
        <w:tc>
          <w:tcPr>
            <w:tcW w:w="738" w:type="dxa"/>
            <w:hideMark/>
          </w:tcPr>
          <w:p w14:paraId="25086635"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704A77">
        <w:trPr>
          <w:trHeight w:val="1530"/>
        </w:trPr>
        <w:tc>
          <w:tcPr>
            <w:tcW w:w="738" w:type="dxa"/>
            <w:hideMark/>
          </w:tcPr>
          <w:p w14:paraId="6974DF38"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As this is only a request from the non-AP STA, it is also confusing to say the “AP will” transmit the frame, until the negotiation for such behaviour has completed.  Suggest it might be slightly more clear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704A77">
        <w:trPr>
          <w:trHeight w:val="524"/>
        </w:trPr>
        <w:tc>
          <w:tcPr>
            <w:tcW w:w="738" w:type="dxa"/>
            <w:hideMark/>
          </w:tcPr>
          <w:p w14:paraId="2F140860"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704A77">
        <w:trPr>
          <w:trHeight w:val="1530"/>
        </w:trPr>
        <w:tc>
          <w:tcPr>
            <w:tcW w:w="738" w:type="dxa"/>
            <w:hideMark/>
          </w:tcPr>
          <w:p w14:paraId="5EC9E8CB"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cite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The comment is on the second snippet above.  It can be seen that the first snippet introduces these lists with a clear statement that this applies when the reassociation is to the same AP.  But,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704A77">
        <w:trPr>
          <w:trHeight w:val="524"/>
        </w:trPr>
        <w:tc>
          <w:tcPr>
            <w:tcW w:w="738" w:type="dxa"/>
            <w:hideMark/>
          </w:tcPr>
          <w:p w14:paraId="1ED863FB"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704A77">
        <w:trPr>
          <w:trHeight w:val="1785"/>
        </w:trPr>
        <w:tc>
          <w:tcPr>
            <w:tcW w:w="738" w:type="dxa"/>
            <w:hideMark/>
          </w:tcPr>
          <w:p w14:paraId="07508C15"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704A77">
        <w:trPr>
          <w:trHeight w:val="524"/>
        </w:trPr>
        <w:tc>
          <w:tcPr>
            <w:tcW w:w="738" w:type="dxa"/>
            <w:hideMark/>
          </w:tcPr>
          <w:p w14:paraId="7C87930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704A77">
        <w:trPr>
          <w:trHeight w:val="1785"/>
        </w:trPr>
        <w:tc>
          <w:tcPr>
            <w:tcW w:w="738" w:type="dxa"/>
            <w:hideMark/>
          </w:tcPr>
          <w:p w14:paraId="31373371"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CID 1588 was mostly done - the fixes in 9.4.1.8 are good.  But, we still need something in 11.3.5.3 that says these rules about AID assignment are used for different device/BSS types.</w:t>
            </w:r>
          </w:p>
        </w:tc>
        <w:tc>
          <w:tcPr>
            <w:tcW w:w="3600" w:type="dxa"/>
            <w:hideMark/>
          </w:tcPr>
          <w:p w14:paraId="17377A69"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704A77">
        <w:trPr>
          <w:trHeight w:val="1785"/>
        </w:trPr>
        <w:tc>
          <w:tcPr>
            <w:tcW w:w="738" w:type="dxa"/>
            <w:hideMark/>
          </w:tcPr>
          <w:p w14:paraId="50F9872B" w14:textId="77777777" w:rsidR="002040C1" w:rsidRPr="00DC0730" w:rsidRDefault="002040C1" w:rsidP="00704A77">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704A77">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704A77">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704A77">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704A77">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neighbor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r>
        <w:t>To :</w:t>
      </w:r>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However, such an explicit reference to 9.4.1.8 is not used in other parts of clause 11 that discuss AID allocation, either (except for some special discussion in the Mesh clause).  There is no clear reason why this particular AID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Rejected.  The commenter fails to identify why this particular scenario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704A77">
        <w:trPr>
          <w:trHeight w:val="524"/>
        </w:trPr>
        <w:tc>
          <w:tcPr>
            <w:tcW w:w="738" w:type="dxa"/>
            <w:hideMark/>
          </w:tcPr>
          <w:p w14:paraId="7948B890"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704A77">
        <w:trPr>
          <w:trHeight w:val="1530"/>
        </w:trPr>
        <w:tc>
          <w:tcPr>
            <w:tcW w:w="738" w:type="dxa"/>
            <w:hideMark/>
          </w:tcPr>
          <w:p w14:paraId="1050E019"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As seen above in the frame format definition, this field is indeed optiona:</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704A77">
        <w:trPr>
          <w:trHeight w:val="524"/>
        </w:trPr>
        <w:tc>
          <w:tcPr>
            <w:tcW w:w="738" w:type="dxa"/>
            <w:hideMark/>
          </w:tcPr>
          <w:p w14:paraId="4F15B478"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704A77">
        <w:trPr>
          <w:trHeight w:val="2550"/>
        </w:trPr>
        <w:tc>
          <w:tcPr>
            <w:tcW w:w="738" w:type="dxa"/>
            <w:hideMark/>
          </w:tcPr>
          <w:p w14:paraId="4D980CD5"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10.2.1 (for non-DMG STA) lists PCF, HCF and MCF as using DCF.  But,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704A77">
        <w:trPr>
          <w:trHeight w:val="524"/>
        </w:trPr>
        <w:tc>
          <w:tcPr>
            <w:tcW w:w="738" w:type="dxa"/>
            <w:hideMark/>
          </w:tcPr>
          <w:p w14:paraId="6A822198"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704A77">
        <w:trPr>
          <w:trHeight w:val="6375"/>
        </w:trPr>
        <w:tc>
          <w:tcPr>
            <w:tcW w:w="738" w:type="dxa"/>
            <w:hideMark/>
          </w:tcPr>
          <w:p w14:paraId="7DD7F42E"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9.4.2.27 (Extended Capabilities element), the length of the Extended Capabilities field is a variable n.  Presumbaly this is not a fixed length for backward compatibility with older implementations that had less bits to indicate.  But, this isn't really made clear anywhere, and at this point (this reviion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So, at a minimum, Figure 9-291 needs to be corrected.  A logical approach seems to be to just say “Variable” as suggested, and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704A77">
        <w:trPr>
          <w:trHeight w:val="524"/>
        </w:trPr>
        <w:tc>
          <w:tcPr>
            <w:tcW w:w="738" w:type="dxa"/>
            <w:hideMark/>
          </w:tcPr>
          <w:p w14:paraId="7A44F22E" w14:textId="77777777" w:rsidR="008A0A8E" w:rsidRPr="007837C2" w:rsidRDefault="008A0A8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704A77">
        <w:trPr>
          <w:trHeight w:val="4335"/>
        </w:trPr>
        <w:tc>
          <w:tcPr>
            <w:tcW w:w="738" w:type="dxa"/>
            <w:hideMark/>
          </w:tcPr>
          <w:p w14:paraId="40ADC51A" w14:textId="77777777" w:rsidR="008A0A8E" w:rsidRPr="00DC0730" w:rsidRDefault="008A0A8E" w:rsidP="00704A77">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704A77">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704A77">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704A77">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704A77">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t>transition  management  has  dot11BSSTransitionImplemented  equal  to  true.  When</w:t>
            </w:r>
            <w:r w:rsidRPr="00DC0730">
              <w:rPr>
                <w:rFonts w:ascii="Arial" w:eastAsia="Times New Roman" w:hAnsi="Arial" w:cs="Arial"/>
                <w:sz w:val="20"/>
                <w:lang w:val="en-US"/>
              </w:rPr>
              <w:br/>
              <w:t>dot11BSSTransitionImplemented  is  true,  dot11WirelessManagementImplemented  shall  be  true."  In C.3. delete the OBJECT-TYPE for dot11BSSTransitionImplemented and its inclusion in Dot11WirelessMgmtOptionsEntry</w:t>
            </w:r>
          </w:p>
        </w:tc>
      </w:tr>
    </w:tbl>
    <w:p w14:paraId="63A1F13C" w14:textId="7777777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Per (relatively) recent agreement about MIB attribute definitions, there is rarely value in having both &lt;xxx&gt;Implemented and &lt;xxx&gt;Activated.  In this particular case,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02DA304C" w14:textId="77777777" w:rsidR="008A0A8E" w:rsidRDefault="008A0A8E" w:rsidP="008A0A8E">
      <w:pPr>
        <w:rPr>
          <w:u w:val="single"/>
        </w:rPr>
      </w:pPr>
      <w:r>
        <w:rPr>
          <w:u w:val="single"/>
        </w:rPr>
        <w:br w:type="page"/>
      </w:r>
    </w:p>
    <w:p w14:paraId="092EF560" w14:textId="26A7AAE7" w:rsidR="00620AC3" w:rsidRDefault="00620AC3" w:rsidP="00315B2C"/>
    <w:sectPr w:rsidR="00620AC3" w:rsidSect="009E579C">
      <w:headerReference w:type="default" r:id="rId255"/>
      <w:footerReference w:type="default" r:id="rId25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95EFA" w14:textId="77777777" w:rsidR="00324311" w:rsidRDefault="00324311">
      <w:r>
        <w:separator/>
      </w:r>
    </w:p>
  </w:endnote>
  <w:endnote w:type="continuationSeparator" w:id="0">
    <w:p w14:paraId="6A04A09B" w14:textId="77777777" w:rsidR="00324311" w:rsidRDefault="00324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646687" w:rsidRDefault="00646687"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646687" w:rsidRDefault="006466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AE6F1" w14:textId="77777777" w:rsidR="00324311" w:rsidRDefault="00324311">
      <w:r>
        <w:separator/>
      </w:r>
    </w:p>
  </w:footnote>
  <w:footnote w:type="continuationSeparator" w:id="0">
    <w:p w14:paraId="3AB56CA7" w14:textId="77777777" w:rsidR="00324311" w:rsidRDefault="00324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91440C1" w:rsidR="00646687" w:rsidRDefault="009F11D2" w:rsidP="005942A6">
    <w:pPr>
      <w:pStyle w:val="Header"/>
      <w:tabs>
        <w:tab w:val="clear" w:pos="6480"/>
        <w:tab w:val="center" w:pos="4680"/>
        <w:tab w:val="right" w:pos="9360"/>
      </w:tabs>
    </w:pPr>
    <w:r>
      <w:t>August</w:t>
    </w:r>
    <w:r w:rsidR="00646687">
      <w:t xml:space="preserve"> 2019</w:t>
    </w:r>
    <w:r w:rsidR="00646687">
      <w:tab/>
    </w:r>
    <w:r w:rsidR="00646687">
      <w:tab/>
    </w:r>
    <w:fldSimple w:instr=" TITLE  \* MERGEFORMAT ">
      <w:r w:rsidR="00646687">
        <w:t>doc.: IEEE 802.11-19/0551r</w:t>
      </w:r>
    </w:fldSimple>
    <w:r w:rsidR="00351CD7">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5"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4"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0"/>
  </w:num>
  <w:num w:numId="3">
    <w:abstractNumId w:val="16"/>
  </w:num>
  <w:num w:numId="4">
    <w:abstractNumId w:val="3"/>
  </w:num>
  <w:num w:numId="5">
    <w:abstractNumId w:val="32"/>
  </w:num>
  <w:num w:numId="6">
    <w:abstractNumId w:val="31"/>
  </w:num>
  <w:num w:numId="7">
    <w:abstractNumId w:val="6"/>
  </w:num>
  <w:num w:numId="8">
    <w:abstractNumId w:val="11"/>
  </w:num>
  <w:num w:numId="9">
    <w:abstractNumId w:val="15"/>
  </w:num>
  <w:num w:numId="10">
    <w:abstractNumId w:val="19"/>
  </w:num>
  <w:num w:numId="11">
    <w:abstractNumId w:val="37"/>
  </w:num>
  <w:num w:numId="12">
    <w:abstractNumId w:val="20"/>
  </w:num>
  <w:num w:numId="13">
    <w:abstractNumId w:val="8"/>
  </w:num>
  <w:num w:numId="14">
    <w:abstractNumId w:val="27"/>
  </w:num>
  <w:num w:numId="15">
    <w:abstractNumId w:val="7"/>
  </w:num>
  <w:num w:numId="16">
    <w:abstractNumId w:val="0"/>
  </w:num>
  <w:num w:numId="17">
    <w:abstractNumId w:val="29"/>
  </w:num>
  <w:num w:numId="18">
    <w:abstractNumId w:val="18"/>
  </w:num>
  <w:num w:numId="19">
    <w:abstractNumId w:val="30"/>
  </w:num>
  <w:num w:numId="20">
    <w:abstractNumId w:val="4"/>
  </w:num>
  <w:num w:numId="21">
    <w:abstractNumId w:val="1"/>
  </w:num>
  <w:num w:numId="22">
    <w:abstractNumId w:val="21"/>
  </w:num>
  <w:num w:numId="23">
    <w:abstractNumId w:val="5"/>
  </w:num>
  <w:num w:numId="24">
    <w:abstractNumId w:val="13"/>
  </w:num>
  <w:num w:numId="25">
    <w:abstractNumId w:val="28"/>
  </w:num>
  <w:num w:numId="26">
    <w:abstractNumId w:val="22"/>
  </w:num>
  <w:num w:numId="27">
    <w:abstractNumId w:val="12"/>
  </w:num>
  <w:num w:numId="28">
    <w:abstractNumId w:val="33"/>
  </w:num>
  <w:num w:numId="29">
    <w:abstractNumId w:val="34"/>
  </w:num>
  <w:num w:numId="30">
    <w:abstractNumId w:val="24"/>
  </w:num>
  <w:num w:numId="31">
    <w:abstractNumId w:val="26"/>
  </w:num>
  <w:num w:numId="32">
    <w:abstractNumId w:val="17"/>
  </w:num>
  <w:num w:numId="33">
    <w:abstractNumId w:val="3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4"/>
  </w:num>
  <w:num w:numId="37">
    <w:abstractNumId w:val="25"/>
  </w:num>
  <w:num w:numId="3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2C91"/>
    <w:rsid w:val="00033670"/>
    <w:rsid w:val="00034627"/>
    <w:rsid w:val="00034B66"/>
    <w:rsid w:val="00035626"/>
    <w:rsid w:val="00035DE4"/>
    <w:rsid w:val="000362C7"/>
    <w:rsid w:val="0003707D"/>
    <w:rsid w:val="000371E1"/>
    <w:rsid w:val="0003791B"/>
    <w:rsid w:val="00041166"/>
    <w:rsid w:val="000435C1"/>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551B"/>
    <w:rsid w:val="000660FC"/>
    <w:rsid w:val="00066C64"/>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05E8"/>
    <w:rsid w:val="000A1BC6"/>
    <w:rsid w:val="000A2C86"/>
    <w:rsid w:val="000A2EC5"/>
    <w:rsid w:val="000A64DF"/>
    <w:rsid w:val="000A6653"/>
    <w:rsid w:val="000A6728"/>
    <w:rsid w:val="000A7069"/>
    <w:rsid w:val="000A7983"/>
    <w:rsid w:val="000B236F"/>
    <w:rsid w:val="000B5131"/>
    <w:rsid w:val="000B535F"/>
    <w:rsid w:val="000B57A8"/>
    <w:rsid w:val="000B5C4C"/>
    <w:rsid w:val="000C0F6F"/>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68A2"/>
    <w:rsid w:val="001777F6"/>
    <w:rsid w:val="00177BBB"/>
    <w:rsid w:val="00180334"/>
    <w:rsid w:val="00180818"/>
    <w:rsid w:val="001819C3"/>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F00EA"/>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669"/>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687"/>
    <w:rsid w:val="00646D34"/>
    <w:rsid w:val="006470C1"/>
    <w:rsid w:val="006478DE"/>
    <w:rsid w:val="00647C0F"/>
    <w:rsid w:val="0065099A"/>
    <w:rsid w:val="0065177F"/>
    <w:rsid w:val="006518F2"/>
    <w:rsid w:val="0065295B"/>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87"/>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B62"/>
    <w:rsid w:val="007D4C55"/>
    <w:rsid w:val="007D58CD"/>
    <w:rsid w:val="007D620F"/>
    <w:rsid w:val="007E0074"/>
    <w:rsid w:val="007E1F37"/>
    <w:rsid w:val="007E21B1"/>
    <w:rsid w:val="007E23E3"/>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3B2F"/>
    <w:rsid w:val="009341A7"/>
    <w:rsid w:val="009347FD"/>
    <w:rsid w:val="0093481A"/>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043D"/>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42A60"/>
    <w:rsid w:val="00D445BB"/>
    <w:rsid w:val="00D4472F"/>
    <w:rsid w:val="00D44827"/>
    <w:rsid w:val="00D44A7C"/>
    <w:rsid w:val="00D44F60"/>
    <w:rsid w:val="00D45412"/>
    <w:rsid w:val="00D4570D"/>
    <w:rsid w:val="00D4575B"/>
    <w:rsid w:val="00D4692C"/>
    <w:rsid w:val="00D46DB8"/>
    <w:rsid w:val="00D47245"/>
    <w:rsid w:val="00D50973"/>
    <w:rsid w:val="00D526DA"/>
    <w:rsid w:val="00D5460B"/>
    <w:rsid w:val="00D54924"/>
    <w:rsid w:val="00D55EB2"/>
    <w:rsid w:val="00D566C9"/>
    <w:rsid w:val="00D61644"/>
    <w:rsid w:val="00D62F31"/>
    <w:rsid w:val="00D631D0"/>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194"/>
    <w:rsid w:val="00D774AA"/>
    <w:rsid w:val="00D777B2"/>
    <w:rsid w:val="00D77C2B"/>
    <w:rsid w:val="00D81AF3"/>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9B0"/>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4.png"/><Relationship Id="rId42" Type="http://schemas.openxmlformats.org/officeDocument/2006/relationships/image" Target="media/image25.png"/><Relationship Id="rId63" Type="http://schemas.openxmlformats.org/officeDocument/2006/relationships/image" Target="media/image35.png"/><Relationship Id="rId84" Type="http://schemas.openxmlformats.org/officeDocument/2006/relationships/image" Target="media/image50.png"/><Relationship Id="rId138" Type="http://schemas.openxmlformats.org/officeDocument/2006/relationships/customXml" Target="ink/ink40.xml"/><Relationship Id="rId159" Type="http://schemas.openxmlformats.org/officeDocument/2006/relationships/customXml" Target="ink/ink56.xml"/><Relationship Id="rId170" Type="http://schemas.openxmlformats.org/officeDocument/2006/relationships/customXml" Target="ink/ink59.xml"/><Relationship Id="rId191" Type="http://schemas.openxmlformats.org/officeDocument/2006/relationships/customXml" Target="ink/ink67.xml"/><Relationship Id="rId205" Type="http://schemas.openxmlformats.org/officeDocument/2006/relationships/image" Target="media/image124.png"/><Relationship Id="rId226" Type="http://schemas.openxmlformats.org/officeDocument/2006/relationships/customXml" Target="ink/ink85.xml"/><Relationship Id="rId247" Type="http://schemas.openxmlformats.org/officeDocument/2006/relationships/image" Target="media/image143.png"/><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image" Target="media/image20.png"/><Relationship Id="rId53" Type="http://schemas.openxmlformats.org/officeDocument/2006/relationships/customXml" Target="ink/ink16.xml"/><Relationship Id="rId74" Type="http://schemas.openxmlformats.org/officeDocument/2006/relationships/image" Target="media/image44.png"/><Relationship Id="rId128" Type="http://schemas.openxmlformats.org/officeDocument/2006/relationships/image" Target="media/image84.png"/><Relationship Id="rId149" Type="http://schemas.openxmlformats.org/officeDocument/2006/relationships/customXml" Target="ink/ink46.xml"/><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95.png"/><Relationship Id="rId181" Type="http://schemas.openxmlformats.org/officeDocument/2006/relationships/image" Target="media/image109.png"/><Relationship Id="rId216" Type="http://schemas.openxmlformats.org/officeDocument/2006/relationships/customXml" Target="ink/ink78.xml"/><Relationship Id="rId237" Type="http://schemas.openxmlformats.org/officeDocument/2006/relationships/image" Target="media/image133.png"/><Relationship Id="rId258"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customXml" Target="ink/ink11.xml"/><Relationship Id="rId64" Type="http://schemas.openxmlformats.org/officeDocument/2006/relationships/customXml" Target="ink/ink22.xml"/><Relationship Id="rId118" Type="http://schemas.openxmlformats.org/officeDocument/2006/relationships/image" Target="media/image77.png"/><Relationship Id="rId139" Type="http://schemas.openxmlformats.org/officeDocument/2006/relationships/image" Target="media/image90.png"/><Relationship Id="rId85" Type="http://schemas.openxmlformats.org/officeDocument/2006/relationships/image" Target="media/image51.png"/><Relationship Id="rId150" Type="http://schemas.openxmlformats.org/officeDocument/2006/relationships/customXml" Target="ink/ink47.xml"/><Relationship Id="rId171" Type="http://schemas.openxmlformats.org/officeDocument/2006/relationships/image" Target="media/image103.png"/><Relationship Id="rId192" Type="http://schemas.openxmlformats.org/officeDocument/2006/relationships/image" Target="media/image116.png"/><Relationship Id="rId206" Type="http://schemas.openxmlformats.org/officeDocument/2006/relationships/image" Target="media/image125.png"/><Relationship Id="rId227" Type="http://schemas.openxmlformats.org/officeDocument/2006/relationships/customXml" Target="ink/ink86.xml"/><Relationship Id="rId248" Type="http://schemas.openxmlformats.org/officeDocument/2006/relationships/image" Target="media/image144.png"/><Relationship Id="rId12" Type="http://schemas.openxmlformats.org/officeDocument/2006/relationships/image" Target="media/image5.png"/><Relationship Id="rId33" Type="http://schemas.openxmlformats.org/officeDocument/2006/relationships/customXml" Target="ink/ink6.xml"/><Relationship Id="rId108" Type="http://schemas.openxmlformats.org/officeDocument/2006/relationships/customXml" Target="ink/ink29.xml"/><Relationship Id="rId129" Type="http://schemas.openxmlformats.org/officeDocument/2006/relationships/customXml" Target="ink/ink36.xml"/><Relationship Id="rId54" Type="http://schemas.openxmlformats.org/officeDocument/2006/relationships/customXml" Target="ink/ink17.xml"/><Relationship Id="rId70" Type="http://schemas.openxmlformats.org/officeDocument/2006/relationships/image" Target="media/image41.png"/><Relationship Id="rId75" Type="http://schemas.openxmlformats.org/officeDocument/2006/relationships/customXml" Target="ink/ink23.xml"/><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image" Target="media/image91.png"/><Relationship Id="rId145" Type="http://schemas.openxmlformats.org/officeDocument/2006/relationships/image" Target="media/image94.png"/><Relationship Id="rId161" Type="http://schemas.openxmlformats.org/officeDocument/2006/relationships/image" Target="media/image96.png"/><Relationship Id="rId166" Type="http://schemas.openxmlformats.org/officeDocument/2006/relationships/image" Target="media/image99.png"/><Relationship Id="rId182" Type="http://schemas.openxmlformats.org/officeDocument/2006/relationships/customXml" Target="ink/ink64.xml"/><Relationship Id="rId187" Type="http://schemas.openxmlformats.org/officeDocument/2006/relationships/image" Target="media/image113.png"/><Relationship Id="rId217"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ustomXml" Target="ink/ink76.xml"/><Relationship Id="rId233" Type="http://schemas.openxmlformats.org/officeDocument/2006/relationships/customXml" Target="ink/ink92.xml"/><Relationship Id="rId238" Type="http://schemas.openxmlformats.org/officeDocument/2006/relationships/image" Target="media/image134.png"/><Relationship Id="rId254" Type="http://schemas.openxmlformats.org/officeDocument/2006/relationships/image" Target="media/image150.png"/><Relationship Id="rId23" Type="http://schemas.openxmlformats.org/officeDocument/2006/relationships/customXml" Target="ink/ink1.xml"/><Relationship Id="rId28" Type="http://schemas.openxmlformats.org/officeDocument/2006/relationships/image" Target="media/image18.png"/><Relationship Id="rId49" Type="http://schemas.openxmlformats.org/officeDocument/2006/relationships/customXml" Target="ink/ink14.xml"/><Relationship Id="rId114" Type="http://schemas.openxmlformats.org/officeDocument/2006/relationships/customXml" Target="ink/ink31.xml"/><Relationship Id="rId119" Type="http://schemas.openxmlformats.org/officeDocument/2006/relationships/image" Target="media/image78.png"/><Relationship Id="rId44" Type="http://schemas.openxmlformats.org/officeDocument/2006/relationships/image" Target="media/image26.png"/><Relationship Id="rId60" Type="http://schemas.openxmlformats.org/officeDocument/2006/relationships/customXml" Target="ink/ink20.xml"/><Relationship Id="rId65" Type="http://schemas.openxmlformats.org/officeDocument/2006/relationships/image" Target="media/image36.png"/><Relationship Id="rId81" Type="http://schemas.openxmlformats.org/officeDocument/2006/relationships/customXml" Target="ink/ink26.xml"/><Relationship Id="rId86" Type="http://schemas.openxmlformats.org/officeDocument/2006/relationships/image" Target="media/image52.png"/><Relationship Id="rId130" Type="http://schemas.openxmlformats.org/officeDocument/2006/relationships/image" Target="media/image85.png"/><Relationship Id="rId135" Type="http://schemas.openxmlformats.org/officeDocument/2006/relationships/image" Target="media/image88.png"/><Relationship Id="rId151" Type="http://schemas.openxmlformats.org/officeDocument/2006/relationships/customXml" Target="ink/ink48.xml"/><Relationship Id="rId156" Type="http://schemas.openxmlformats.org/officeDocument/2006/relationships/customXml" Target="ink/ink53.xml"/><Relationship Id="rId177" Type="http://schemas.openxmlformats.org/officeDocument/2006/relationships/image" Target="media/image106.png"/><Relationship Id="rId198" Type="http://schemas.openxmlformats.org/officeDocument/2006/relationships/image" Target="media/image120.png"/><Relationship Id="rId172" Type="http://schemas.openxmlformats.org/officeDocument/2006/relationships/customXml" Target="ink/ink60.xml"/><Relationship Id="rId193" Type="http://schemas.openxmlformats.org/officeDocument/2006/relationships/image" Target="media/image117.png"/><Relationship Id="rId202" Type="http://schemas.openxmlformats.org/officeDocument/2006/relationships/customXml" Target="ink/ink71.xml"/><Relationship Id="rId207" Type="http://schemas.openxmlformats.org/officeDocument/2006/relationships/customXml" Target="ink/ink73.xml"/><Relationship Id="rId223" Type="http://schemas.openxmlformats.org/officeDocument/2006/relationships/customXml" Target="ink/ink82.xml"/><Relationship Id="rId228" Type="http://schemas.openxmlformats.org/officeDocument/2006/relationships/customXml" Target="ink/ink87.xml"/><Relationship Id="rId244" Type="http://schemas.openxmlformats.org/officeDocument/2006/relationships/image" Target="media/image140.png"/><Relationship Id="rId249" Type="http://schemas.openxmlformats.org/officeDocument/2006/relationships/image" Target="media/image14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ustomXml" Target="ink/ink9.xml"/><Relationship Id="rId109" Type="http://schemas.openxmlformats.org/officeDocument/2006/relationships/image" Target="media/image71.png"/><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image" Target="media/image31.png"/><Relationship Id="rId76" Type="http://schemas.openxmlformats.org/officeDocument/2006/relationships/image" Target="media/image45.png"/><Relationship Id="rId97" Type="http://schemas.openxmlformats.org/officeDocument/2006/relationships/image" Target="media/image62.png"/><Relationship Id="rId104" Type="http://schemas.openxmlformats.org/officeDocument/2006/relationships/image" Target="media/image68.png"/><Relationship Id="rId120" Type="http://schemas.openxmlformats.org/officeDocument/2006/relationships/image" Target="media/image79.png"/><Relationship Id="rId125" Type="http://schemas.openxmlformats.org/officeDocument/2006/relationships/image" Target="media/image82.png"/><Relationship Id="rId141" Type="http://schemas.openxmlformats.org/officeDocument/2006/relationships/customXml" Target="ink/ink41.xml"/><Relationship Id="rId146" Type="http://schemas.openxmlformats.org/officeDocument/2006/relationships/customXml" Target="ink/ink43.xml"/><Relationship Id="rId167" Type="http://schemas.openxmlformats.org/officeDocument/2006/relationships/image" Target="media/image100.png"/><Relationship Id="rId188" Type="http://schemas.openxmlformats.org/officeDocument/2006/relationships/customXml" Target="ink/ink66.xml"/><Relationship Id="rId7" Type="http://schemas.openxmlformats.org/officeDocument/2006/relationships/endnotes" Target="endnotes.xml"/><Relationship Id="rId71" Type="http://schemas.openxmlformats.org/officeDocument/2006/relationships/hyperlink" Target="https://mentor.ieee.org/802.11/dcn/19/11-19-0551-03-000m-revmd-lb236-comments-assigned-to-hamilton.docx" TargetMode="External"/><Relationship Id="rId92" Type="http://schemas.openxmlformats.org/officeDocument/2006/relationships/image" Target="media/image57.png"/><Relationship Id="rId162" Type="http://schemas.openxmlformats.org/officeDocument/2006/relationships/customXml" Target="ink/ink57.xml"/><Relationship Id="rId183" Type="http://schemas.openxmlformats.org/officeDocument/2006/relationships/image" Target="media/image110.png"/><Relationship Id="rId213" Type="http://schemas.openxmlformats.org/officeDocument/2006/relationships/image" Target="media/image128.png"/><Relationship Id="rId218" Type="http://schemas.openxmlformats.org/officeDocument/2006/relationships/customXml" Target="ink/ink79.xml"/><Relationship Id="rId234" Type="http://schemas.openxmlformats.org/officeDocument/2006/relationships/customXml" Target="ink/ink93.xml"/><Relationship Id="rId239" Type="http://schemas.openxmlformats.org/officeDocument/2006/relationships/image" Target="media/image135.png"/><Relationship Id="rId2" Type="http://schemas.openxmlformats.org/officeDocument/2006/relationships/numbering" Target="numbering.xml"/><Relationship Id="rId29" Type="http://schemas.openxmlformats.org/officeDocument/2006/relationships/customXml" Target="ink/ink4.xml"/><Relationship Id="rId250" Type="http://schemas.openxmlformats.org/officeDocument/2006/relationships/image" Target="media/image146.png"/><Relationship Id="rId255" Type="http://schemas.openxmlformats.org/officeDocument/2006/relationships/header" Target="header1.xml"/><Relationship Id="rId24" Type="http://schemas.openxmlformats.org/officeDocument/2006/relationships/image" Target="media/image16.png"/><Relationship Id="rId40" Type="http://schemas.openxmlformats.org/officeDocument/2006/relationships/image" Target="media/image24.png"/><Relationship Id="rId45" Type="http://schemas.openxmlformats.org/officeDocument/2006/relationships/customXml" Target="ink/ink12.xml"/><Relationship Id="rId66" Type="http://schemas.openxmlformats.org/officeDocument/2006/relationships/image" Target="media/image37.png"/><Relationship Id="rId87" Type="http://schemas.openxmlformats.org/officeDocument/2006/relationships/image" Target="media/image53.png"/><Relationship Id="rId110" Type="http://schemas.openxmlformats.org/officeDocument/2006/relationships/customXml" Target="ink/ink30.xml"/><Relationship Id="rId115" Type="http://schemas.openxmlformats.org/officeDocument/2006/relationships/image" Target="media/image75.png"/><Relationship Id="rId131" Type="http://schemas.openxmlformats.org/officeDocument/2006/relationships/image" Target="media/image86.png"/><Relationship Id="rId136" Type="http://schemas.openxmlformats.org/officeDocument/2006/relationships/customXml" Target="ink/ink39.xml"/><Relationship Id="rId157" Type="http://schemas.openxmlformats.org/officeDocument/2006/relationships/customXml" Target="ink/ink54.xml"/><Relationship Id="rId178" Type="http://schemas.openxmlformats.org/officeDocument/2006/relationships/image" Target="media/image107.png"/><Relationship Id="rId61" Type="http://schemas.openxmlformats.org/officeDocument/2006/relationships/image" Target="media/image34.png"/><Relationship Id="rId82" Type="http://schemas.openxmlformats.org/officeDocument/2006/relationships/image" Target="media/image48.png"/><Relationship Id="rId152" Type="http://schemas.openxmlformats.org/officeDocument/2006/relationships/customXml" Target="ink/ink49.xml"/><Relationship Id="rId173" Type="http://schemas.openxmlformats.org/officeDocument/2006/relationships/image" Target="media/image104.png"/><Relationship Id="rId194" Type="http://schemas.openxmlformats.org/officeDocument/2006/relationships/customXml" Target="ink/ink68.xml"/><Relationship Id="rId199" Type="http://schemas.openxmlformats.org/officeDocument/2006/relationships/customXml" Target="ink/ink70.xml"/><Relationship Id="rId203" Type="http://schemas.openxmlformats.org/officeDocument/2006/relationships/image" Target="media/image123.png"/><Relationship Id="rId208" Type="http://schemas.openxmlformats.org/officeDocument/2006/relationships/image" Target="media/image126.png"/><Relationship Id="rId229" Type="http://schemas.openxmlformats.org/officeDocument/2006/relationships/customXml" Target="ink/ink88.xml"/><Relationship Id="rId19" Type="http://schemas.openxmlformats.org/officeDocument/2006/relationships/image" Target="media/image12.png"/><Relationship Id="rId224" Type="http://schemas.openxmlformats.org/officeDocument/2006/relationships/customXml" Target="ink/ink83.xml"/><Relationship Id="rId240" Type="http://schemas.openxmlformats.org/officeDocument/2006/relationships/image" Target="media/image136.png"/><Relationship Id="rId245" Type="http://schemas.openxmlformats.org/officeDocument/2006/relationships/image" Target="media/image141.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customXml" Target="ink/ink7.xml"/><Relationship Id="rId56" Type="http://schemas.openxmlformats.org/officeDocument/2006/relationships/customXml" Target="ink/ink18.xml"/><Relationship Id="rId77" Type="http://schemas.openxmlformats.org/officeDocument/2006/relationships/customXml" Target="ink/ink24.xml"/><Relationship Id="rId100" Type="http://schemas.openxmlformats.org/officeDocument/2006/relationships/image" Target="media/image65.png"/><Relationship Id="rId105" Type="http://schemas.openxmlformats.org/officeDocument/2006/relationships/customXml" Target="ink/ink28.xml"/><Relationship Id="rId126" Type="http://schemas.openxmlformats.org/officeDocument/2006/relationships/image" Target="media/image83.png"/><Relationship Id="rId147" Type="http://schemas.openxmlformats.org/officeDocument/2006/relationships/customXml" Target="ink/ink44.xml"/><Relationship Id="rId168" Type="http://schemas.openxmlformats.org/officeDocument/2006/relationships/image" Target="media/image101.png"/><Relationship Id="rId8" Type="http://schemas.openxmlformats.org/officeDocument/2006/relationships/image" Target="media/image1.png"/><Relationship Id="rId51" Type="http://schemas.openxmlformats.org/officeDocument/2006/relationships/customXml" Target="ink/ink15.xml"/><Relationship Id="rId72" Type="http://schemas.openxmlformats.org/officeDocument/2006/relationships/image" Target="media/image42.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customXml" Target="ink/ink33.xml"/><Relationship Id="rId142" Type="http://schemas.openxmlformats.org/officeDocument/2006/relationships/image" Target="media/image92.png"/><Relationship Id="rId163" Type="http://schemas.openxmlformats.org/officeDocument/2006/relationships/image" Target="media/image97.png"/><Relationship Id="rId184" Type="http://schemas.openxmlformats.org/officeDocument/2006/relationships/image" Target="media/image111.png"/><Relationship Id="rId189" Type="http://schemas.openxmlformats.org/officeDocument/2006/relationships/image" Target="media/image114.png"/><Relationship Id="rId219" Type="http://schemas.openxmlformats.org/officeDocument/2006/relationships/image" Target="media/image131.png"/><Relationship Id="rId3" Type="http://schemas.openxmlformats.org/officeDocument/2006/relationships/styles" Target="styles.xml"/><Relationship Id="rId214" Type="http://schemas.openxmlformats.org/officeDocument/2006/relationships/customXml" Target="ink/ink77.xml"/><Relationship Id="rId230" Type="http://schemas.openxmlformats.org/officeDocument/2006/relationships/customXml" Target="ink/ink89.xml"/><Relationship Id="rId235" Type="http://schemas.openxmlformats.org/officeDocument/2006/relationships/customXml" Target="ink/ink94.xml"/><Relationship Id="rId251" Type="http://schemas.openxmlformats.org/officeDocument/2006/relationships/image" Target="media/image147.png"/><Relationship Id="rId256" Type="http://schemas.openxmlformats.org/officeDocument/2006/relationships/footer" Target="footer1.xml"/><Relationship Id="rId25" Type="http://schemas.openxmlformats.org/officeDocument/2006/relationships/customXml" Target="ink/ink2.xml"/><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customXml" Target="ink/ink32.xml"/><Relationship Id="rId137" Type="http://schemas.openxmlformats.org/officeDocument/2006/relationships/image" Target="media/image89.png"/><Relationship Id="rId158" Type="http://schemas.openxmlformats.org/officeDocument/2006/relationships/customXml" Target="ink/ink55.xml"/><Relationship Id="rId20" Type="http://schemas.openxmlformats.org/officeDocument/2006/relationships/image" Target="media/image13.png"/><Relationship Id="rId41" Type="http://schemas.openxmlformats.org/officeDocument/2006/relationships/customXml" Target="ink/ink10.xml"/><Relationship Id="rId62" Type="http://schemas.openxmlformats.org/officeDocument/2006/relationships/customXml" Target="ink/ink21.xml"/><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2.png"/><Relationship Id="rId132" Type="http://schemas.openxmlformats.org/officeDocument/2006/relationships/customXml" Target="ink/ink37.xml"/><Relationship Id="rId153" Type="http://schemas.openxmlformats.org/officeDocument/2006/relationships/customXml" Target="ink/ink50.xml"/><Relationship Id="rId174" Type="http://schemas.openxmlformats.org/officeDocument/2006/relationships/customXml" Target="ink/ink61.xml"/><Relationship Id="rId179" Type="http://schemas.openxmlformats.org/officeDocument/2006/relationships/customXml" Target="ink/ink63.xml"/><Relationship Id="rId195" Type="http://schemas.openxmlformats.org/officeDocument/2006/relationships/image" Target="media/image118.png"/><Relationship Id="rId209" Type="http://schemas.openxmlformats.org/officeDocument/2006/relationships/image" Target="media/image127.png"/><Relationship Id="rId190" Type="http://schemas.openxmlformats.org/officeDocument/2006/relationships/image" Target="media/image115.png"/><Relationship Id="rId204" Type="http://schemas.openxmlformats.org/officeDocument/2006/relationships/customXml" Target="ink/ink72.xml"/><Relationship Id="rId220" Type="http://schemas.openxmlformats.org/officeDocument/2006/relationships/customXml" Target="ink/ink80.xml"/><Relationship Id="rId225" Type="http://schemas.openxmlformats.org/officeDocument/2006/relationships/customXml" Target="ink/ink84.xml"/><Relationship Id="rId241" Type="http://schemas.openxmlformats.org/officeDocument/2006/relationships/image" Target="media/image137.png"/><Relationship Id="rId246" Type="http://schemas.openxmlformats.org/officeDocument/2006/relationships/image" Target="media/image142.png"/><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image" Target="media/image32.png"/><Relationship Id="rId106" Type="http://schemas.openxmlformats.org/officeDocument/2006/relationships/image" Target="media/image69.png"/><Relationship Id="rId127" Type="http://schemas.openxmlformats.org/officeDocument/2006/relationships/customXml" Target="ink/ink35.xml"/><Relationship Id="rId10" Type="http://schemas.openxmlformats.org/officeDocument/2006/relationships/image" Target="media/image3.png"/><Relationship Id="rId31" Type="http://schemas.openxmlformats.org/officeDocument/2006/relationships/customXml" Target="ink/ink5.xml"/><Relationship Id="rId52" Type="http://schemas.openxmlformats.org/officeDocument/2006/relationships/image" Target="media/image30.png"/><Relationship Id="rId73" Type="http://schemas.openxmlformats.org/officeDocument/2006/relationships/image" Target="media/image43.png"/><Relationship Id="rId78" Type="http://schemas.openxmlformats.org/officeDocument/2006/relationships/image" Target="media/image46.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0.png"/><Relationship Id="rId143" Type="http://schemas.openxmlformats.org/officeDocument/2006/relationships/customXml" Target="ink/ink42.xml"/><Relationship Id="rId148" Type="http://schemas.openxmlformats.org/officeDocument/2006/relationships/customXml" Target="ink/ink45.xml"/><Relationship Id="rId164" Type="http://schemas.openxmlformats.org/officeDocument/2006/relationships/customXml" Target="ink/ink58.xml"/><Relationship Id="rId169" Type="http://schemas.openxmlformats.org/officeDocument/2006/relationships/image" Target="media/image102.png"/><Relationship Id="rId185" Type="http://schemas.openxmlformats.org/officeDocument/2006/relationships/customXml" Target="ink/ink65.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8.png"/><Relationship Id="rId210" Type="http://schemas.openxmlformats.org/officeDocument/2006/relationships/customXml" Target="ink/ink74.xml"/><Relationship Id="rId215" Type="http://schemas.openxmlformats.org/officeDocument/2006/relationships/image" Target="media/image129.png"/><Relationship Id="rId236" Type="http://schemas.openxmlformats.org/officeDocument/2006/relationships/customXml" Target="ink/ink95.xml"/><Relationship Id="rId257" Type="http://schemas.openxmlformats.org/officeDocument/2006/relationships/fontTable" Target="fontTable.xml"/><Relationship Id="rId26" Type="http://schemas.openxmlformats.org/officeDocument/2006/relationships/image" Target="media/image17.png"/><Relationship Id="rId231" Type="http://schemas.openxmlformats.org/officeDocument/2006/relationships/customXml" Target="ink/ink90.xml"/><Relationship Id="rId252" Type="http://schemas.openxmlformats.org/officeDocument/2006/relationships/image" Target="media/image148.png"/><Relationship Id="rId47" Type="http://schemas.openxmlformats.org/officeDocument/2006/relationships/customXml" Target="ink/ink13.xml"/><Relationship Id="rId68" Type="http://schemas.openxmlformats.org/officeDocument/2006/relationships/image" Target="media/image39.png"/><Relationship Id="rId89" Type="http://schemas.openxmlformats.org/officeDocument/2006/relationships/image" Target="media/image55.png"/><Relationship Id="rId112" Type="http://schemas.openxmlformats.org/officeDocument/2006/relationships/image" Target="media/image73.png"/><Relationship Id="rId133" Type="http://schemas.openxmlformats.org/officeDocument/2006/relationships/image" Target="media/image87.png"/><Relationship Id="rId154" Type="http://schemas.openxmlformats.org/officeDocument/2006/relationships/customXml" Target="ink/ink51.xml"/><Relationship Id="rId175" Type="http://schemas.openxmlformats.org/officeDocument/2006/relationships/image" Target="media/image105.png"/><Relationship Id="rId196" Type="http://schemas.openxmlformats.org/officeDocument/2006/relationships/customXml" Target="ink/ink69.xml"/><Relationship Id="rId200" Type="http://schemas.openxmlformats.org/officeDocument/2006/relationships/image" Target="media/image121.png"/><Relationship Id="rId16" Type="http://schemas.openxmlformats.org/officeDocument/2006/relationships/image" Target="media/image9.png"/><Relationship Id="rId221" Type="http://schemas.openxmlformats.org/officeDocument/2006/relationships/image" Target="media/image132.png"/><Relationship Id="rId242" Type="http://schemas.openxmlformats.org/officeDocument/2006/relationships/image" Target="media/image138.png"/><Relationship Id="rId37" Type="http://schemas.openxmlformats.org/officeDocument/2006/relationships/customXml" Target="ink/ink8.xml"/><Relationship Id="rId58" Type="http://schemas.openxmlformats.org/officeDocument/2006/relationships/customXml" Target="ink/ink19.xml"/><Relationship Id="rId79" Type="http://schemas.openxmlformats.org/officeDocument/2006/relationships/customXml" Target="ink/ink25.xml"/><Relationship Id="rId102" Type="http://schemas.openxmlformats.org/officeDocument/2006/relationships/image" Target="media/image67.png"/><Relationship Id="rId123" Type="http://schemas.openxmlformats.org/officeDocument/2006/relationships/customXml" Target="ink/ink34.xml"/><Relationship Id="rId144" Type="http://schemas.openxmlformats.org/officeDocument/2006/relationships/image" Target="media/image93.png"/><Relationship Id="rId90" Type="http://schemas.openxmlformats.org/officeDocument/2006/relationships/hyperlink" Target="https://www.iana.org/assignments/ipsec-registry/ipsec-registry.xhtml" TargetMode="External"/><Relationship Id="rId165" Type="http://schemas.openxmlformats.org/officeDocument/2006/relationships/image" Target="media/image98.png"/><Relationship Id="rId186" Type="http://schemas.openxmlformats.org/officeDocument/2006/relationships/image" Target="media/image112.png"/><Relationship Id="rId211" Type="http://schemas.openxmlformats.org/officeDocument/2006/relationships/customXml" Target="ink/ink75.xml"/><Relationship Id="rId232" Type="http://schemas.openxmlformats.org/officeDocument/2006/relationships/customXml" Target="ink/ink91.xml"/><Relationship Id="rId253" Type="http://schemas.openxmlformats.org/officeDocument/2006/relationships/image" Target="media/image149.png"/><Relationship Id="rId27" Type="http://schemas.openxmlformats.org/officeDocument/2006/relationships/customXml" Target="ink/ink3.xml"/><Relationship Id="rId48" Type="http://schemas.openxmlformats.org/officeDocument/2006/relationships/image" Target="media/image28.png"/><Relationship Id="rId69" Type="http://schemas.openxmlformats.org/officeDocument/2006/relationships/image" Target="media/image40.png"/><Relationship Id="rId113" Type="http://schemas.openxmlformats.org/officeDocument/2006/relationships/image" Target="media/image74.png"/><Relationship Id="rId134" Type="http://schemas.openxmlformats.org/officeDocument/2006/relationships/customXml" Target="ink/ink38.xml"/><Relationship Id="rId80" Type="http://schemas.openxmlformats.org/officeDocument/2006/relationships/image" Target="media/image47.png"/><Relationship Id="rId155" Type="http://schemas.openxmlformats.org/officeDocument/2006/relationships/customXml" Target="ink/ink52.xml"/><Relationship Id="rId176" Type="http://schemas.openxmlformats.org/officeDocument/2006/relationships/customXml" Target="ink/ink62.xml"/><Relationship Id="rId197" Type="http://schemas.openxmlformats.org/officeDocument/2006/relationships/image" Target="media/image119.png"/><Relationship Id="rId201" Type="http://schemas.openxmlformats.org/officeDocument/2006/relationships/image" Target="media/image122.png"/><Relationship Id="rId222" Type="http://schemas.openxmlformats.org/officeDocument/2006/relationships/customXml" Target="ink/ink81.xml"/><Relationship Id="rId243" Type="http://schemas.openxmlformats.org/officeDocument/2006/relationships/image" Target="media/image139.png"/><Relationship Id="rId17" Type="http://schemas.openxmlformats.org/officeDocument/2006/relationships/image" Target="media/image10.png"/><Relationship Id="rId38" Type="http://schemas.openxmlformats.org/officeDocument/2006/relationships/image" Target="media/image23.png"/><Relationship Id="rId59" Type="http://schemas.openxmlformats.org/officeDocument/2006/relationships/image" Target="media/image33.png"/><Relationship Id="rId103" Type="http://schemas.openxmlformats.org/officeDocument/2006/relationships/customXml" Target="ink/ink27.xml"/><Relationship Id="rId124"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397AE-A6AE-4DC5-AA49-0CC7CC9F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42</TotalTime>
  <Pages>92</Pages>
  <Words>13172</Words>
  <Characters>75081</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88077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7</cp:revision>
  <cp:lastPrinted>1901-01-01T04:00:00Z</cp:lastPrinted>
  <dcterms:created xsi:type="dcterms:W3CDTF">2019-08-07T16:25:00Z</dcterms:created>
  <dcterms:modified xsi:type="dcterms:W3CDTF">2019-08-09T15:19:00Z</dcterms:modified>
</cp:coreProperties>
</file>