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696C2D95" w:rsidR="00CA09B2" w:rsidRDefault="0070053C" w:rsidP="00083FE0">
            <w:pPr>
              <w:pStyle w:val="T2"/>
            </w:pPr>
            <w:r>
              <w:t>LB 236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7E62F5F2" w:rsidR="00CA09B2" w:rsidRDefault="00CA09B2" w:rsidP="00F03583">
            <w:pPr>
              <w:pStyle w:val="T2"/>
              <w:ind w:left="0"/>
              <w:rPr>
                <w:sz w:val="20"/>
              </w:rPr>
            </w:pPr>
            <w:r>
              <w:rPr>
                <w:sz w:val="20"/>
              </w:rPr>
              <w:t>Date:</w:t>
            </w:r>
            <w:r>
              <w:rPr>
                <w:b w:val="0"/>
                <w:sz w:val="20"/>
              </w:rPr>
              <w:t xml:space="preserve">  </w:t>
            </w:r>
            <w:r w:rsidR="007E3C9C">
              <w:rPr>
                <w:b w:val="0"/>
                <w:sz w:val="20"/>
              </w:rPr>
              <w:t>201</w:t>
            </w:r>
            <w:r w:rsidR="00D96EB7">
              <w:rPr>
                <w:b w:val="0"/>
                <w:sz w:val="20"/>
              </w:rPr>
              <w:t>9</w:t>
            </w:r>
            <w:r w:rsidR="007E3C9C">
              <w:rPr>
                <w:b w:val="0"/>
                <w:sz w:val="20"/>
              </w:rPr>
              <w:t>-</w:t>
            </w:r>
            <w:r w:rsidR="00D96EB7">
              <w:rPr>
                <w:b w:val="0"/>
                <w:sz w:val="20"/>
              </w:rPr>
              <w:t>0</w:t>
            </w:r>
            <w:r w:rsidR="00B85E46">
              <w:rPr>
                <w:b w:val="0"/>
                <w:sz w:val="20"/>
              </w:rPr>
              <w:t>6</w:t>
            </w:r>
            <w:r w:rsidR="009F6F13">
              <w:rPr>
                <w:b w:val="0"/>
                <w:sz w:val="20"/>
              </w:rPr>
              <w:t>-</w:t>
            </w:r>
            <w:r w:rsidR="00D96EB7">
              <w:rPr>
                <w:b w:val="0"/>
                <w:sz w:val="20"/>
              </w:rPr>
              <w:t>2</w:t>
            </w:r>
            <w:r w:rsidR="00531427">
              <w:rPr>
                <w:b w:val="0"/>
                <w:sz w:val="20"/>
              </w:rPr>
              <w:t>7</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0F25F3" w:rsidRDefault="000F25F3">
                            <w:pPr>
                              <w:pStyle w:val="T1"/>
                              <w:spacing w:after="120"/>
                            </w:pPr>
                            <w:r>
                              <w:t>Abstract</w:t>
                            </w:r>
                          </w:p>
                          <w:p w14:paraId="1C3BCE3F" w14:textId="77777777" w:rsidR="000F25F3" w:rsidRDefault="000F25F3" w:rsidP="00083FE0">
                            <w:pPr>
                              <w:jc w:val="both"/>
                            </w:pPr>
                          </w:p>
                          <w:p w14:paraId="4C4DB0CB" w14:textId="57526B1A" w:rsidR="000F25F3" w:rsidRPr="007710CD" w:rsidRDefault="000F25F3"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0F25F3" w:rsidRPr="007710CD" w:rsidRDefault="000F25F3" w:rsidP="00083FE0">
                            <w:pPr>
                              <w:jc w:val="both"/>
                              <w:rPr>
                                <w:sz w:val="20"/>
                              </w:rPr>
                            </w:pPr>
                          </w:p>
                          <w:p w14:paraId="3C7C8D20" w14:textId="76D5A191" w:rsidR="000F25F3" w:rsidRPr="007710CD" w:rsidRDefault="000F25F3"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0F25F3" w:rsidRPr="007710CD" w:rsidRDefault="000F25F3" w:rsidP="006832AA">
                            <w:pPr>
                              <w:jc w:val="both"/>
                              <w:rPr>
                                <w:sz w:val="20"/>
                              </w:rPr>
                            </w:pPr>
                          </w:p>
                          <w:p w14:paraId="366971AF" w14:textId="77777777" w:rsidR="000F25F3" w:rsidRPr="007710CD" w:rsidRDefault="000F25F3" w:rsidP="006832AA">
                            <w:pPr>
                              <w:jc w:val="both"/>
                              <w:rPr>
                                <w:sz w:val="20"/>
                              </w:rPr>
                            </w:pPr>
                          </w:p>
                          <w:p w14:paraId="4E9EE86F" w14:textId="3B88A5F5" w:rsidR="000F25F3" w:rsidRPr="007710CD" w:rsidRDefault="000F25F3">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0F25F3" w:rsidRDefault="000F25F3" w:rsidP="00D96EB7">
                            <w:pPr>
                              <w:jc w:val="both"/>
                              <w:rPr>
                                <w:sz w:val="20"/>
                              </w:rPr>
                            </w:pPr>
                            <w:r w:rsidRPr="007710CD">
                              <w:rPr>
                                <w:sz w:val="20"/>
                              </w:rPr>
                              <w:t xml:space="preserve">R1 – </w:t>
                            </w:r>
                            <w:r>
                              <w:rPr>
                                <w:sz w:val="20"/>
                              </w:rPr>
                              <w:t xml:space="preserve">Minor updates (marked with </w:t>
                            </w:r>
                            <w:r w:rsidRPr="00245FCE">
                              <w:rPr>
                                <w:sz w:val="20"/>
                                <w:highlight w:val="cyan"/>
                              </w:rPr>
                              <w:t>blue highlight</w:t>
                            </w:r>
                            <w:r>
                              <w:rPr>
                                <w:sz w:val="20"/>
                              </w:rPr>
                              <w:t>), after off-line review.</w:t>
                            </w:r>
                          </w:p>
                          <w:p w14:paraId="57437538" w14:textId="0658B6DD" w:rsidR="000F25F3" w:rsidRDefault="000F25F3"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57BE1B2" w:rsidR="00263BE5" w:rsidRPr="00531427" w:rsidRDefault="00263BE5" w:rsidP="00D96EB7">
                            <w:pPr>
                              <w:jc w:val="both"/>
                              <w:rPr>
                                <w:sz w:val="20"/>
                              </w:rPr>
                            </w:pPr>
                            <w:r>
                              <w:rPr>
                                <w:sz w:val="20"/>
                              </w:rPr>
                              <w:t>R3 – Moved agreed resolutions to the Completed section.  CID 2410 still needs clarifying discussion.  CIDs with new proposed resolutions ready for review: 2</w:t>
                            </w:r>
                            <w:r w:rsidR="00BA75F7">
                              <w:rPr>
                                <w:sz w:val="20"/>
                              </w:rPr>
                              <w:t>5</w:t>
                            </w:r>
                            <w:bookmarkStart w:id="0" w:name="_GoBack"/>
                            <w:bookmarkEnd w:id="0"/>
                            <w:r>
                              <w:rPr>
                                <w:sz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0F25F3" w:rsidRDefault="000F25F3">
                      <w:pPr>
                        <w:pStyle w:val="T1"/>
                        <w:spacing w:after="120"/>
                      </w:pPr>
                      <w:r>
                        <w:t>Abstract</w:t>
                      </w:r>
                    </w:p>
                    <w:p w14:paraId="1C3BCE3F" w14:textId="77777777" w:rsidR="000F25F3" w:rsidRDefault="000F25F3" w:rsidP="00083FE0">
                      <w:pPr>
                        <w:jc w:val="both"/>
                      </w:pPr>
                    </w:p>
                    <w:p w14:paraId="4C4DB0CB" w14:textId="57526B1A" w:rsidR="000F25F3" w:rsidRPr="007710CD" w:rsidRDefault="000F25F3"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0F25F3" w:rsidRPr="007710CD" w:rsidRDefault="000F25F3" w:rsidP="00083FE0">
                      <w:pPr>
                        <w:jc w:val="both"/>
                        <w:rPr>
                          <w:sz w:val="20"/>
                        </w:rPr>
                      </w:pPr>
                    </w:p>
                    <w:p w14:paraId="3C7C8D20" w14:textId="76D5A191" w:rsidR="000F25F3" w:rsidRPr="007710CD" w:rsidRDefault="000F25F3"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0F25F3" w:rsidRPr="007710CD" w:rsidRDefault="000F25F3" w:rsidP="006832AA">
                      <w:pPr>
                        <w:jc w:val="both"/>
                        <w:rPr>
                          <w:sz w:val="20"/>
                        </w:rPr>
                      </w:pPr>
                    </w:p>
                    <w:p w14:paraId="366971AF" w14:textId="77777777" w:rsidR="000F25F3" w:rsidRPr="007710CD" w:rsidRDefault="000F25F3" w:rsidP="006832AA">
                      <w:pPr>
                        <w:jc w:val="both"/>
                        <w:rPr>
                          <w:sz w:val="20"/>
                        </w:rPr>
                      </w:pPr>
                    </w:p>
                    <w:p w14:paraId="4E9EE86F" w14:textId="3B88A5F5" w:rsidR="000F25F3" w:rsidRPr="007710CD" w:rsidRDefault="000F25F3">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0F25F3" w:rsidRDefault="000F25F3" w:rsidP="00D96EB7">
                      <w:pPr>
                        <w:jc w:val="both"/>
                        <w:rPr>
                          <w:sz w:val="20"/>
                        </w:rPr>
                      </w:pPr>
                      <w:r w:rsidRPr="007710CD">
                        <w:rPr>
                          <w:sz w:val="20"/>
                        </w:rPr>
                        <w:t xml:space="preserve">R1 – </w:t>
                      </w:r>
                      <w:r>
                        <w:rPr>
                          <w:sz w:val="20"/>
                        </w:rPr>
                        <w:t xml:space="preserve">Minor updates (marked with </w:t>
                      </w:r>
                      <w:r w:rsidRPr="00245FCE">
                        <w:rPr>
                          <w:sz w:val="20"/>
                          <w:highlight w:val="cyan"/>
                        </w:rPr>
                        <w:t>blue highlight</w:t>
                      </w:r>
                      <w:r>
                        <w:rPr>
                          <w:sz w:val="20"/>
                        </w:rPr>
                        <w:t>), after off-line review.</w:t>
                      </w:r>
                    </w:p>
                    <w:p w14:paraId="57437538" w14:textId="0658B6DD" w:rsidR="000F25F3" w:rsidRDefault="000F25F3"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57BE1B2" w:rsidR="00263BE5" w:rsidRPr="00531427" w:rsidRDefault="00263BE5" w:rsidP="00D96EB7">
                      <w:pPr>
                        <w:jc w:val="both"/>
                        <w:rPr>
                          <w:sz w:val="20"/>
                        </w:rPr>
                      </w:pPr>
                      <w:r>
                        <w:rPr>
                          <w:sz w:val="20"/>
                        </w:rPr>
                        <w:t>R3 – Moved agreed resolutions to the Completed section.  CID 2410 still needs clarifying discussion.  CIDs with new proposed resolutions ready for review: 2</w:t>
                      </w:r>
                      <w:r w:rsidR="00BA75F7">
                        <w:rPr>
                          <w:sz w:val="20"/>
                        </w:rPr>
                        <w:t>5</w:t>
                      </w:r>
                      <w:bookmarkStart w:id="1" w:name="_GoBack"/>
                      <w:bookmarkEnd w:id="1"/>
                      <w:r>
                        <w:rPr>
                          <w:sz w:val="20"/>
                        </w:rPr>
                        <w:t>10</w:t>
                      </w:r>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24979F0C" w14:textId="1BDA5D22" w:rsidR="00795BB3" w:rsidRDefault="00795BB3" w:rsidP="000F3724"/>
    <w:p w14:paraId="3A683363" w14:textId="22218BD0" w:rsidR="00811A65" w:rsidRDefault="00811A65"/>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D5D8B" w:rsidRPr="007837C2" w14:paraId="653540FA" w14:textId="77777777" w:rsidTr="0045213C">
        <w:trPr>
          <w:trHeight w:val="524"/>
        </w:trPr>
        <w:tc>
          <w:tcPr>
            <w:tcW w:w="738" w:type="dxa"/>
            <w:hideMark/>
          </w:tcPr>
          <w:p w14:paraId="2626496E"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5DBB7E3"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92A3868"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3C2EFC8"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875AB31"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D5D8B" w:rsidRPr="00DC0730" w14:paraId="7AE1302E" w14:textId="77777777" w:rsidTr="0045213C">
        <w:trPr>
          <w:trHeight w:val="8190"/>
        </w:trPr>
        <w:tc>
          <w:tcPr>
            <w:tcW w:w="738" w:type="dxa"/>
            <w:hideMark/>
          </w:tcPr>
          <w:p w14:paraId="470AB047" w14:textId="77777777" w:rsidR="00DD5D8B" w:rsidRPr="00DC0730" w:rsidRDefault="00DD5D8B" w:rsidP="0045213C">
            <w:pPr>
              <w:jc w:val="right"/>
              <w:rPr>
                <w:rFonts w:ascii="Arial" w:eastAsia="Times New Roman" w:hAnsi="Arial" w:cs="Arial"/>
                <w:sz w:val="20"/>
                <w:lang w:val="en-US"/>
              </w:rPr>
            </w:pPr>
            <w:r w:rsidRPr="00DC0730">
              <w:rPr>
                <w:rFonts w:ascii="Arial" w:eastAsia="Times New Roman" w:hAnsi="Arial" w:cs="Arial"/>
                <w:sz w:val="20"/>
                <w:lang w:val="en-US"/>
              </w:rPr>
              <w:t>2410</w:t>
            </w:r>
          </w:p>
        </w:tc>
        <w:tc>
          <w:tcPr>
            <w:tcW w:w="990" w:type="dxa"/>
            <w:hideMark/>
          </w:tcPr>
          <w:p w14:paraId="00197E7F" w14:textId="77777777" w:rsidR="00DD5D8B" w:rsidRPr="00DC0730" w:rsidRDefault="00DD5D8B" w:rsidP="0045213C">
            <w:pPr>
              <w:jc w:val="right"/>
              <w:rPr>
                <w:rFonts w:ascii="Arial" w:eastAsia="Times New Roman" w:hAnsi="Arial" w:cs="Arial"/>
                <w:sz w:val="20"/>
                <w:lang w:val="en-US"/>
              </w:rPr>
            </w:pPr>
          </w:p>
        </w:tc>
        <w:tc>
          <w:tcPr>
            <w:tcW w:w="1080" w:type="dxa"/>
            <w:hideMark/>
          </w:tcPr>
          <w:p w14:paraId="6D16746C" w14:textId="77777777" w:rsidR="00DD5D8B" w:rsidRPr="00DC0730" w:rsidRDefault="00DD5D8B" w:rsidP="0045213C">
            <w:pPr>
              <w:rPr>
                <w:rFonts w:ascii="Arial" w:eastAsia="Times New Roman" w:hAnsi="Arial" w:cs="Arial"/>
                <w:sz w:val="20"/>
                <w:lang w:val="en-US"/>
              </w:rPr>
            </w:pPr>
            <w:r w:rsidRPr="00DC0730">
              <w:rPr>
                <w:rFonts w:ascii="Arial" w:eastAsia="Times New Roman" w:hAnsi="Arial" w:cs="Arial"/>
                <w:sz w:val="20"/>
                <w:lang w:val="en-US"/>
              </w:rPr>
              <w:t>9</w:t>
            </w:r>
          </w:p>
        </w:tc>
        <w:tc>
          <w:tcPr>
            <w:tcW w:w="3600" w:type="dxa"/>
            <w:hideMark/>
          </w:tcPr>
          <w:p w14:paraId="117D4C79" w14:textId="77777777" w:rsidR="00DD5D8B" w:rsidRPr="00DC0730" w:rsidRDefault="00DD5D8B" w:rsidP="0045213C">
            <w:pPr>
              <w:rPr>
                <w:rFonts w:ascii="Arial" w:eastAsia="Times New Roman" w:hAnsi="Arial" w:cs="Arial"/>
                <w:sz w:val="20"/>
                <w:lang w:val="en-US"/>
              </w:rPr>
            </w:pPr>
            <w:r w:rsidRPr="00DC0730">
              <w:rPr>
                <w:rFonts w:ascii="Arial" w:eastAsia="Times New Roman" w:hAnsi="Arial" w:cs="Arial"/>
                <w:sz w:val="20"/>
                <w:lang w:val="en-US"/>
              </w:rPr>
              <w:t>It is reasonable to expect people reading the 802.11 specification to be capable of understanding the concept "minus 1" without needing further details</w:t>
            </w:r>
          </w:p>
        </w:tc>
        <w:tc>
          <w:tcPr>
            <w:tcW w:w="3600" w:type="dxa"/>
            <w:hideMark/>
          </w:tcPr>
          <w:p w14:paraId="0EEB7B2D" w14:textId="77777777" w:rsidR="00DD5D8B" w:rsidRPr="00DC0730" w:rsidRDefault="00DD5D8B" w:rsidP="0045213C">
            <w:pPr>
              <w:rPr>
                <w:rFonts w:ascii="Arial" w:eastAsia="Times New Roman" w:hAnsi="Arial" w:cs="Arial"/>
                <w:sz w:val="20"/>
                <w:lang w:val="en-US"/>
              </w:rPr>
            </w:pPr>
            <w:r w:rsidRPr="00DC0730">
              <w:rPr>
                <w:rFonts w:ascii="Arial" w:eastAsia="Times New Roman" w:hAnsi="Arial" w:cs="Arial"/>
                <w:sz w:val="20"/>
                <w:lang w:val="en-US"/>
              </w:rPr>
              <w:t>In Table 9-31 replace ":</w:t>
            </w:r>
            <w:r w:rsidRPr="00DC0730">
              <w:rPr>
                <w:rFonts w:ascii="Arial" w:eastAsia="Times New Roman" w:hAnsi="Arial" w:cs="Arial"/>
                <w:sz w:val="20"/>
                <w:lang w:val="en-US"/>
              </w:rPr>
              <w:br/>
              <w:t>Set to 0 to request Nc = 1</w:t>
            </w:r>
            <w:r w:rsidRPr="00DC0730">
              <w:rPr>
                <w:rFonts w:ascii="Arial" w:eastAsia="Times New Roman" w:hAnsi="Arial" w:cs="Arial"/>
                <w:sz w:val="20"/>
                <w:lang w:val="en-US"/>
              </w:rPr>
              <w:br/>
              <w:t>Set to 1 to request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to request Nc = 8" with ".".</w:t>
            </w:r>
            <w:r w:rsidRPr="00DC0730">
              <w:rPr>
                <w:rFonts w:ascii="Arial" w:eastAsia="Times New Roman" w:hAnsi="Arial" w:cs="Arial"/>
                <w:sz w:val="20"/>
                <w:lang w:val="en-US"/>
              </w:rPr>
              <w:br/>
              <w:t>In Table 9-72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Nc = 8" with "." and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Nr = 8" with ".".</w:t>
            </w:r>
            <w:r w:rsidRPr="00DC0730">
              <w:rPr>
                <w:rFonts w:ascii="Arial" w:eastAsia="Times New Roman" w:hAnsi="Arial" w:cs="Arial"/>
                <w:sz w:val="20"/>
                <w:lang w:val="en-US"/>
              </w:rPr>
              <w:br/>
              <w:t>In Table 9-87 and Table 9-57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Set to 2 for Nc = 3</w:t>
            </w:r>
            <w:r w:rsidRPr="00DC0730">
              <w:rPr>
                <w:rFonts w:ascii="Arial" w:eastAsia="Times New Roman" w:hAnsi="Arial" w:cs="Arial"/>
                <w:sz w:val="20"/>
                <w:lang w:val="en-US"/>
              </w:rPr>
              <w:br/>
              <w:t>Set to 3 for Nc = 4" with "." and ":</w:t>
            </w:r>
            <w:r w:rsidRPr="00DC0730">
              <w:rPr>
                <w:rFonts w:ascii="Arial" w:eastAsia="Times New Roman" w:hAnsi="Arial" w:cs="Arial"/>
                <w:sz w:val="20"/>
                <w:lang w:val="en-US"/>
              </w:rPr>
              <w:br/>
              <w:t>Set to 0 for Nr = 1</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Table 9-57 replace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9.3.4.2 delete " For example, when the number of SSW</w:t>
            </w:r>
            <w:r w:rsidRPr="00DC0730">
              <w:rPr>
                <w:rFonts w:ascii="Arial" w:eastAsia="Times New Roman" w:hAnsi="Arial" w:cs="Arial"/>
                <w:sz w:val="20"/>
                <w:lang w:val="en-US"/>
              </w:rPr>
              <w:br/>
              <w:t xml:space="preserve">frames allowed per sector sweep is 5, the subfield contains the value 4.".  In 9.4.2.170.2 delete "For example, a value of 0 indicates that one TBTT Information field is included. </w:t>
            </w:r>
            <w:proofErr w:type="gramStart"/>
            <w:r w:rsidRPr="00DC0730">
              <w:rPr>
                <w:rFonts w:ascii="Arial" w:eastAsia="Times New Roman" w:hAnsi="Arial" w:cs="Arial"/>
                <w:sz w:val="20"/>
                <w:lang w:val="en-US"/>
              </w:rPr>
              <w:t>"  In</w:t>
            </w:r>
            <w:proofErr w:type="gramEnd"/>
            <w:r w:rsidRPr="00DC0730">
              <w:rPr>
                <w:rFonts w:ascii="Arial" w:eastAsia="Times New Roman" w:hAnsi="Arial" w:cs="Arial"/>
                <w:sz w:val="20"/>
                <w:lang w:val="en-US"/>
              </w:rPr>
              <w:t xml:space="preserve"> 9.6.7.36 delete " (the length of the Short SSID in octets minus 1)".  In 9.3.1.8.3 delete "For example, a value of 2 in</w:t>
            </w:r>
            <w:r w:rsidRPr="00DC0730">
              <w:rPr>
                <w:rFonts w:ascii="Arial" w:eastAsia="Times New Roman" w:hAnsi="Arial" w:cs="Arial"/>
                <w:sz w:val="20"/>
                <w:lang w:val="en-US"/>
              </w:rPr>
              <w:br/>
              <w:t>the TID_INFO subfield means that information for three TIDs is present." and change "less one" to "minus one" in the preceding sentence</w:t>
            </w:r>
          </w:p>
        </w:tc>
      </w:tr>
    </w:tbl>
    <w:p w14:paraId="70A2E533" w14:textId="77777777" w:rsidR="00DD5D8B" w:rsidRDefault="00DD5D8B"/>
    <w:p w14:paraId="0F47E0A6" w14:textId="6612E150" w:rsidR="00DD5D8B" w:rsidRDefault="00DD5D8B">
      <w:r>
        <w:rPr>
          <w:u w:val="single"/>
        </w:rPr>
        <w:t>Discussion:</w:t>
      </w:r>
    </w:p>
    <w:p w14:paraId="7D5AA954" w14:textId="1A1EF19B" w:rsidR="00DD5D8B" w:rsidRDefault="00DD5D8B"/>
    <w:p w14:paraId="302784FA" w14:textId="19BED381" w:rsidR="00DD5D8B" w:rsidRDefault="00B407F8">
      <w:r>
        <w:t>From Table 9-31 in 9.3.1.19:</w:t>
      </w:r>
    </w:p>
    <w:p w14:paraId="48C4C00C" w14:textId="0F5B5208" w:rsidR="00B407F8" w:rsidRDefault="00B407F8">
      <w:r>
        <w:rPr>
          <w:noProof/>
        </w:rPr>
        <w:lastRenderedPageBreak/>
        <w:drawing>
          <wp:inline distT="0" distB="0" distL="0" distR="0" wp14:anchorId="45C980EA" wp14:editId="64DF90CD">
            <wp:extent cx="6400800" cy="1340485"/>
            <wp:effectExtent l="57150" t="57150" r="171450" b="1073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3404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39D8A3D" w14:textId="39025CAB" w:rsidR="00487832" w:rsidRPr="00C165C5" w:rsidRDefault="00FA4DD5">
      <w:r w:rsidRPr="00C165C5">
        <w:t>The above example</w:t>
      </w:r>
      <w:r w:rsidR="0045213C" w:rsidRPr="00C165C5">
        <w:t xml:space="preserve"> appears to agree with the comment, assuming the text is sufficiently clear about what the “minus 1” is subtracted from, then the list of examples is not needed.  However, the sentence leading up to the “minus 1” is a bit confusing, and could be hard to parse, especially for non-native speakers.</w:t>
      </w:r>
    </w:p>
    <w:p w14:paraId="11EDA4A3" w14:textId="64D1B4D7" w:rsidR="0045213C" w:rsidRPr="00C165C5" w:rsidRDefault="0045213C"/>
    <w:p w14:paraId="5C137BB6" w14:textId="28504DDA" w:rsidR="0045213C" w:rsidRPr="00C165C5" w:rsidRDefault="0045213C">
      <w:r w:rsidRPr="00C165C5">
        <w:t xml:space="preserve">Recommend </w:t>
      </w:r>
      <w:r w:rsidR="00FA4DD5" w:rsidRPr="00C165C5">
        <w:t>re-wording:</w:t>
      </w:r>
    </w:p>
    <w:p w14:paraId="2BC76682" w14:textId="305E69A6" w:rsidR="00FA4DD5" w:rsidRPr="00C165C5" w:rsidRDefault="00FA4DD5" w:rsidP="00FA4DD5">
      <w:pPr>
        <w:ind w:left="720"/>
      </w:pPr>
      <w:r w:rsidRPr="00C165C5">
        <w:rPr>
          <w:rFonts w:ascii="TimesNewRomanPSMT" w:eastAsia="TimesNewRomanPSMT" w:cs="TimesNewRomanPSMT"/>
          <w:sz w:val="18"/>
          <w:szCs w:val="18"/>
          <w:lang w:val="en-US" w:eastAsia="ja-JP"/>
        </w:rPr>
        <w:t>“</w:t>
      </w:r>
      <w:r w:rsidRPr="00C165C5">
        <w:rPr>
          <w:rFonts w:ascii="TimesNewRomanPSMT" w:eastAsia="TimesNewRomanPSMT" w:cs="TimesNewRomanPSMT"/>
          <w:sz w:val="18"/>
          <w:szCs w:val="18"/>
          <w:lang w:val="en-US" w:eastAsia="ja-JP"/>
        </w:rPr>
        <w:t xml:space="preserve">If the Feedback Type field indicates MU, then Nc Index indicates the number of columns </w:t>
      </w:r>
      <w:r w:rsidRPr="00C165C5">
        <w:rPr>
          <w:rFonts w:ascii="TimesNewRomanPSMT" w:eastAsia="TimesNewRomanPSMT" w:cs="TimesNewRomanPSMT"/>
          <w:sz w:val="18"/>
          <w:szCs w:val="18"/>
          <w:u w:val="single"/>
          <w:lang w:val="en-US" w:eastAsia="ja-JP"/>
        </w:rPr>
        <w:t>minus 1</w:t>
      </w:r>
      <w:r w:rsidRPr="00C165C5">
        <w:rPr>
          <w:rFonts w:ascii="TimesNewRomanPSMT" w:eastAsia="TimesNewRomanPSMT" w:cs="TimesNewRomanPSMT"/>
          <w:sz w:val="18"/>
          <w:szCs w:val="18"/>
          <w:lang w:val="en-US" w:eastAsia="ja-JP"/>
        </w:rPr>
        <w:t xml:space="preserve">, </w:t>
      </w:r>
      <w:r w:rsidRPr="00C165C5">
        <w:rPr>
          <w:rFonts w:ascii="TimesNewRomanPSMT" w:eastAsia="TimesNewRomanPSMT" w:cs="TimesNewRomanPSMT"/>
          <w:sz w:val="18"/>
          <w:szCs w:val="18"/>
          <w:u w:val="single"/>
          <w:lang w:val="en-US" w:eastAsia="ja-JP"/>
        </w:rPr>
        <w:t>(</w:t>
      </w:r>
      <w:r w:rsidRPr="00C165C5">
        <w:rPr>
          <w:rFonts w:ascii="TimesNewRomanPS-ItalicMT" w:eastAsia="TimesNewRomanPSMT" w:hAnsi="TimesNewRomanPS-ItalicMT" w:cs="TimesNewRomanPS-ItalicMT"/>
          <w:i/>
          <w:iCs/>
          <w:sz w:val="18"/>
          <w:szCs w:val="18"/>
          <w:lang w:val="en-US" w:eastAsia="ja-JP"/>
        </w:rPr>
        <w:t>Nc</w:t>
      </w:r>
      <w:r w:rsidRPr="00C165C5">
        <w:rPr>
          <w:rFonts w:ascii="TimesNewRomanPS-ItalicMT" w:eastAsia="TimesNewRomanPSMT" w:hAnsi="TimesNewRomanPS-ItalicMT" w:cs="TimesNewRomanPS-ItalicMT"/>
          <w:i/>
          <w:iCs/>
          <w:sz w:val="18"/>
          <w:szCs w:val="18"/>
          <w:u w:val="single"/>
          <w:lang w:val="en-US" w:eastAsia="ja-JP"/>
        </w:rPr>
        <w:t>-1)</w:t>
      </w:r>
      <w:r w:rsidRPr="00C165C5">
        <w:rPr>
          <w:rFonts w:ascii="TimesNewRomanPSMT" w:eastAsia="TimesNewRomanPSMT" w:cs="TimesNewRomanPSMT"/>
          <w:sz w:val="18"/>
          <w:szCs w:val="18"/>
          <w:lang w:val="en-US" w:eastAsia="ja-JP"/>
        </w:rPr>
        <w:t>, in the Compressed Beamforming Feedback Matrix subfield:</w:t>
      </w:r>
      <w:r w:rsidRPr="00C165C5">
        <w:rPr>
          <w:rFonts w:ascii="TimesNewRomanPSMT" w:eastAsia="TimesNewRomanPSMT" w:cs="TimesNewRomanPSMT"/>
          <w:sz w:val="18"/>
          <w:szCs w:val="18"/>
          <w:lang w:val="en-US" w:eastAsia="ja-JP"/>
        </w:rPr>
        <w:t>”</w:t>
      </w:r>
    </w:p>
    <w:p w14:paraId="13974C3D" w14:textId="587B5ADB" w:rsidR="009B1341" w:rsidRPr="00C165C5" w:rsidRDefault="00FA4DD5">
      <w:r w:rsidRPr="00C165C5">
        <w:t>and removing the “examples”.</w:t>
      </w:r>
    </w:p>
    <w:p w14:paraId="17027596" w14:textId="77777777" w:rsidR="0045213C" w:rsidRPr="00C165C5" w:rsidRDefault="0045213C"/>
    <w:p w14:paraId="776F56B2" w14:textId="4DDAA96C" w:rsidR="009B1341" w:rsidRDefault="009B1341">
      <w:r w:rsidRPr="00C165C5">
        <w:t>In Tables 9-72, 9-87 and 9-57, the Nc Index and Nr Index Descriptions are similar</w:t>
      </w:r>
      <w:r w:rsidR="0045213C" w:rsidRPr="00C165C5">
        <w:t xml:space="preserve"> but much simpler (no complex sentence leading into the “minus 1”)</w:t>
      </w:r>
      <w:r w:rsidRPr="00C165C5">
        <w:t>, except that in Table 9-57 for Nr, there is no row for “Set to 0” and instead</w:t>
      </w:r>
      <w:r>
        <w:t xml:space="preserve"> there is a statement that “The value 0 is reserved.”:</w:t>
      </w:r>
    </w:p>
    <w:p w14:paraId="3A8676AA" w14:textId="5465AC45" w:rsidR="009B1341" w:rsidRDefault="009B1341">
      <w:r>
        <w:rPr>
          <w:noProof/>
        </w:rPr>
        <w:drawing>
          <wp:inline distT="0" distB="0" distL="0" distR="0" wp14:anchorId="0CE58ABF" wp14:editId="1AD37E4F">
            <wp:extent cx="6395085" cy="948055"/>
            <wp:effectExtent l="57150" t="57150" r="177165" b="1187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508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B8EB66C" w14:textId="1753BCB2" w:rsidR="0045213C" w:rsidRDefault="0045213C">
      <w:r w:rsidRPr="00C165C5">
        <w:t xml:space="preserve">In these cases, it seems fine to remove the examples, </w:t>
      </w:r>
      <w:proofErr w:type="gramStart"/>
      <w:r w:rsidRPr="00C165C5">
        <w:t>as long as</w:t>
      </w:r>
      <w:proofErr w:type="gramEnd"/>
      <w:r w:rsidRPr="00C165C5">
        <w:t xml:space="preserve"> </w:t>
      </w:r>
      <w:r w:rsidR="001768A2" w:rsidRPr="00C165C5">
        <w:t>the exception</w:t>
      </w:r>
      <w:r w:rsidRPr="00C165C5">
        <w:t xml:space="preserve"> line is retained.</w:t>
      </w:r>
    </w:p>
    <w:p w14:paraId="6C3FEB3C" w14:textId="6B3040C0" w:rsidR="0045213C" w:rsidRDefault="0045213C"/>
    <w:p w14:paraId="3530EB94" w14:textId="77777777" w:rsidR="0045213C" w:rsidRDefault="0045213C"/>
    <w:p w14:paraId="5EC8B540" w14:textId="21820F7F" w:rsidR="009B1341" w:rsidRDefault="00487832">
      <w:r>
        <w:t>In 9.3.4.2, the cited text is:</w:t>
      </w:r>
    </w:p>
    <w:p w14:paraId="1599349C" w14:textId="26143040" w:rsidR="00487832" w:rsidRDefault="00487832">
      <w:r>
        <w:rPr>
          <w:noProof/>
        </w:rPr>
        <w:drawing>
          <wp:inline distT="0" distB="0" distL="0" distR="0" wp14:anchorId="6691D06C" wp14:editId="7AC4831C">
            <wp:extent cx="6400800" cy="605790"/>
            <wp:effectExtent l="57150" t="57150" r="171450" b="1181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F8BC8BC" w14:textId="50D42EF2" w:rsidR="0045213C" w:rsidRDefault="0045213C">
      <w:r>
        <w:t>Here, again, the placement of the “minus one” is a little confusing, since it could be attempted to apply it to the “per sector sweep slot”.  Recommend keeping the example here.</w:t>
      </w:r>
    </w:p>
    <w:p w14:paraId="239F2A03" w14:textId="2C1B7741" w:rsidR="0045213C" w:rsidRDefault="0045213C"/>
    <w:p w14:paraId="34BABB00" w14:textId="77777777" w:rsidR="0045213C" w:rsidRDefault="0045213C"/>
    <w:p w14:paraId="315875C3" w14:textId="6025DB10" w:rsidR="00487832" w:rsidRDefault="00487832">
      <w:r>
        <w:t>In 9.4.2.170.2, the cited text is:</w:t>
      </w:r>
    </w:p>
    <w:p w14:paraId="2751EFFF" w14:textId="7719CF41" w:rsidR="00487832" w:rsidRDefault="00487832">
      <w:r>
        <w:rPr>
          <w:noProof/>
        </w:rPr>
        <w:drawing>
          <wp:inline distT="0" distB="0" distL="0" distR="0" wp14:anchorId="231D9DCA" wp14:editId="3EEDE8C0">
            <wp:extent cx="6400800" cy="594360"/>
            <wp:effectExtent l="57150" t="57150" r="171450" b="1104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5943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430EC8C" w14:textId="0BFEB1FE" w:rsidR="0045213C" w:rsidRDefault="0045213C">
      <w:r>
        <w:t>In this case, the comma saves it.  Okay to remove the example.</w:t>
      </w:r>
    </w:p>
    <w:p w14:paraId="255319F2" w14:textId="00172FE9" w:rsidR="0045213C" w:rsidRDefault="0045213C"/>
    <w:p w14:paraId="1495ACB4" w14:textId="77777777" w:rsidR="0045213C" w:rsidRDefault="0045213C"/>
    <w:p w14:paraId="03B0695C" w14:textId="445286A5" w:rsidR="00487832" w:rsidRDefault="00487832">
      <w:r>
        <w:t>In 9.6.7.36, the cited text is:</w:t>
      </w:r>
    </w:p>
    <w:p w14:paraId="2D04406F" w14:textId="44FF17F1" w:rsidR="00487832" w:rsidRDefault="00487832">
      <w:r>
        <w:rPr>
          <w:noProof/>
        </w:rPr>
        <w:lastRenderedPageBreak/>
        <w:drawing>
          <wp:inline distT="0" distB="0" distL="0" distR="0" wp14:anchorId="7BAB5222" wp14:editId="56D34BFA">
            <wp:extent cx="6400800" cy="774065"/>
            <wp:effectExtent l="57150" t="57150" r="171450" b="1212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9465B03" w14:textId="5AAAAD81" w:rsidR="0045213C" w:rsidRDefault="0045213C">
      <w:r>
        <w:t xml:space="preserve">This example, just on the face of it, is confusing.  Clearly, the situation is confusing.  Recommend keeping the example to help </w:t>
      </w:r>
      <w:r w:rsidR="00EB1151">
        <w:t>the reader confirm they understand the interrelationship of these fields.</w:t>
      </w:r>
    </w:p>
    <w:p w14:paraId="7F1CA2D0" w14:textId="089EFEE0" w:rsidR="0045213C" w:rsidRDefault="0045213C"/>
    <w:p w14:paraId="56A48DD9" w14:textId="77777777" w:rsidR="0045213C" w:rsidRDefault="0045213C"/>
    <w:p w14:paraId="6983E355" w14:textId="244893D0" w:rsidR="00487832" w:rsidRDefault="00487832">
      <w:r>
        <w:t>And, finally, in 9.3.1.8.3, the cited text is:</w:t>
      </w:r>
    </w:p>
    <w:p w14:paraId="33BC7498" w14:textId="60CF065A" w:rsidR="00487832" w:rsidRDefault="00487832">
      <w:r>
        <w:rPr>
          <w:noProof/>
        </w:rPr>
        <w:drawing>
          <wp:inline distT="0" distB="0" distL="0" distR="0" wp14:anchorId="6E4AC348" wp14:editId="5A399086">
            <wp:extent cx="6400800" cy="548640"/>
            <wp:effectExtent l="57150" t="57150" r="171450" b="1181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5486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339865" w14:textId="2E302C9D" w:rsidR="00EB1151" w:rsidRDefault="00EB1151">
      <w:r w:rsidRPr="00C165C5">
        <w:t>This case is straightforward.  Recommend deleting the example.</w:t>
      </w:r>
      <w:r w:rsidR="001768A2" w:rsidRPr="00C165C5">
        <w:t xml:space="preserve">  Agree with changing “less one” to “minus one”.</w:t>
      </w:r>
    </w:p>
    <w:p w14:paraId="6C59A0D5" w14:textId="2010D14A" w:rsidR="009B1341" w:rsidRDefault="009B1341"/>
    <w:p w14:paraId="4039D255" w14:textId="386FADCB" w:rsidR="00EB1151" w:rsidRPr="003F4B0A" w:rsidRDefault="00EB1151">
      <w:pPr>
        <w:rPr>
          <w:u w:val="single"/>
        </w:rPr>
      </w:pPr>
      <w:r w:rsidRPr="003F4B0A">
        <w:rPr>
          <w:highlight w:val="yellow"/>
          <w:u w:val="single"/>
        </w:rPr>
        <w:t>Proposed Resolution:</w:t>
      </w:r>
    </w:p>
    <w:p w14:paraId="2F6B1D63" w14:textId="3B53343C" w:rsidR="00EB1151" w:rsidRDefault="00EB1151"/>
    <w:p w14:paraId="0207B067" w14:textId="6FA75B5F" w:rsidR="00EB1151" w:rsidRDefault="00EB1151">
      <w:r>
        <w:t>Revised.</w:t>
      </w:r>
    </w:p>
    <w:p w14:paraId="0269322B" w14:textId="0F595682" w:rsidR="00EB1151" w:rsidRDefault="00EB1151"/>
    <w:p w14:paraId="71586F9F" w14:textId="439EE21E" w:rsidR="00FA4DD5" w:rsidRDefault="00FA4DD5">
      <w:pPr>
        <w:rPr>
          <w:szCs w:val="22"/>
        </w:rPr>
      </w:pPr>
      <w:r w:rsidRPr="00FA4DD5">
        <w:rPr>
          <w:szCs w:val="22"/>
        </w:rPr>
        <w:t xml:space="preserve">In Table </w:t>
      </w:r>
      <w:r>
        <w:rPr>
          <w:szCs w:val="22"/>
        </w:rPr>
        <w:t>9-31, replace</w:t>
      </w:r>
    </w:p>
    <w:p w14:paraId="41555FB5" w14:textId="7892C4B2" w:rsidR="00FA4DD5" w:rsidRDefault="00FA4DD5" w:rsidP="00FA4DD5">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2B02AAEC" w14:textId="46F0D9BD" w:rsidR="00FA4DD5" w:rsidRDefault="00FA4DD5">
      <w:pPr>
        <w:rPr>
          <w:szCs w:val="22"/>
        </w:rPr>
      </w:pPr>
      <w:r>
        <w:rPr>
          <w:szCs w:val="22"/>
        </w:rPr>
        <w:t>with</w:t>
      </w:r>
    </w:p>
    <w:p w14:paraId="4EEC8D59" w14:textId="5DADFE54" w:rsidR="00FA4DD5" w:rsidRDefault="00FA4DD5" w:rsidP="00FA4DD5">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0788EC04" w14:textId="2B6B6E86" w:rsidR="00FA4DD5" w:rsidRPr="00EB3086" w:rsidRDefault="00FA4DD5">
      <w:pPr>
        <w:rPr>
          <w:szCs w:val="22"/>
        </w:rPr>
      </w:pPr>
      <w:r w:rsidRPr="00EB3086">
        <w:rPr>
          <w:szCs w:val="22"/>
        </w:rPr>
        <w:t>and replace</w:t>
      </w:r>
    </w:p>
    <w:p w14:paraId="65BD66B2" w14:textId="0FC786BA" w:rsidR="00FA4DD5" w:rsidRPr="00EB3086" w:rsidRDefault="00FA4DD5" w:rsidP="00FA4DD5">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2BAFBBE2" w14:textId="77777777" w:rsidR="00FA4DD5" w:rsidRPr="00EB3086" w:rsidRDefault="00FA4DD5">
      <w:pPr>
        <w:rPr>
          <w:rFonts w:eastAsia="Times New Roman"/>
          <w:szCs w:val="22"/>
          <w:lang w:val="en-US"/>
        </w:rPr>
      </w:pPr>
      <w:r w:rsidRPr="00EB3086">
        <w:rPr>
          <w:rFonts w:eastAsia="Times New Roman"/>
          <w:szCs w:val="22"/>
          <w:lang w:val="en-US"/>
        </w:rPr>
        <w:t xml:space="preserve">with </w:t>
      </w:r>
    </w:p>
    <w:p w14:paraId="72E96BF6" w14:textId="78C8FC6B" w:rsidR="00FA4DD5" w:rsidRDefault="00FA4DD5" w:rsidP="00FA4DD5">
      <w:pPr>
        <w:ind w:left="720"/>
        <w:rPr>
          <w:rFonts w:eastAsia="Times New Roman"/>
          <w:szCs w:val="22"/>
          <w:lang w:val="en-US"/>
        </w:rPr>
      </w:pPr>
      <w:r w:rsidRPr="00EB3086">
        <w:rPr>
          <w:rFonts w:eastAsia="Times New Roman"/>
          <w:szCs w:val="22"/>
          <w:lang w:val="en-US"/>
        </w:rPr>
        <w:t>".".</w:t>
      </w:r>
    </w:p>
    <w:p w14:paraId="51888E08" w14:textId="7EBD97CD" w:rsidR="00DE19AF" w:rsidRDefault="00DE19AF" w:rsidP="00FA4DD5">
      <w:pPr>
        <w:ind w:left="720"/>
        <w:rPr>
          <w:szCs w:val="22"/>
        </w:rPr>
      </w:pPr>
    </w:p>
    <w:p w14:paraId="4A759DF1" w14:textId="6D8979C8" w:rsidR="00DE19AF" w:rsidRPr="00EB3086" w:rsidRDefault="00DE19AF" w:rsidP="00DE19AF">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44E90229" w14:textId="77777777" w:rsidR="00FA4DD5" w:rsidRPr="00EB3086" w:rsidRDefault="00FA4DD5">
      <w:pPr>
        <w:rPr>
          <w:szCs w:val="22"/>
        </w:rPr>
      </w:pPr>
    </w:p>
    <w:p w14:paraId="2EC309FF" w14:textId="77777777" w:rsidR="00EB1151" w:rsidRPr="00FA4DD5" w:rsidRDefault="00EB1151">
      <w:pPr>
        <w:rPr>
          <w:rFonts w:eastAsia="Times New Roman"/>
          <w:szCs w:val="22"/>
          <w:lang w:val="en-US"/>
        </w:rPr>
      </w:pPr>
      <w:r w:rsidRPr="00FA4DD5">
        <w:rPr>
          <w:rFonts w:eastAsia="Times New Roman"/>
          <w:szCs w:val="22"/>
          <w:lang w:val="en-US"/>
        </w:rPr>
        <w:t xml:space="preserve">In Table 9-72 replace </w:t>
      </w:r>
    </w:p>
    <w:p w14:paraId="06448505" w14:textId="5F252119" w:rsidR="00EB1151" w:rsidRPr="00FA4DD5" w:rsidRDefault="00EB1151" w:rsidP="00EB1151">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2ADC44FD" w14:textId="77777777" w:rsidR="00EB1151" w:rsidRPr="00FA4DD5" w:rsidRDefault="00EB1151">
      <w:pPr>
        <w:rPr>
          <w:rFonts w:eastAsia="Times New Roman"/>
          <w:szCs w:val="22"/>
          <w:lang w:val="en-US"/>
        </w:rPr>
      </w:pPr>
      <w:r w:rsidRPr="00FA4DD5">
        <w:rPr>
          <w:rFonts w:eastAsia="Times New Roman"/>
          <w:szCs w:val="22"/>
          <w:lang w:val="en-US"/>
        </w:rPr>
        <w:t xml:space="preserve">with </w:t>
      </w:r>
    </w:p>
    <w:p w14:paraId="247922D4" w14:textId="77777777" w:rsidR="00EB1151" w:rsidRPr="00FA4DD5" w:rsidRDefault="00EB1151" w:rsidP="00EB1151">
      <w:pPr>
        <w:ind w:left="720"/>
        <w:rPr>
          <w:rFonts w:eastAsia="Times New Roman"/>
          <w:szCs w:val="22"/>
          <w:lang w:val="en-US"/>
        </w:rPr>
      </w:pPr>
      <w:r w:rsidRPr="00FA4DD5">
        <w:rPr>
          <w:rFonts w:eastAsia="Times New Roman"/>
          <w:szCs w:val="22"/>
          <w:lang w:val="en-US"/>
        </w:rPr>
        <w:t xml:space="preserve">"." </w:t>
      </w:r>
    </w:p>
    <w:p w14:paraId="6DE9DCC5" w14:textId="77777777" w:rsidR="00EB1151" w:rsidRPr="00FA4DD5" w:rsidRDefault="00EB1151">
      <w:pPr>
        <w:rPr>
          <w:rFonts w:eastAsia="Times New Roman"/>
          <w:szCs w:val="22"/>
          <w:lang w:val="en-US"/>
        </w:rPr>
      </w:pPr>
      <w:r w:rsidRPr="00FA4DD5">
        <w:rPr>
          <w:rFonts w:eastAsia="Times New Roman"/>
          <w:szCs w:val="22"/>
          <w:lang w:val="en-US"/>
        </w:rPr>
        <w:t xml:space="preserve">and replace </w:t>
      </w:r>
    </w:p>
    <w:p w14:paraId="6119A7AD"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7FD9A110" w14:textId="77777777" w:rsidR="00EB1151" w:rsidRPr="00FA4DD5" w:rsidRDefault="00EB1151">
      <w:pPr>
        <w:rPr>
          <w:rFonts w:eastAsia="Times New Roman"/>
          <w:szCs w:val="22"/>
          <w:lang w:val="en-US"/>
        </w:rPr>
      </w:pPr>
      <w:r w:rsidRPr="00FA4DD5">
        <w:rPr>
          <w:rFonts w:eastAsia="Times New Roman"/>
          <w:szCs w:val="22"/>
          <w:lang w:val="en-US"/>
        </w:rPr>
        <w:t xml:space="preserve">with </w:t>
      </w:r>
    </w:p>
    <w:p w14:paraId="5266B31D"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p>
    <w:p w14:paraId="5390AA0B" w14:textId="77777777" w:rsidR="00EB1151" w:rsidRPr="00FA4DD5" w:rsidRDefault="00EB1151">
      <w:pPr>
        <w:rPr>
          <w:rFonts w:eastAsia="Times New Roman"/>
          <w:szCs w:val="22"/>
          <w:lang w:val="en-US"/>
        </w:rPr>
      </w:pPr>
    </w:p>
    <w:p w14:paraId="5579AAE3" w14:textId="77777777" w:rsidR="00EB1151" w:rsidRPr="00FA4DD5" w:rsidRDefault="00EB1151">
      <w:pPr>
        <w:rPr>
          <w:rFonts w:eastAsia="Times New Roman"/>
          <w:szCs w:val="22"/>
          <w:lang w:val="en-US"/>
        </w:rPr>
      </w:pPr>
      <w:r w:rsidRPr="00FA4DD5">
        <w:rPr>
          <w:rFonts w:eastAsia="Times New Roman"/>
          <w:szCs w:val="22"/>
          <w:lang w:val="en-US"/>
        </w:rPr>
        <w:t xml:space="preserve">In Table 9-87 and Table 9-57 replace </w:t>
      </w:r>
    </w:p>
    <w:p w14:paraId="3915343A"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694F34E7" w14:textId="77777777" w:rsidR="00EB1151" w:rsidRPr="00FA4DD5" w:rsidRDefault="00EB1151">
      <w:pPr>
        <w:rPr>
          <w:rFonts w:eastAsia="Times New Roman"/>
          <w:szCs w:val="22"/>
          <w:lang w:val="en-US"/>
        </w:rPr>
      </w:pPr>
      <w:r w:rsidRPr="00FA4DD5">
        <w:rPr>
          <w:rFonts w:eastAsia="Times New Roman"/>
          <w:szCs w:val="22"/>
          <w:lang w:val="en-US"/>
        </w:rPr>
        <w:t xml:space="preserve">with </w:t>
      </w:r>
    </w:p>
    <w:p w14:paraId="7C74E9D5" w14:textId="77777777" w:rsidR="00EB1151" w:rsidRPr="00FA4DD5" w:rsidRDefault="00EB1151" w:rsidP="00EB1151">
      <w:pPr>
        <w:ind w:left="720"/>
        <w:rPr>
          <w:rFonts w:eastAsia="Times New Roman"/>
          <w:szCs w:val="22"/>
          <w:lang w:val="en-US"/>
        </w:rPr>
      </w:pPr>
      <w:r w:rsidRPr="00FA4DD5">
        <w:rPr>
          <w:rFonts w:eastAsia="Times New Roman"/>
          <w:szCs w:val="22"/>
          <w:lang w:val="en-US"/>
        </w:rPr>
        <w:t xml:space="preserve">"." </w:t>
      </w:r>
    </w:p>
    <w:p w14:paraId="2FFCA3B4" w14:textId="05B470DA" w:rsidR="00EB1151" w:rsidRPr="00FA4DD5" w:rsidRDefault="00EB1151">
      <w:pPr>
        <w:rPr>
          <w:rFonts w:eastAsia="Times New Roman"/>
          <w:szCs w:val="22"/>
          <w:lang w:val="en-US"/>
        </w:rPr>
      </w:pPr>
      <w:r w:rsidRPr="00FA4DD5">
        <w:rPr>
          <w:rFonts w:eastAsia="Times New Roman"/>
          <w:szCs w:val="22"/>
          <w:lang w:val="en-US"/>
        </w:rPr>
        <w:t xml:space="preserve">and in Table 9-87 only, replace </w:t>
      </w:r>
    </w:p>
    <w:p w14:paraId="2C11AA78"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002063AA" w14:textId="77777777" w:rsidR="00EB1151" w:rsidRPr="00FA4DD5" w:rsidRDefault="00EB1151">
      <w:pPr>
        <w:rPr>
          <w:rFonts w:eastAsia="Times New Roman"/>
          <w:szCs w:val="22"/>
          <w:lang w:val="en-US"/>
        </w:rPr>
      </w:pPr>
      <w:r w:rsidRPr="00FA4DD5">
        <w:rPr>
          <w:rFonts w:eastAsia="Times New Roman"/>
          <w:szCs w:val="22"/>
          <w:lang w:val="en-US"/>
        </w:rPr>
        <w:t xml:space="preserve">with </w:t>
      </w:r>
    </w:p>
    <w:p w14:paraId="01D3873A" w14:textId="53E0A3AA" w:rsidR="00EB1151" w:rsidRPr="00FA4DD5" w:rsidRDefault="00EB1151" w:rsidP="00EB1151">
      <w:pPr>
        <w:ind w:left="720"/>
        <w:rPr>
          <w:rFonts w:eastAsia="Times New Roman"/>
          <w:szCs w:val="22"/>
          <w:lang w:val="en-US"/>
        </w:rPr>
      </w:pPr>
      <w:r w:rsidRPr="00FA4DD5">
        <w:rPr>
          <w:rFonts w:eastAsia="Times New Roman"/>
          <w:szCs w:val="22"/>
          <w:lang w:val="en-US"/>
        </w:rPr>
        <w:t>"."</w:t>
      </w:r>
    </w:p>
    <w:p w14:paraId="750EA804" w14:textId="47CC5038" w:rsidR="00EB1151" w:rsidRPr="00FA4DD5" w:rsidRDefault="00EB1151">
      <w:pPr>
        <w:rPr>
          <w:rFonts w:eastAsia="Times New Roman"/>
          <w:szCs w:val="22"/>
          <w:lang w:val="en-US"/>
        </w:rPr>
      </w:pPr>
      <w:r w:rsidRPr="00FA4DD5">
        <w:rPr>
          <w:rFonts w:eastAsia="Times New Roman"/>
          <w:szCs w:val="22"/>
          <w:lang w:val="en-US"/>
        </w:rPr>
        <w:t>and in Table 9-57 only, replace</w:t>
      </w:r>
    </w:p>
    <w:p w14:paraId="4F45A53B"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6E0EBC7B" w14:textId="77777777" w:rsidR="00EB1151" w:rsidRPr="00FA4DD5" w:rsidRDefault="00EB1151">
      <w:pPr>
        <w:rPr>
          <w:rFonts w:eastAsia="Times New Roman"/>
          <w:szCs w:val="22"/>
          <w:lang w:val="en-US"/>
        </w:rPr>
      </w:pPr>
      <w:r w:rsidRPr="00FA4DD5">
        <w:rPr>
          <w:rFonts w:eastAsia="Times New Roman"/>
          <w:szCs w:val="22"/>
          <w:lang w:val="en-US"/>
        </w:rPr>
        <w:t xml:space="preserve">with </w:t>
      </w:r>
    </w:p>
    <w:p w14:paraId="79955B45"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p>
    <w:p w14:paraId="242ACD96" w14:textId="672D4FDA" w:rsidR="00EB1151" w:rsidRPr="00FA4DD5" w:rsidRDefault="00EB1151" w:rsidP="00EB1151">
      <w:pPr>
        <w:rPr>
          <w:szCs w:val="22"/>
        </w:rPr>
      </w:pPr>
      <w:r w:rsidRPr="00FA4DD5">
        <w:rPr>
          <w:szCs w:val="22"/>
        </w:rPr>
        <w:t xml:space="preserve">[ Note to Editor, </w:t>
      </w:r>
      <w:r w:rsidR="00470699" w:rsidRPr="00FA4DD5">
        <w:rPr>
          <w:szCs w:val="22"/>
        </w:rPr>
        <w:t xml:space="preserve">in Table 9-57, “Nr Index” row, </w:t>
      </w:r>
      <w:r w:rsidRPr="00FA4DD5">
        <w:rPr>
          <w:szCs w:val="22"/>
        </w:rPr>
        <w:t>retain the statement “The value 0 is reserved.</w:t>
      </w:r>
      <w:proofErr w:type="gramStart"/>
      <w:r w:rsidRPr="00FA4DD5">
        <w:rPr>
          <w:szCs w:val="22"/>
        </w:rPr>
        <w:t>” ]</w:t>
      </w:r>
      <w:proofErr w:type="gramEnd"/>
    </w:p>
    <w:p w14:paraId="07D66921" w14:textId="478BD448" w:rsidR="00EB1151" w:rsidRPr="00FA4DD5" w:rsidRDefault="00EB1151" w:rsidP="00EB1151">
      <w:pPr>
        <w:rPr>
          <w:szCs w:val="22"/>
        </w:rPr>
      </w:pPr>
    </w:p>
    <w:p w14:paraId="5A5B97F6" w14:textId="543BC343" w:rsidR="00EB1151" w:rsidRDefault="003F4B0A" w:rsidP="00EB1151">
      <w:pPr>
        <w:rPr>
          <w:rFonts w:eastAsia="Times New Roman"/>
          <w:szCs w:val="22"/>
          <w:lang w:val="en-US"/>
        </w:rPr>
      </w:pPr>
      <w:r w:rsidRPr="00FA4DD5">
        <w:rPr>
          <w:rFonts w:eastAsia="Times New Roman"/>
          <w:szCs w:val="22"/>
          <w:lang w:val="en-US"/>
        </w:rPr>
        <w:t xml:space="preserve">In </w:t>
      </w:r>
      <w:r w:rsidR="00470699" w:rsidRPr="00FA4DD5">
        <w:rPr>
          <w:rFonts w:eastAsia="Times New Roman"/>
          <w:szCs w:val="22"/>
          <w:lang w:val="en-US"/>
        </w:rPr>
        <w:t>9.4.2.170.2 delete "For example, a value of 0 indicates that one TBTT Information field is included. "</w:t>
      </w:r>
    </w:p>
    <w:p w14:paraId="13BEB304" w14:textId="15E6537B" w:rsidR="001768A2" w:rsidRPr="001768A2" w:rsidRDefault="001768A2" w:rsidP="00EB1151">
      <w:pPr>
        <w:rPr>
          <w:rFonts w:eastAsia="Times New Roman"/>
          <w:szCs w:val="22"/>
          <w:lang w:val="en-US"/>
        </w:rPr>
      </w:pPr>
    </w:p>
    <w:p w14:paraId="401D63E9" w14:textId="34BB6C4B" w:rsidR="001768A2" w:rsidRPr="00BD40C4" w:rsidRDefault="001768A2" w:rsidP="00EB1151">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1536435A" w14:textId="5DC29FD2" w:rsidR="008921D2" w:rsidRDefault="008921D2" w:rsidP="00EB1151">
      <w:pPr>
        <w:rPr>
          <w:rFonts w:eastAsia="Times New Roman"/>
          <w:szCs w:val="22"/>
          <w:lang w:val="en-US"/>
        </w:rPr>
      </w:pPr>
    </w:p>
    <w:p w14:paraId="0E7A2A1D" w14:textId="4FCA579D" w:rsidR="008921D2" w:rsidRDefault="00BD40C4" w:rsidP="00EB1151">
      <w:pPr>
        <w:rPr>
          <w:rFonts w:eastAsia="Times New Roman"/>
          <w:szCs w:val="22"/>
          <w:highlight w:val="yellow"/>
          <w:lang w:val="en-US"/>
        </w:rPr>
      </w:pPr>
      <w:r>
        <w:rPr>
          <w:rFonts w:eastAsia="Times New Roman"/>
          <w:szCs w:val="22"/>
          <w:highlight w:val="yellow"/>
          <w:lang w:val="en-US"/>
        </w:rPr>
        <w:t>Need to revisit t</w:t>
      </w:r>
      <w:r w:rsidR="008921D2" w:rsidRPr="00BD40C4">
        <w:rPr>
          <w:rFonts w:eastAsia="Times New Roman"/>
          <w:szCs w:val="22"/>
          <w:highlight w:val="yellow"/>
          <w:lang w:val="en-US"/>
        </w:rPr>
        <w:t>he two missing textual context deletions</w:t>
      </w:r>
      <w:r>
        <w:rPr>
          <w:rFonts w:eastAsia="Times New Roman"/>
          <w:szCs w:val="22"/>
          <w:highlight w:val="yellow"/>
          <w:lang w:val="en-US"/>
        </w:rPr>
        <w:t>:</w:t>
      </w:r>
    </w:p>
    <w:p w14:paraId="208FF369" w14:textId="77777777" w:rsidR="00BD40C4" w:rsidRDefault="00BD40C4" w:rsidP="00EB1151">
      <w:pPr>
        <w:rPr>
          <w:rFonts w:eastAsia="Times New Roman"/>
          <w:szCs w:val="22"/>
          <w:highlight w:val="yellow"/>
          <w:lang w:val="en-US"/>
        </w:rPr>
      </w:pPr>
    </w:p>
    <w:p w14:paraId="71A0FDF6" w14:textId="77777777" w:rsidR="00BD40C4" w:rsidRDefault="00BD40C4" w:rsidP="00BD40C4">
      <w:r>
        <w:t>In 9.3.4.2, the cited text is:</w:t>
      </w:r>
    </w:p>
    <w:p w14:paraId="483BCB5D" w14:textId="77777777" w:rsidR="00BD40C4" w:rsidRDefault="00BD40C4" w:rsidP="00BD40C4">
      <w:r>
        <w:rPr>
          <w:noProof/>
        </w:rPr>
        <w:drawing>
          <wp:inline distT="0" distB="0" distL="0" distR="0" wp14:anchorId="4253898E" wp14:editId="19D0D45F">
            <wp:extent cx="6400800" cy="605790"/>
            <wp:effectExtent l="57150" t="57150" r="171450" b="1181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8F59882" w14:textId="77777777" w:rsidR="00BD40C4" w:rsidRDefault="00BD40C4" w:rsidP="00BD40C4">
      <w:r>
        <w:t>Here, again, the placement of the “minus one” is a little confusing, since it could be attempted to apply it to the “per sector sweep slot”.  Recommend keeping the example here.</w:t>
      </w:r>
    </w:p>
    <w:p w14:paraId="40E89861" w14:textId="77777777" w:rsidR="00BD40C4" w:rsidRDefault="00BD40C4" w:rsidP="00BD40C4"/>
    <w:p w14:paraId="6438F63A" w14:textId="77777777" w:rsidR="00BD40C4" w:rsidRDefault="00BD40C4" w:rsidP="00BD40C4"/>
    <w:p w14:paraId="784AFE30" w14:textId="77777777" w:rsidR="00BD40C4" w:rsidRDefault="00BD40C4" w:rsidP="00BD40C4">
      <w:r>
        <w:t>In 9.6.7.36, the cited text is:</w:t>
      </w:r>
    </w:p>
    <w:p w14:paraId="70065F96" w14:textId="77777777" w:rsidR="00BD40C4" w:rsidRDefault="00BD40C4" w:rsidP="00BD40C4">
      <w:r>
        <w:rPr>
          <w:noProof/>
        </w:rPr>
        <w:drawing>
          <wp:inline distT="0" distB="0" distL="0" distR="0" wp14:anchorId="784662DC" wp14:editId="3F4B88C2">
            <wp:extent cx="6400800" cy="774065"/>
            <wp:effectExtent l="57150" t="57150" r="171450" b="1212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F8DE9EA" w14:textId="77777777" w:rsidR="00BD40C4" w:rsidRDefault="00BD40C4" w:rsidP="00BD40C4">
      <w:r>
        <w:t>This example, just on the face of it, is confusing.  Clearly, the situation is confusing.  Recommend keeping the example to help the reader confirm they understand the interrelationship of these fields.</w:t>
      </w:r>
    </w:p>
    <w:p w14:paraId="7F44132F" w14:textId="77777777" w:rsidR="00BD40C4" w:rsidRDefault="00BD40C4" w:rsidP="00EB1151">
      <w:pPr>
        <w:rPr>
          <w:rFonts w:eastAsia="Times New Roman"/>
          <w:szCs w:val="22"/>
          <w:highlight w:val="yellow"/>
          <w:lang w:val="en-US"/>
        </w:rPr>
      </w:pPr>
    </w:p>
    <w:p w14:paraId="78E3174B" w14:textId="77777777" w:rsidR="00BD40C4" w:rsidRPr="001768A2" w:rsidRDefault="00BD40C4" w:rsidP="00EB1151">
      <w:pPr>
        <w:rPr>
          <w:rFonts w:eastAsia="Times New Roman"/>
          <w:szCs w:val="22"/>
          <w:lang w:val="en-US"/>
        </w:rPr>
      </w:pPr>
    </w:p>
    <w:p w14:paraId="5052E2BF" w14:textId="77777777" w:rsidR="00263BE5" w:rsidRPr="001768A2" w:rsidRDefault="00DD5D8B">
      <w:pPr>
        <w:rPr>
          <w:rFonts w:eastAsia="Times New Roman"/>
          <w:szCs w:val="22"/>
          <w:lang w:val="en-US"/>
        </w:rPr>
      </w:pPr>
      <w:r w:rsidRPr="001768A2">
        <w:rPr>
          <w:rFonts w:eastAsia="Times New Roman"/>
          <w:szCs w:val="22"/>
          <w:lang w:val="en-US"/>
        </w:rPr>
        <w:lastRenderedPageBreak/>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63BE5" w:rsidRPr="007837C2" w14:paraId="11DCA9E0" w14:textId="77777777" w:rsidTr="000565A0">
        <w:trPr>
          <w:trHeight w:val="524"/>
        </w:trPr>
        <w:tc>
          <w:tcPr>
            <w:tcW w:w="738" w:type="dxa"/>
            <w:hideMark/>
          </w:tcPr>
          <w:p w14:paraId="16D1A1C4" w14:textId="77777777" w:rsidR="00263BE5" w:rsidRPr="007837C2" w:rsidRDefault="00263BE5"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33790A8" w14:textId="77777777" w:rsidR="00263BE5" w:rsidRPr="007837C2" w:rsidRDefault="00263BE5"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5B53635" w14:textId="77777777" w:rsidR="00263BE5" w:rsidRPr="007837C2" w:rsidRDefault="00263BE5"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3ED3313" w14:textId="77777777" w:rsidR="00263BE5" w:rsidRPr="007837C2" w:rsidRDefault="00263BE5"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DCD23A2" w14:textId="77777777" w:rsidR="00263BE5" w:rsidRPr="007837C2" w:rsidRDefault="00263BE5"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63BE5" w:rsidRPr="00DC0730" w14:paraId="155D97CA" w14:textId="77777777" w:rsidTr="000565A0">
        <w:trPr>
          <w:trHeight w:val="2805"/>
        </w:trPr>
        <w:tc>
          <w:tcPr>
            <w:tcW w:w="738" w:type="dxa"/>
          </w:tcPr>
          <w:p w14:paraId="596DB20E" w14:textId="77777777" w:rsidR="00263BE5" w:rsidRPr="00DC0730" w:rsidRDefault="00263BE5" w:rsidP="000565A0">
            <w:pPr>
              <w:jc w:val="right"/>
              <w:rPr>
                <w:rFonts w:ascii="Arial" w:eastAsia="Times New Roman" w:hAnsi="Arial" w:cs="Arial"/>
                <w:sz w:val="20"/>
                <w:lang w:val="en-US"/>
              </w:rPr>
            </w:pPr>
            <w:r>
              <w:rPr>
                <w:rFonts w:ascii="Arial" w:eastAsia="Times New Roman" w:hAnsi="Arial" w:cs="Arial"/>
                <w:sz w:val="20"/>
                <w:lang w:val="en-US"/>
              </w:rPr>
              <w:t>2510</w:t>
            </w:r>
          </w:p>
        </w:tc>
        <w:tc>
          <w:tcPr>
            <w:tcW w:w="990" w:type="dxa"/>
          </w:tcPr>
          <w:p w14:paraId="6054A3B4" w14:textId="77777777" w:rsidR="00263BE5" w:rsidRPr="00DC0730" w:rsidRDefault="00263BE5" w:rsidP="000565A0">
            <w:pPr>
              <w:jc w:val="right"/>
              <w:rPr>
                <w:rFonts w:ascii="Arial" w:eastAsia="Times New Roman" w:hAnsi="Arial" w:cs="Arial"/>
                <w:sz w:val="20"/>
                <w:lang w:val="en-US"/>
              </w:rPr>
            </w:pPr>
            <w:r>
              <w:rPr>
                <w:rFonts w:ascii="Arial" w:eastAsia="Times New Roman" w:hAnsi="Arial" w:cs="Arial"/>
                <w:sz w:val="20"/>
                <w:lang w:val="en-US"/>
              </w:rPr>
              <w:t>1148.04</w:t>
            </w:r>
          </w:p>
        </w:tc>
        <w:tc>
          <w:tcPr>
            <w:tcW w:w="1080" w:type="dxa"/>
          </w:tcPr>
          <w:p w14:paraId="2A192608" w14:textId="77777777" w:rsidR="00263BE5" w:rsidRPr="00DC0730" w:rsidRDefault="00263BE5" w:rsidP="000565A0">
            <w:pPr>
              <w:rPr>
                <w:rFonts w:ascii="Arial" w:eastAsia="Times New Roman" w:hAnsi="Arial" w:cs="Arial"/>
                <w:sz w:val="20"/>
                <w:lang w:val="en-US"/>
              </w:rPr>
            </w:pPr>
            <w:r>
              <w:rPr>
                <w:rFonts w:ascii="Arial" w:eastAsia="Times New Roman" w:hAnsi="Arial" w:cs="Arial"/>
                <w:sz w:val="20"/>
                <w:lang w:val="en-US"/>
              </w:rPr>
              <w:t>9.4.2.47</w:t>
            </w:r>
          </w:p>
        </w:tc>
        <w:tc>
          <w:tcPr>
            <w:tcW w:w="3600" w:type="dxa"/>
          </w:tcPr>
          <w:p w14:paraId="21D4BB21" w14:textId="77777777" w:rsidR="00263BE5" w:rsidRPr="00577046" w:rsidRDefault="00263BE5" w:rsidP="000565A0">
            <w:pPr>
              <w:rPr>
                <w:rFonts w:ascii="Arial" w:eastAsia="Times New Roman" w:hAnsi="Arial" w:cs="Arial"/>
                <w:sz w:val="20"/>
                <w:lang w:val="en-US"/>
              </w:rPr>
            </w:pPr>
            <w:r w:rsidRPr="00577046">
              <w:rPr>
                <w:rFonts w:ascii="Arial" w:eastAsia="Times New Roman" w:hAnsi="Arial" w:cs="Arial"/>
                <w:sz w:val="20"/>
                <w:lang w:val="en-US"/>
              </w:rPr>
              <w:t>"The Wrapped Key field contains the wrapped IGTK being distributed. The length of the resulting AES-Key-wrapped IGTK in the Wrapped Key field is Key Length + 8 octets."  Assuming this wrapping is the wrapping described in 13.8.5 per the description of GTK KDEs above, the second statement is only true of the IGTK is exactly 8 octets long, which even if true now might not be in the future (i.e. spec rot).  Actually, even that's not possible since the wrapping (padding) only occurs "if the key length is less than 16 octets or</w:t>
            </w:r>
          </w:p>
          <w:p w14:paraId="791B99A2" w14:textId="77777777" w:rsidR="00263BE5" w:rsidRPr="00DC0730" w:rsidRDefault="00263BE5" w:rsidP="000565A0">
            <w:pPr>
              <w:rPr>
                <w:rFonts w:ascii="Arial" w:eastAsia="Times New Roman" w:hAnsi="Arial" w:cs="Arial"/>
                <w:sz w:val="20"/>
                <w:lang w:val="en-US"/>
              </w:rPr>
            </w:pPr>
            <w:r w:rsidRPr="00577046">
              <w:rPr>
                <w:rFonts w:ascii="Arial" w:eastAsia="Times New Roman" w:hAnsi="Arial" w:cs="Arial"/>
                <w:sz w:val="20"/>
                <w:lang w:val="en-US"/>
              </w:rPr>
              <w:t>if it is not a multiple of 8", but Figure 9-356/358 suggest the field is at least 24 octets long</w:t>
            </w:r>
          </w:p>
        </w:tc>
        <w:tc>
          <w:tcPr>
            <w:tcW w:w="3600" w:type="dxa"/>
          </w:tcPr>
          <w:p w14:paraId="32E1C1FB" w14:textId="77777777" w:rsidR="00263BE5" w:rsidRPr="00577046" w:rsidRDefault="00263BE5" w:rsidP="000565A0">
            <w:pPr>
              <w:rPr>
                <w:rFonts w:ascii="Arial" w:eastAsia="Times New Roman" w:hAnsi="Arial" w:cs="Arial"/>
                <w:sz w:val="20"/>
                <w:lang w:val="en-US"/>
              </w:rPr>
            </w:pPr>
            <w:r w:rsidRPr="00577046">
              <w:rPr>
                <w:rFonts w:ascii="Arial" w:eastAsia="Times New Roman" w:hAnsi="Arial" w:cs="Arial"/>
                <w:sz w:val="20"/>
                <w:lang w:val="en-US"/>
              </w:rPr>
              <w:t>Change the cited text to just "The Wrapped Key field contains the encrypted IGTK as described in 13.8.5 (FT authentication sequence:</w:t>
            </w:r>
          </w:p>
          <w:p w14:paraId="19DB83D7" w14:textId="77777777" w:rsidR="00263BE5" w:rsidRPr="00DC0730" w:rsidRDefault="00263BE5" w:rsidP="000565A0">
            <w:pPr>
              <w:rPr>
                <w:rFonts w:ascii="Arial" w:eastAsia="Times New Roman" w:hAnsi="Arial" w:cs="Arial"/>
                <w:sz w:val="20"/>
                <w:lang w:val="en-US"/>
              </w:rPr>
            </w:pPr>
            <w:r w:rsidRPr="00577046">
              <w:rPr>
                <w:rFonts w:ascii="Arial" w:eastAsia="Times New Roman" w:hAnsi="Arial" w:cs="Arial"/>
                <w:sz w:val="20"/>
                <w:lang w:val="en-US"/>
              </w:rPr>
              <w:t>contents of fourth message)." (cf. 1147.40)</w:t>
            </w:r>
          </w:p>
        </w:tc>
      </w:tr>
    </w:tbl>
    <w:p w14:paraId="4294DB34" w14:textId="77777777" w:rsidR="00263BE5" w:rsidRDefault="00263BE5" w:rsidP="00263BE5"/>
    <w:p w14:paraId="63AA23EB" w14:textId="77777777" w:rsidR="00263BE5" w:rsidRPr="000F25F3" w:rsidRDefault="00263BE5" w:rsidP="00263BE5">
      <w:pPr>
        <w:rPr>
          <w:u w:val="single"/>
        </w:rPr>
      </w:pPr>
      <w:r w:rsidRPr="000F25F3">
        <w:rPr>
          <w:u w:val="single"/>
        </w:rPr>
        <w:t>Discussion:</w:t>
      </w:r>
    </w:p>
    <w:p w14:paraId="1130D9E5" w14:textId="77777777" w:rsidR="00263BE5" w:rsidRDefault="00263BE5" w:rsidP="00263BE5">
      <w:r>
        <w:rPr>
          <w:noProof/>
        </w:rPr>
        <w:drawing>
          <wp:inline distT="0" distB="0" distL="0" distR="0" wp14:anchorId="23DC84BC" wp14:editId="5DDCF830">
            <wp:extent cx="6400800" cy="1028700"/>
            <wp:effectExtent l="57150" t="57150" r="171450" b="1143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23F2C5" w14:textId="77777777" w:rsidR="00263BE5" w:rsidRDefault="00263BE5" w:rsidP="00263BE5"/>
    <w:p w14:paraId="70253B77" w14:textId="77777777" w:rsidR="00263BE5" w:rsidRDefault="00263BE5" w:rsidP="00263BE5">
      <w:r>
        <w:rPr>
          <w:noProof/>
        </w:rPr>
        <w:drawing>
          <wp:inline distT="0" distB="0" distL="0" distR="0" wp14:anchorId="012A25C1" wp14:editId="48F70832">
            <wp:extent cx="6400800" cy="438150"/>
            <wp:effectExtent l="57150" t="57150" r="171450"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38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F674482" w14:textId="77777777" w:rsidR="00263BE5" w:rsidRDefault="00263BE5" w:rsidP="00263BE5"/>
    <w:p w14:paraId="17BC07DF" w14:textId="77777777" w:rsidR="00263BE5" w:rsidRDefault="00263BE5" w:rsidP="00263BE5">
      <w:r>
        <w:t>From discussion with Dan:</w:t>
      </w:r>
    </w:p>
    <w:p w14:paraId="2386A4EB" w14:textId="77777777" w:rsidR="00263BE5" w:rsidRDefault="00263BE5" w:rsidP="00263BE5"/>
    <w:p w14:paraId="7F7199F8" w14:textId="77777777" w:rsidR="00263BE5" w:rsidRDefault="00263BE5" w:rsidP="00263BE5">
      <w:r>
        <w:t>AES-</w:t>
      </w:r>
      <w:proofErr w:type="spellStart"/>
      <w:r>
        <w:t>keywrap</w:t>
      </w:r>
      <w:proofErr w:type="spellEnd"/>
      <w:r>
        <w:t xml:space="preserve"> always adds 64 bits to the wrapped data, to carry the integrity check used by the receiver to know that the decryption was successful.  So, </w:t>
      </w:r>
      <w:proofErr w:type="spellStart"/>
      <w:proofErr w:type="gramStart"/>
      <w:r>
        <w:t>len</w:t>
      </w:r>
      <w:proofErr w:type="spellEnd"/>
      <w:r>
        <w:t>(</w:t>
      </w:r>
      <w:proofErr w:type="gramEnd"/>
      <w:r>
        <w:t>AES-</w:t>
      </w:r>
      <w:proofErr w:type="spellStart"/>
      <w:r>
        <w:t>Keywrap</w:t>
      </w:r>
      <w:proofErr w:type="spellEnd"/>
      <w:r>
        <w:t xml:space="preserve">(GTK)) will always be </w:t>
      </w:r>
      <w:proofErr w:type="spellStart"/>
      <w:r>
        <w:t>len</w:t>
      </w:r>
      <w:proofErr w:type="spellEnd"/>
      <w:r>
        <w:t>(GTK)+64.</w:t>
      </w:r>
    </w:p>
    <w:p w14:paraId="442CADB0" w14:textId="77777777" w:rsidR="00263BE5" w:rsidRDefault="00263BE5" w:rsidP="00263BE5"/>
    <w:p w14:paraId="011016AD" w14:textId="77777777" w:rsidR="00263BE5" w:rsidRDefault="00263BE5" w:rsidP="00263BE5">
      <w:r>
        <w:t>In fact, we don’t have any ciphers in use in 802.11 that use a 64-bit key, so the IGTK is never 8 octets, currently.</w:t>
      </w:r>
    </w:p>
    <w:p w14:paraId="6142A73D" w14:textId="77777777" w:rsidR="00263BE5" w:rsidRDefault="00263BE5" w:rsidP="00263BE5"/>
    <w:p w14:paraId="5516B86F" w14:textId="77777777" w:rsidR="00263BE5" w:rsidRPr="000F25F3" w:rsidRDefault="00263BE5" w:rsidP="00263BE5">
      <w:pPr>
        <w:rPr>
          <w:u w:val="single"/>
        </w:rPr>
      </w:pPr>
      <w:r w:rsidRPr="000F25F3">
        <w:rPr>
          <w:highlight w:val="yellow"/>
          <w:u w:val="single"/>
        </w:rPr>
        <w:t>Proposed Resolution:</w:t>
      </w:r>
    </w:p>
    <w:p w14:paraId="63AE677E" w14:textId="77777777" w:rsidR="00263BE5" w:rsidRDefault="00263BE5" w:rsidP="00263BE5"/>
    <w:p w14:paraId="34C53F91" w14:textId="77777777" w:rsidR="00263BE5" w:rsidRDefault="00263BE5" w:rsidP="00263BE5">
      <w:r>
        <w:t>Rejected</w:t>
      </w:r>
      <w:r w:rsidRPr="000F25F3">
        <w:t>: The commenter fails to identify a problem. The length is the length of the IGTK plus 8 octets, regardless of the length of the IGTK.  The IGTK is (currently) always at least 16 octets long, so the figures are correct.</w:t>
      </w:r>
    </w:p>
    <w:p w14:paraId="0E245BA5" w14:textId="77777777" w:rsidR="00263BE5" w:rsidRDefault="00263BE5" w:rsidP="00263BE5">
      <w:r>
        <w:br w:type="page"/>
      </w:r>
    </w:p>
    <w:p w14:paraId="094CFD29" w14:textId="791907F3" w:rsidR="00DD5D8B" w:rsidRPr="001768A2" w:rsidRDefault="00DD5D8B">
      <w:pPr>
        <w:rPr>
          <w:rFonts w:eastAsia="Times New Roman"/>
          <w:szCs w:val="22"/>
          <w:lang w:val="en-US"/>
        </w:rPr>
      </w:pPr>
    </w:p>
    <w:p w14:paraId="0BE9EA0F" w14:textId="77777777" w:rsidR="0079721C" w:rsidRDefault="0079721C" w:rsidP="00ED2467"/>
    <w:p w14:paraId="06B88AC3" w14:textId="245B9968" w:rsidR="00675E47" w:rsidRDefault="00675E47">
      <w:pPr>
        <w:rPr>
          <w:b/>
          <w:sz w:val="40"/>
        </w:rPr>
      </w:pPr>
      <w:r w:rsidRPr="004A4E87">
        <w:rPr>
          <w:b/>
          <w:sz w:val="40"/>
        </w:rPr>
        <w:t>Not ready for review, yet:</w:t>
      </w:r>
    </w:p>
    <w:p w14:paraId="2D800C10" w14:textId="6ACF5BC4" w:rsidR="00407B23" w:rsidRDefault="00407B23" w:rsidP="00407B23"/>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F480A" w:rsidRPr="007837C2" w14:paraId="14EEECD7" w14:textId="77777777" w:rsidTr="0045213C">
        <w:trPr>
          <w:trHeight w:val="524"/>
        </w:trPr>
        <w:tc>
          <w:tcPr>
            <w:tcW w:w="738" w:type="dxa"/>
            <w:hideMark/>
          </w:tcPr>
          <w:p w14:paraId="22D2E3F4" w14:textId="77777777" w:rsidR="006F480A" w:rsidRPr="007837C2" w:rsidRDefault="006F480A"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0F7FD87E" w14:textId="77777777" w:rsidR="006F480A" w:rsidRPr="007837C2" w:rsidRDefault="006F480A"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6A10CE0" w14:textId="77777777" w:rsidR="006F480A" w:rsidRPr="007837C2" w:rsidRDefault="006F480A"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B77C291" w14:textId="77777777" w:rsidR="006F480A" w:rsidRPr="007837C2" w:rsidRDefault="006F480A"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C7022AC" w14:textId="77777777" w:rsidR="006F480A" w:rsidRPr="007837C2" w:rsidRDefault="006F480A"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F480A" w:rsidRPr="00DC0730" w14:paraId="0914CEB4" w14:textId="77777777" w:rsidTr="0045213C">
        <w:trPr>
          <w:trHeight w:val="1530"/>
        </w:trPr>
        <w:tc>
          <w:tcPr>
            <w:tcW w:w="738" w:type="dxa"/>
            <w:hideMark/>
          </w:tcPr>
          <w:p w14:paraId="2D00AB1B" w14:textId="77777777" w:rsidR="006F480A" w:rsidRPr="00DC0730" w:rsidRDefault="006F480A" w:rsidP="0045213C">
            <w:pPr>
              <w:jc w:val="right"/>
              <w:rPr>
                <w:rFonts w:ascii="Arial" w:eastAsia="Times New Roman" w:hAnsi="Arial" w:cs="Arial"/>
                <w:sz w:val="20"/>
                <w:lang w:val="en-US"/>
              </w:rPr>
            </w:pPr>
            <w:r w:rsidRPr="00DC0730">
              <w:rPr>
                <w:rFonts w:ascii="Arial" w:eastAsia="Times New Roman" w:hAnsi="Arial" w:cs="Arial"/>
                <w:sz w:val="20"/>
                <w:lang w:val="en-US"/>
              </w:rPr>
              <w:t>2325</w:t>
            </w:r>
          </w:p>
        </w:tc>
        <w:tc>
          <w:tcPr>
            <w:tcW w:w="990" w:type="dxa"/>
            <w:hideMark/>
          </w:tcPr>
          <w:p w14:paraId="0DB0EABA" w14:textId="77777777" w:rsidR="006F480A" w:rsidRPr="00DC0730" w:rsidRDefault="006F480A" w:rsidP="0045213C">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572992B9"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70EEA30A"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0DF19CB0"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Delete 10.6.7 and 10.6.8</w:t>
            </w:r>
          </w:p>
        </w:tc>
      </w:tr>
      <w:tr w:rsidR="006F480A" w:rsidRPr="00DC0730" w14:paraId="6C47494F" w14:textId="77777777" w:rsidTr="0045213C">
        <w:trPr>
          <w:trHeight w:val="1530"/>
        </w:trPr>
        <w:tc>
          <w:tcPr>
            <w:tcW w:w="738" w:type="dxa"/>
            <w:hideMark/>
          </w:tcPr>
          <w:p w14:paraId="7E4A7CCB" w14:textId="77777777" w:rsidR="006F480A" w:rsidRPr="00DC0730" w:rsidRDefault="006F480A" w:rsidP="0045213C">
            <w:pPr>
              <w:jc w:val="right"/>
              <w:rPr>
                <w:rFonts w:ascii="Arial" w:eastAsia="Times New Roman" w:hAnsi="Arial" w:cs="Arial"/>
                <w:sz w:val="20"/>
                <w:lang w:val="en-US"/>
              </w:rPr>
            </w:pPr>
            <w:r w:rsidRPr="00DC0730">
              <w:rPr>
                <w:rFonts w:ascii="Arial" w:eastAsia="Times New Roman" w:hAnsi="Arial" w:cs="Arial"/>
                <w:sz w:val="20"/>
                <w:lang w:val="en-US"/>
              </w:rPr>
              <w:t>2324</w:t>
            </w:r>
          </w:p>
        </w:tc>
        <w:tc>
          <w:tcPr>
            <w:tcW w:w="990" w:type="dxa"/>
            <w:hideMark/>
          </w:tcPr>
          <w:p w14:paraId="0AA27ACD" w14:textId="77777777" w:rsidR="006F480A" w:rsidRPr="00DC0730" w:rsidRDefault="006F480A" w:rsidP="0045213C">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164DB21D"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3DB6B962"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25F2BCF2"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Merge 10.6.7 and 10.6.8 into 10.6.5.  I think perhaps the other Mark has some ideas about this</w:t>
            </w:r>
          </w:p>
        </w:tc>
      </w:tr>
    </w:tbl>
    <w:p w14:paraId="05D43AC9" w14:textId="77777777" w:rsidR="006F480A" w:rsidRDefault="006F480A" w:rsidP="006F480A"/>
    <w:p w14:paraId="39DFF7D4" w14:textId="77777777" w:rsidR="006F480A" w:rsidRDefault="006F480A" w:rsidP="006F480A">
      <w:r>
        <w:rPr>
          <w:u w:val="single"/>
        </w:rPr>
        <w:t>Discussion:</w:t>
      </w:r>
    </w:p>
    <w:p w14:paraId="60334C71" w14:textId="77777777" w:rsidR="006F480A" w:rsidRDefault="006F480A" w:rsidP="006F480A"/>
    <w:p w14:paraId="2B086F62" w14:textId="77777777" w:rsidR="006F480A" w:rsidRPr="005E3825" w:rsidRDefault="006F480A" w:rsidP="006F480A">
      <w:r w:rsidRPr="006F480A">
        <w:rPr>
          <w:highlight w:val="yellow"/>
        </w:rPr>
        <w:t>TBD</w:t>
      </w:r>
    </w:p>
    <w:p w14:paraId="7DA5BE64" w14:textId="77777777" w:rsidR="006F480A" w:rsidRDefault="006F480A" w:rsidP="006F480A"/>
    <w:p w14:paraId="09E605C4" w14:textId="101CA7C7" w:rsidR="00AA71CC" w:rsidRDefault="006F480A" w:rsidP="006F480A">
      <w:r>
        <w:br w:type="page"/>
      </w:r>
    </w:p>
    <w:p w14:paraId="0B98F010" w14:textId="77777777" w:rsidR="000F25F3" w:rsidRDefault="000F25F3" w:rsidP="006F480A"/>
    <w:p w14:paraId="2EF25C7D" w14:textId="77777777" w:rsidR="006F480A" w:rsidRDefault="006F480A" w:rsidP="00AA71C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62B56" w:rsidRPr="007837C2" w14:paraId="32FA67B4" w14:textId="77777777" w:rsidTr="00DC0730">
        <w:trPr>
          <w:trHeight w:val="524"/>
        </w:trPr>
        <w:tc>
          <w:tcPr>
            <w:tcW w:w="738" w:type="dxa"/>
            <w:hideMark/>
          </w:tcPr>
          <w:p w14:paraId="5877F2E3" w14:textId="77777777" w:rsidR="00B62B56" w:rsidRPr="007837C2" w:rsidRDefault="00B62B56"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0CADE1A2" w14:textId="77777777" w:rsidR="00B62B56" w:rsidRPr="007837C2" w:rsidRDefault="00B62B56"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8523729" w14:textId="77777777" w:rsidR="00B62B56" w:rsidRPr="007837C2" w:rsidRDefault="00B62B56"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36003AB" w14:textId="77777777" w:rsidR="00B62B56" w:rsidRPr="007837C2" w:rsidRDefault="00B62B56"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5798BF0" w14:textId="77777777" w:rsidR="00B62B56" w:rsidRPr="007837C2" w:rsidRDefault="00B62B56"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C0730" w:rsidRPr="00DC0730" w14:paraId="5C138372" w14:textId="77777777" w:rsidTr="00DC0730">
        <w:trPr>
          <w:trHeight w:val="2805"/>
        </w:trPr>
        <w:tc>
          <w:tcPr>
            <w:tcW w:w="738" w:type="dxa"/>
            <w:hideMark/>
          </w:tcPr>
          <w:p w14:paraId="67144D71"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2091</w:t>
            </w:r>
          </w:p>
        </w:tc>
        <w:tc>
          <w:tcPr>
            <w:tcW w:w="990" w:type="dxa"/>
            <w:hideMark/>
          </w:tcPr>
          <w:p w14:paraId="10EBD347"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1474.00</w:t>
            </w:r>
          </w:p>
        </w:tc>
        <w:tc>
          <w:tcPr>
            <w:tcW w:w="1080" w:type="dxa"/>
            <w:hideMark/>
          </w:tcPr>
          <w:p w14:paraId="4214FB7F"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9.5.2</w:t>
            </w:r>
          </w:p>
        </w:tc>
        <w:tc>
          <w:tcPr>
            <w:tcW w:w="3600" w:type="dxa"/>
            <w:hideMark/>
          </w:tcPr>
          <w:p w14:paraId="3A01138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Change (I think 3) instances of "unicast </w:t>
            </w:r>
            <w:proofErr w:type="spellStart"/>
            <w:r w:rsidRPr="00DC0730">
              <w:rPr>
                <w:rFonts w:ascii="Arial" w:eastAsia="Times New Roman" w:hAnsi="Arial" w:cs="Arial"/>
                <w:sz w:val="20"/>
                <w:lang w:val="en-US"/>
              </w:rPr>
              <w:t>adress</w:t>
            </w:r>
            <w:proofErr w:type="spellEnd"/>
            <w:r w:rsidRPr="00DC0730">
              <w:rPr>
                <w:rFonts w:ascii="Arial" w:eastAsia="Times New Roman" w:hAnsi="Arial" w:cs="Arial"/>
                <w:sz w:val="20"/>
                <w:lang w:val="en-US"/>
              </w:rPr>
              <w:t>" to "individual address".</w:t>
            </w:r>
          </w:p>
        </w:tc>
        <w:tc>
          <w:tcPr>
            <w:tcW w:w="3600" w:type="dxa"/>
            <w:hideMark/>
          </w:tcPr>
          <w:p w14:paraId="5656D41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As suggested, first one listed only.</w:t>
            </w:r>
            <w:r w:rsidRPr="00DC0730">
              <w:rPr>
                <w:rFonts w:ascii="Arial" w:eastAsia="Times New Roman" w:hAnsi="Arial" w:cs="Arial"/>
                <w:sz w:val="20"/>
                <w:lang w:val="en-US"/>
              </w:rPr>
              <w:br/>
            </w:r>
            <w:r w:rsidRPr="00DC0730">
              <w:rPr>
                <w:rFonts w:ascii="Arial" w:eastAsia="Times New Roman" w:hAnsi="Arial" w:cs="Arial"/>
                <w:sz w:val="20"/>
                <w:lang w:val="en-US"/>
              </w:rPr>
              <w:br/>
              <w:t>Additionally, after removing these last remaining references to "unicast address", remove "unicast address" from Section 3.4 (Abbreviations and acronyms) altogether (2 instances).</w:t>
            </w:r>
          </w:p>
        </w:tc>
      </w:tr>
      <w:tr w:rsidR="00DC0730" w:rsidRPr="00DC0730" w14:paraId="3B9636FB" w14:textId="77777777" w:rsidTr="00DC0730">
        <w:trPr>
          <w:trHeight w:val="5355"/>
        </w:trPr>
        <w:tc>
          <w:tcPr>
            <w:tcW w:w="738" w:type="dxa"/>
            <w:hideMark/>
          </w:tcPr>
          <w:p w14:paraId="73A6876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2123</w:t>
            </w:r>
          </w:p>
        </w:tc>
        <w:tc>
          <w:tcPr>
            <w:tcW w:w="990" w:type="dxa"/>
            <w:hideMark/>
          </w:tcPr>
          <w:p w14:paraId="56A45B5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1770.00</w:t>
            </w:r>
          </w:p>
        </w:tc>
        <w:tc>
          <w:tcPr>
            <w:tcW w:w="1080" w:type="dxa"/>
            <w:hideMark/>
          </w:tcPr>
          <w:p w14:paraId="7A51275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165F35C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 non-QoS STA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Can the non-QoS STA transmit outstanding MPDU of one MSDU from particular SA OR outstanding MPDU of one MMPDU but not on the same time?</w:t>
            </w:r>
            <w:r w:rsidRPr="00DC0730">
              <w:rPr>
                <w:rFonts w:ascii="Arial" w:eastAsia="Times New Roman" w:hAnsi="Arial" w:cs="Arial"/>
                <w:sz w:val="20"/>
                <w:lang w:val="en-US"/>
              </w:rPr>
              <w:br/>
              <w:t>- Can the non-QoS STA transmit outstanding MPDU of one MSDU from particular SA AND outstanding MPDU of one MMPDU on the same time?</w:t>
            </w:r>
          </w:p>
        </w:tc>
        <w:tc>
          <w:tcPr>
            <w:tcW w:w="3600" w:type="dxa"/>
            <w:hideMark/>
          </w:tcPr>
          <w:p w14:paraId="5D9F193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DC0730" w:rsidRPr="00DC0730" w14:paraId="6C6EB7DE" w14:textId="77777777" w:rsidTr="00DC0730">
        <w:trPr>
          <w:trHeight w:val="5610"/>
        </w:trPr>
        <w:tc>
          <w:tcPr>
            <w:tcW w:w="738" w:type="dxa"/>
            <w:hideMark/>
          </w:tcPr>
          <w:p w14:paraId="0CC80E4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2124</w:t>
            </w:r>
          </w:p>
        </w:tc>
        <w:tc>
          <w:tcPr>
            <w:tcW w:w="990" w:type="dxa"/>
            <w:hideMark/>
          </w:tcPr>
          <w:p w14:paraId="71D8A47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1771.00</w:t>
            </w:r>
          </w:p>
        </w:tc>
        <w:tc>
          <w:tcPr>
            <w:tcW w:w="1080" w:type="dxa"/>
            <w:hideMark/>
          </w:tcPr>
          <w:p w14:paraId="1F2B426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59A0228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 QoS STA without Block ACK agreement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xml:space="preserve"> - Can the non-QoS STA transmit outstanding MPDU of one MSDU/ A-MSDU from particular SA OR outstanding MPDU of one MMPDU but not on the same time?</w:t>
            </w:r>
            <w:r w:rsidRPr="00DC0730">
              <w:rPr>
                <w:rFonts w:ascii="Arial" w:eastAsia="Times New Roman" w:hAnsi="Arial" w:cs="Arial"/>
                <w:sz w:val="20"/>
                <w:lang w:val="en-US"/>
              </w:rPr>
              <w:br/>
              <w:t xml:space="preserve"> - Can the non-QoS STA transmit outstanding MPDU of one MSDU / A-MSDU from particular SA AND outstanding MPDU of one MMPDU on the same time?</w:t>
            </w:r>
          </w:p>
        </w:tc>
        <w:tc>
          <w:tcPr>
            <w:tcW w:w="3600" w:type="dxa"/>
            <w:hideMark/>
          </w:tcPr>
          <w:p w14:paraId="6F5A0B4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DC0730" w:rsidRPr="00DC0730" w14:paraId="779C28F0" w14:textId="77777777" w:rsidTr="00DC0730">
        <w:trPr>
          <w:trHeight w:val="3315"/>
        </w:trPr>
        <w:tc>
          <w:tcPr>
            <w:tcW w:w="738" w:type="dxa"/>
            <w:hideMark/>
          </w:tcPr>
          <w:p w14:paraId="6E90B83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2125</w:t>
            </w:r>
          </w:p>
        </w:tc>
        <w:tc>
          <w:tcPr>
            <w:tcW w:w="990" w:type="dxa"/>
            <w:hideMark/>
          </w:tcPr>
          <w:p w14:paraId="40F7AD2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1740.00</w:t>
            </w:r>
          </w:p>
        </w:tc>
        <w:tc>
          <w:tcPr>
            <w:tcW w:w="1080" w:type="dxa"/>
            <w:hideMark/>
          </w:tcPr>
          <w:p w14:paraId="78B9D02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10.5</w:t>
            </w:r>
          </w:p>
        </w:tc>
        <w:tc>
          <w:tcPr>
            <w:tcW w:w="3600" w:type="dxa"/>
            <w:hideMark/>
          </w:tcPr>
          <w:p w14:paraId="0B729FF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"A STA shall support the concurrent reception of fragments of at least three MSDUs or MMPDUs." The requirement for STA to support concurrent reception of fragments of at least three MSDUs or MMPDUs </w:t>
            </w:r>
            <w:proofErr w:type="gramStart"/>
            <w:r w:rsidRPr="00DC0730">
              <w:rPr>
                <w:rFonts w:ascii="Arial" w:eastAsia="Times New Roman" w:hAnsi="Arial" w:cs="Arial"/>
                <w:sz w:val="20"/>
                <w:lang w:val="en-US"/>
              </w:rPr>
              <w:t>is in conflict with</w:t>
            </w:r>
            <w:proofErr w:type="gramEnd"/>
            <w:r w:rsidRPr="00DC0730">
              <w:rPr>
                <w:rFonts w:ascii="Arial" w:eastAsia="Times New Roman" w:hAnsi="Arial" w:cs="Arial"/>
                <w:sz w:val="20"/>
                <w:lang w:val="en-US"/>
              </w:rPr>
              <w:t xml:space="preserve"> the rule in section 10.7 for not having more than on outstanding MSDU (transmitted in one or more MPDUs) at any time.</w:t>
            </w:r>
          </w:p>
        </w:tc>
        <w:tc>
          <w:tcPr>
            <w:tcW w:w="3600" w:type="dxa"/>
            <w:hideMark/>
          </w:tcPr>
          <w:p w14:paraId="476E902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Please resolve the conflict between having concurrent fragments of at least 3 MSDUs and the rule not to have more than a single outstanding MSDU at any time</w:t>
            </w:r>
          </w:p>
        </w:tc>
      </w:tr>
      <w:tr w:rsidR="00DC0730" w:rsidRPr="00DC0730" w14:paraId="3FA23259" w14:textId="77777777" w:rsidTr="00DC0730">
        <w:trPr>
          <w:trHeight w:val="765"/>
        </w:trPr>
        <w:tc>
          <w:tcPr>
            <w:tcW w:w="738" w:type="dxa"/>
            <w:hideMark/>
          </w:tcPr>
          <w:p w14:paraId="3CDB6F0E"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2692</w:t>
            </w:r>
          </w:p>
        </w:tc>
        <w:tc>
          <w:tcPr>
            <w:tcW w:w="990" w:type="dxa"/>
            <w:hideMark/>
          </w:tcPr>
          <w:p w14:paraId="49404D4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2127.00</w:t>
            </w:r>
          </w:p>
        </w:tc>
        <w:tc>
          <w:tcPr>
            <w:tcW w:w="1080" w:type="dxa"/>
            <w:hideMark/>
          </w:tcPr>
          <w:p w14:paraId="42E11A1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50B2F63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Step (e) seems fully duplicative of steps (c) and (d)</w:t>
            </w:r>
          </w:p>
        </w:tc>
        <w:tc>
          <w:tcPr>
            <w:tcW w:w="3600" w:type="dxa"/>
            <w:hideMark/>
          </w:tcPr>
          <w:p w14:paraId="7C9D751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Check and potentially remove step (e)</w:t>
            </w:r>
          </w:p>
        </w:tc>
      </w:tr>
      <w:tr w:rsidR="00DC0730" w:rsidRPr="00DC0730" w14:paraId="60D81B5C" w14:textId="77777777" w:rsidTr="00DC0730">
        <w:trPr>
          <w:trHeight w:val="3570"/>
        </w:trPr>
        <w:tc>
          <w:tcPr>
            <w:tcW w:w="738" w:type="dxa"/>
            <w:hideMark/>
          </w:tcPr>
          <w:p w14:paraId="2CD0DABC"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2340</w:t>
            </w:r>
          </w:p>
        </w:tc>
        <w:tc>
          <w:tcPr>
            <w:tcW w:w="990" w:type="dxa"/>
            <w:hideMark/>
          </w:tcPr>
          <w:p w14:paraId="63642F3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1515.00</w:t>
            </w:r>
          </w:p>
        </w:tc>
        <w:tc>
          <w:tcPr>
            <w:tcW w:w="1080" w:type="dxa"/>
            <w:hideMark/>
          </w:tcPr>
          <w:p w14:paraId="157457C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9.6.7.16</w:t>
            </w:r>
          </w:p>
        </w:tc>
        <w:tc>
          <w:tcPr>
            <w:tcW w:w="3600" w:type="dxa"/>
            <w:hideMark/>
          </w:tcPr>
          <w:p w14:paraId="2B583E5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"The Extended Capabilities element is optionally present if any of the fields in this element are nonzero." -- I think this is trying to say that the EC element is present if and only if there are some extended capabilities to advertise.  However, as it's written it's </w:t>
            </w:r>
            <w:proofErr w:type="gramStart"/>
            <w:r w:rsidRPr="00DC0730">
              <w:rPr>
                <w:rFonts w:ascii="Arial" w:eastAsia="Times New Roman" w:hAnsi="Arial" w:cs="Arial"/>
                <w:sz w:val="20"/>
                <w:lang w:val="en-US"/>
              </w:rPr>
              <w:t>actually saying</w:t>
            </w:r>
            <w:proofErr w:type="gramEnd"/>
            <w:r w:rsidRPr="00DC0730">
              <w:rPr>
                <w:rFonts w:ascii="Arial" w:eastAsia="Times New Roman" w:hAnsi="Arial" w:cs="Arial"/>
                <w:sz w:val="20"/>
                <w:lang w:val="en-US"/>
              </w:rPr>
              <w:t xml:space="preserve"> you don't have to advertise your extended capabilities (even in </w:t>
            </w:r>
            <w:proofErr w:type="spellStart"/>
            <w:r w:rsidRPr="00DC0730">
              <w:rPr>
                <w:rFonts w:ascii="Arial" w:eastAsia="Times New Roman" w:hAnsi="Arial" w:cs="Arial"/>
                <w:sz w:val="20"/>
                <w:lang w:val="en-US"/>
              </w:rPr>
              <w:t>assoc</w:t>
            </w:r>
            <w:proofErr w:type="spellEnd"/>
            <w:r w:rsidRPr="00DC0730">
              <w:rPr>
                <w:rFonts w:ascii="Arial" w:eastAsia="Times New Roman" w:hAnsi="Arial" w:cs="Arial"/>
                <w:sz w:val="20"/>
                <w:lang w:val="en-US"/>
              </w:rPr>
              <w:t>) even if you have some</w:t>
            </w:r>
          </w:p>
        </w:tc>
        <w:tc>
          <w:tcPr>
            <w:tcW w:w="3600" w:type="dxa"/>
            <w:hideMark/>
          </w:tcPr>
          <w:p w14:paraId="735D642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Delete "optionally" in the cited text at the referenced location </w:t>
            </w:r>
            <w:proofErr w:type="gramStart"/>
            <w:r w:rsidRPr="00DC0730">
              <w:rPr>
                <w:rFonts w:ascii="Arial" w:eastAsia="Times New Roman" w:hAnsi="Arial" w:cs="Arial"/>
                <w:sz w:val="20"/>
                <w:lang w:val="en-US"/>
              </w:rPr>
              <w:t>and also</w:t>
            </w:r>
            <w:proofErr w:type="gramEnd"/>
            <w:r w:rsidRPr="00DC0730">
              <w:rPr>
                <w:rFonts w:ascii="Arial" w:eastAsia="Times New Roman" w:hAnsi="Arial" w:cs="Arial"/>
                <w:sz w:val="20"/>
                <w:lang w:val="en-US"/>
              </w:rPr>
              <w:t xml:space="preserve"> in Tables 9-412, 9-434, 9-435</w:t>
            </w:r>
          </w:p>
        </w:tc>
      </w:tr>
      <w:tr w:rsidR="00DC0730" w:rsidRPr="00DC0730" w14:paraId="0830164C" w14:textId="77777777" w:rsidTr="00DC0730">
        <w:trPr>
          <w:trHeight w:val="765"/>
        </w:trPr>
        <w:tc>
          <w:tcPr>
            <w:tcW w:w="738" w:type="dxa"/>
            <w:hideMark/>
          </w:tcPr>
          <w:p w14:paraId="58F9AC8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2480</w:t>
            </w:r>
          </w:p>
        </w:tc>
        <w:tc>
          <w:tcPr>
            <w:tcW w:w="990" w:type="dxa"/>
            <w:hideMark/>
          </w:tcPr>
          <w:p w14:paraId="7D5C79F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966.00</w:t>
            </w:r>
          </w:p>
        </w:tc>
        <w:tc>
          <w:tcPr>
            <w:tcW w:w="1080" w:type="dxa"/>
            <w:hideMark/>
          </w:tcPr>
          <w:p w14:paraId="5FBF675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9.4.2.1</w:t>
            </w:r>
          </w:p>
        </w:tc>
        <w:tc>
          <w:tcPr>
            <w:tcW w:w="3600" w:type="dxa"/>
            <w:hideMark/>
          </w:tcPr>
          <w:p w14:paraId="4CEC95C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Missing elements 77, 218, 219, 227</w:t>
            </w:r>
          </w:p>
        </w:tc>
        <w:tc>
          <w:tcPr>
            <w:tcW w:w="3600" w:type="dxa"/>
            <w:hideMark/>
          </w:tcPr>
          <w:p w14:paraId="2B3AC1F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Add a row for each of these, showing them </w:t>
            </w:r>
            <w:proofErr w:type="spellStart"/>
            <w:r w:rsidRPr="00DC0730">
              <w:rPr>
                <w:rFonts w:ascii="Arial" w:eastAsia="Times New Roman" w:hAnsi="Arial" w:cs="Arial"/>
                <w:sz w:val="20"/>
                <w:lang w:val="en-US"/>
              </w:rPr>
              <w:t>explictly</w:t>
            </w:r>
            <w:proofErr w:type="spellEnd"/>
            <w:r w:rsidRPr="00DC0730">
              <w:rPr>
                <w:rFonts w:ascii="Arial" w:eastAsia="Times New Roman" w:hAnsi="Arial" w:cs="Arial"/>
                <w:sz w:val="20"/>
                <w:lang w:val="en-US"/>
              </w:rPr>
              <w:t xml:space="preserve"> as reserved</w:t>
            </w:r>
          </w:p>
        </w:tc>
      </w:tr>
      <w:tr w:rsidR="00DC0730" w:rsidRPr="00DC0730" w14:paraId="5DF0D9A7" w14:textId="77777777" w:rsidTr="00DC0730">
        <w:trPr>
          <w:trHeight w:val="1020"/>
        </w:trPr>
        <w:tc>
          <w:tcPr>
            <w:tcW w:w="738" w:type="dxa"/>
            <w:hideMark/>
          </w:tcPr>
          <w:p w14:paraId="37D414DC"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2005</w:t>
            </w:r>
          </w:p>
        </w:tc>
        <w:tc>
          <w:tcPr>
            <w:tcW w:w="990" w:type="dxa"/>
            <w:hideMark/>
          </w:tcPr>
          <w:p w14:paraId="5E311F0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1129.00</w:t>
            </w:r>
          </w:p>
        </w:tc>
        <w:tc>
          <w:tcPr>
            <w:tcW w:w="1080" w:type="dxa"/>
            <w:hideMark/>
          </w:tcPr>
          <w:p w14:paraId="1D811B7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9.4.2.36</w:t>
            </w:r>
          </w:p>
        </w:tc>
        <w:tc>
          <w:tcPr>
            <w:tcW w:w="3600" w:type="dxa"/>
            <w:hideMark/>
          </w:tcPr>
          <w:p w14:paraId="7D07E46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Delayed Block Ack and Immediate Block Ack were removed from Capabilities Information field (see 9.4.1.4)</w:t>
            </w:r>
          </w:p>
        </w:tc>
        <w:tc>
          <w:tcPr>
            <w:tcW w:w="3600" w:type="dxa"/>
            <w:hideMark/>
          </w:tcPr>
          <w:p w14:paraId="32D2D98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Figure 9-335 should be updated to not show Delayed Block Ack and Immediate Block Ack subfields</w:t>
            </w:r>
          </w:p>
        </w:tc>
      </w:tr>
      <w:tr w:rsidR="00DC0730" w:rsidRPr="00DC0730" w14:paraId="6760BDC7" w14:textId="77777777" w:rsidTr="00DC0730">
        <w:trPr>
          <w:trHeight w:val="3825"/>
        </w:trPr>
        <w:tc>
          <w:tcPr>
            <w:tcW w:w="738" w:type="dxa"/>
            <w:hideMark/>
          </w:tcPr>
          <w:p w14:paraId="7BDAB6E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2008</w:t>
            </w:r>
          </w:p>
        </w:tc>
        <w:tc>
          <w:tcPr>
            <w:tcW w:w="990" w:type="dxa"/>
            <w:hideMark/>
          </w:tcPr>
          <w:p w14:paraId="10A8AB7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2127.00</w:t>
            </w:r>
          </w:p>
        </w:tc>
        <w:tc>
          <w:tcPr>
            <w:tcW w:w="1080" w:type="dxa"/>
            <w:hideMark/>
          </w:tcPr>
          <w:p w14:paraId="31C5E5F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10132AD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active scanning, there is no expectation of an ACK response and as a result, the A1 field is always set to broadcast while the combination of A3 field and SSID determines whether the probe is sent to a single AP (A3=BSSID of the AP) or to a group of APs (e.g., A3=wildcard BSSID with SSID=specific SSID) or to any AP in the neighborhood (e.g., A3=wildcard &amp; SSID=wildcard).</w:t>
            </w:r>
          </w:p>
        </w:tc>
        <w:tc>
          <w:tcPr>
            <w:tcW w:w="3600" w:type="dxa"/>
            <w:hideMark/>
          </w:tcPr>
          <w:p w14:paraId="4A6031B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Clarify that reference to 'destination address' here refers to the RA (A1) field in the MAC header of the Probe Request frame.</w:t>
            </w:r>
            <w:r w:rsidRPr="00DC0730">
              <w:rPr>
                <w:rFonts w:ascii="Arial" w:eastAsia="Times New Roman" w:hAnsi="Arial" w:cs="Arial"/>
                <w:sz w:val="20"/>
                <w:lang w:val="en-US"/>
              </w:rPr>
              <w:br/>
            </w:r>
            <w:r w:rsidRPr="00DC0730">
              <w:rPr>
                <w:rFonts w:ascii="Arial" w:eastAsia="Times New Roman" w:hAnsi="Arial" w:cs="Arial"/>
                <w:sz w:val="20"/>
                <w:lang w:val="en-US"/>
              </w:rPr>
              <w:br/>
              <w:t>The following locations would also need additional clarification: Figure 11-4 (remove ACK sent in response to Probe Request), 11.1.4.3.10 (P2139L37), 11.46.2.2 (P2496L1)</w:t>
            </w:r>
          </w:p>
        </w:tc>
      </w:tr>
      <w:tr w:rsidR="00DC0730" w:rsidRPr="00DC0730" w14:paraId="6D327467" w14:textId="77777777" w:rsidTr="00DC0730">
        <w:trPr>
          <w:trHeight w:val="1530"/>
        </w:trPr>
        <w:tc>
          <w:tcPr>
            <w:tcW w:w="738" w:type="dxa"/>
            <w:hideMark/>
          </w:tcPr>
          <w:p w14:paraId="055D7C4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2009</w:t>
            </w:r>
          </w:p>
        </w:tc>
        <w:tc>
          <w:tcPr>
            <w:tcW w:w="990" w:type="dxa"/>
            <w:hideMark/>
          </w:tcPr>
          <w:p w14:paraId="6E74478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2130.00</w:t>
            </w:r>
          </w:p>
        </w:tc>
        <w:tc>
          <w:tcPr>
            <w:tcW w:w="1080" w:type="dxa"/>
            <w:hideMark/>
          </w:tcPr>
          <w:p w14:paraId="7DE8697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823FF2F"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There are too many double negations in this paragraph making it hard to follow - e.g., "shall not respond... is not a mesh STA and none of following are met..."</w:t>
            </w:r>
          </w:p>
        </w:tc>
        <w:tc>
          <w:tcPr>
            <w:tcW w:w="3600" w:type="dxa"/>
            <w:hideMark/>
          </w:tcPr>
          <w:p w14:paraId="7801840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Reorganize the paragraph to remove double negations</w:t>
            </w:r>
          </w:p>
        </w:tc>
      </w:tr>
      <w:tr w:rsidR="00DC0730" w:rsidRPr="00DC0730" w14:paraId="723FC6C7" w14:textId="77777777" w:rsidTr="00DC0730">
        <w:trPr>
          <w:trHeight w:val="1530"/>
        </w:trPr>
        <w:tc>
          <w:tcPr>
            <w:tcW w:w="738" w:type="dxa"/>
            <w:hideMark/>
          </w:tcPr>
          <w:p w14:paraId="43A8837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2188</w:t>
            </w:r>
          </w:p>
        </w:tc>
        <w:tc>
          <w:tcPr>
            <w:tcW w:w="990" w:type="dxa"/>
            <w:hideMark/>
          </w:tcPr>
          <w:p w14:paraId="32C7287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1217.00</w:t>
            </w:r>
          </w:p>
        </w:tc>
        <w:tc>
          <w:tcPr>
            <w:tcW w:w="1080" w:type="dxa"/>
            <w:hideMark/>
          </w:tcPr>
          <w:p w14:paraId="1D675F3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9.4.2.79</w:t>
            </w:r>
          </w:p>
        </w:tc>
        <w:tc>
          <w:tcPr>
            <w:tcW w:w="3600" w:type="dxa"/>
            <w:hideMark/>
          </w:tcPr>
          <w:p w14:paraId="21BC13C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Table 9-222 - TFS Action Code field values: table call for "the STA is to be sent" - this is poor wording - it should say the "AP will transmit"</w:t>
            </w:r>
          </w:p>
        </w:tc>
        <w:tc>
          <w:tcPr>
            <w:tcW w:w="3600" w:type="dxa"/>
            <w:hideMark/>
          </w:tcPr>
          <w:p w14:paraId="4750650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Replace the "STA is to be sent" with "AP will transmit"</w:t>
            </w:r>
          </w:p>
        </w:tc>
      </w:tr>
      <w:tr w:rsidR="00DC0730" w:rsidRPr="00DC0730" w14:paraId="18A3718C" w14:textId="77777777" w:rsidTr="00DC0730">
        <w:trPr>
          <w:trHeight w:val="1530"/>
        </w:trPr>
        <w:tc>
          <w:tcPr>
            <w:tcW w:w="738" w:type="dxa"/>
            <w:hideMark/>
          </w:tcPr>
          <w:p w14:paraId="13B9C45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2250</w:t>
            </w:r>
          </w:p>
        </w:tc>
        <w:tc>
          <w:tcPr>
            <w:tcW w:w="990" w:type="dxa"/>
            <w:hideMark/>
          </w:tcPr>
          <w:p w14:paraId="58AD335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2204.00</w:t>
            </w:r>
          </w:p>
        </w:tc>
        <w:tc>
          <w:tcPr>
            <w:tcW w:w="1080" w:type="dxa"/>
            <w:hideMark/>
          </w:tcPr>
          <w:p w14:paraId="07984BC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11.3.5.4</w:t>
            </w:r>
          </w:p>
        </w:tc>
        <w:tc>
          <w:tcPr>
            <w:tcW w:w="3600" w:type="dxa"/>
            <w:hideMark/>
          </w:tcPr>
          <w:p w14:paraId="789F0433"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At (D0.1 numbering) P1774L9, this should be clear that it is for reassociation to the same AP, for these to be not affected.</w:t>
            </w:r>
          </w:p>
        </w:tc>
        <w:tc>
          <w:tcPr>
            <w:tcW w:w="3600" w:type="dxa"/>
            <w:hideMark/>
          </w:tcPr>
          <w:p w14:paraId="0771179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To the start of the sentence, add, "If the reassociation is to the same AP, "</w:t>
            </w:r>
          </w:p>
        </w:tc>
      </w:tr>
      <w:tr w:rsidR="00DC0730" w:rsidRPr="00DC0730" w14:paraId="476DC7E6" w14:textId="77777777" w:rsidTr="00DC0730">
        <w:trPr>
          <w:trHeight w:val="1785"/>
        </w:trPr>
        <w:tc>
          <w:tcPr>
            <w:tcW w:w="738" w:type="dxa"/>
            <w:hideMark/>
          </w:tcPr>
          <w:p w14:paraId="5147D25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2252</w:t>
            </w:r>
          </w:p>
        </w:tc>
        <w:tc>
          <w:tcPr>
            <w:tcW w:w="990" w:type="dxa"/>
            <w:hideMark/>
          </w:tcPr>
          <w:p w14:paraId="4B5D1C3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1794.00</w:t>
            </w:r>
          </w:p>
        </w:tc>
        <w:tc>
          <w:tcPr>
            <w:tcW w:w="1080" w:type="dxa"/>
            <w:hideMark/>
          </w:tcPr>
          <w:p w14:paraId="4E101DD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10.23.5</w:t>
            </w:r>
          </w:p>
        </w:tc>
        <w:tc>
          <w:tcPr>
            <w:tcW w:w="3600" w:type="dxa"/>
            <w:hideMark/>
          </w:tcPr>
          <w:p w14:paraId="5B55428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Wording in 10.22.5 is a bit confusing saying that 3us is the "ceiling" for the example BSS.</w:t>
            </w:r>
          </w:p>
        </w:tc>
        <w:tc>
          <w:tcPr>
            <w:tcW w:w="3600" w:type="dxa"/>
            <w:hideMark/>
          </w:tcPr>
          <w:p w14:paraId="70E6203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"3 ╬╝s would be the ceiling for BSS maximum one-way distance" to "3 ╬╝s would be the maximum round-trip delay for a BSS with maximum coverage distance"</w:t>
            </w:r>
          </w:p>
        </w:tc>
      </w:tr>
      <w:tr w:rsidR="00DC0730" w:rsidRPr="00DC0730" w14:paraId="41F27017" w14:textId="77777777" w:rsidTr="00DC0730">
        <w:trPr>
          <w:trHeight w:val="8190"/>
        </w:trPr>
        <w:tc>
          <w:tcPr>
            <w:tcW w:w="738" w:type="dxa"/>
            <w:hideMark/>
          </w:tcPr>
          <w:p w14:paraId="599AA32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2086</w:t>
            </w:r>
          </w:p>
        </w:tc>
        <w:tc>
          <w:tcPr>
            <w:tcW w:w="990" w:type="dxa"/>
            <w:hideMark/>
          </w:tcPr>
          <w:p w14:paraId="1C7154BA"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1497.00</w:t>
            </w:r>
          </w:p>
        </w:tc>
        <w:tc>
          <w:tcPr>
            <w:tcW w:w="1080" w:type="dxa"/>
            <w:hideMark/>
          </w:tcPr>
          <w:p w14:paraId="42CC235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9.6.6.5</w:t>
            </w:r>
          </w:p>
        </w:tc>
        <w:tc>
          <w:tcPr>
            <w:tcW w:w="3600" w:type="dxa"/>
            <w:hideMark/>
          </w:tcPr>
          <w:p w14:paraId="2C7463D3"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Spec is inconsistent in treating elements at the end of a frame as a field:</w:t>
            </w:r>
            <w:r w:rsidRPr="00DC0730">
              <w:rPr>
                <w:rFonts w:ascii="Arial" w:eastAsia="Times New Roman" w:hAnsi="Arial" w:cs="Arial"/>
                <w:sz w:val="20"/>
                <w:lang w:val="en-US"/>
              </w:rPr>
              <w:br/>
            </w:r>
            <w:r w:rsidRPr="00DC0730">
              <w:rPr>
                <w:rFonts w:ascii="Arial" w:eastAsia="Times New Roman" w:hAnsi="Arial" w:cs="Arial"/>
                <w:sz w:val="20"/>
                <w:lang w:val="en-US"/>
              </w:rPr>
              <w:br/>
              <w:t>(1) Some frame definitions indicate if a "field" X is present it contains "element" Y (e.g., see the "DMG Link Margin" field in 9.6.6.5 Link Measurement Report frame format)</w:t>
            </w:r>
            <w:r w:rsidRPr="00DC0730">
              <w:rPr>
                <w:rFonts w:ascii="Arial" w:eastAsia="Times New Roman" w:hAnsi="Arial" w:cs="Arial"/>
                <w:sz w:val="20"/>
                <w:lang w:val="en-US"/>
              </w:rPr>
              <w:br/>
              <w:t>(2) Classic frames (e.g., beacon, probe, association...) just list the frame body, often in a table format, and list the elements after fields, which is also consistent with the sentence at P847L24.</w:t>
            </w:r>
            <w:r w:rsidRPr="00DC0730">
              <w:rPr>
                <w:rFonts w:ascii="Arial" w:eastAsia="Times New Roman" w:hAnsi="Arial" w:cs="Arial"/>
                <w:sz w:val="20"/>
                <w:lang w:val="en-US"/>
              </w:rPr>
              <w:br/>
              <w:t xml:space="preserve">(3) Some other </w:t>
            </w:r>
            <w:proofErr w:type="spellStart"/>
            <w:r w:rsidRPr="00DC0730">
              <w:rPr>
                <w:rFonts w:ascii="Arial" w:eastAsia="Times New Roman" w:hAnsi="Arial" w:cs="Arial"/>
                <w:sz w:val="20"/>
                <w:lang w:val="en-US"/>
              </w:rPr>
              <w:t>frams</w:t>
            </w:r>
            <w:proofErr w:type="spellEnd"/>
            <w:r w:rsidRPr="00DC0730">
              <w:rPr>
                <w:rFonts w:ascii="Arial" w:eastAsia="Times New Roman" w:hAnsi="Arial" w:cs="Arial"/>
                <w:sz w:val="20"/>
                <w:lang w:val="en-US"/>
              </w:rPr>
              <w:t xml:space="preserve"> (e.g., 9.6.7.7 Extended Channel Switch Announcement frame format) list the elements directly in a figure representing </w:t>
            </w:r>
            <w:proofErr w:type="spellStart"/>
            <w:r w:rsidRPr="00DC0730">
              <w:rPr>
                <w:rFonts w:ascii="Arial" w:eastAsia="Times New Roman" w:hAnsi="Arial" w:cs="Arial"/>
                <w:sz w:val="20"/>
                <w:lang w:val="en-US"/>
              </w:rPr>
              <w:t>teh</w:t>
            </w:r>
            <w:proofErr w:type="spellEnd"/>
            <w:r w:rsidRPr="00DC0730">
              <w:rPr>
                <w:rFonts w:ascii="Arial" w:eastAsia="Times New Roman" w:hAnsi="Arial" w:cs="Arial"/>
                <w:sz w:val="20"/>
                <w:lang w:val="en-US"/>
              </w:rPr>
              <w:t xml:space="preserve"> frame, without a table, which is also consistent with (2)</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 think (1) is the anomaly, and propose not to represent any IE appended to a frame as a field in that frame. This will simplify the text too, as </w:t>
            </w:r>
            <w:proofErr w:type="spellStart"/>
            <w:r w:rsidRPr="00DC0730">
              <w:rPr>
                <w:rFonts w:ascii="Arial" w:eastAsia="Times New Roman" w:hAnsi="Arial" w:cs="Arial"/>
                <w:sz w:val="20"/>
                <w:lang w:val="en-US"/>
              </w:rPr>
              <w:t>teher</w:t>
            </w:r>
            <w:proofErr w:type="spellEnd"/>
            <w:r w:rsidRPr="00DC0730">
              <w:rPr>
                <w:rFonts w:ascii="Arial" w:eastAsia="Times New Roman" w:hAnsi="Arial" w:cs="Arial"/>
                <w:sz w:val="20"/>
                <w:lang w:val="en-US"/>
              </w:rPr>
              <w:t xml:space="preserve"> is no field to define (see example in proposed change).</w:t>
            </w:r>
          </w:p>
        </w:tc>
        <w:tc>
          <w:tcPr>
            <w:tcW w:w="3600" w:type="dxa"/>
            <w:hideMark/>
          </w:tcPr>
          <w:p w14:paraId="0826575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Comment is general;  by way of example, and using Link Measurement Report frame, either</w:t>
            </w:r>
            <w:r w:rsidRPr="00DC0730">
              <w:rPr>
                <w:rFonts w:ascii="Arial" w:eastAsia="Times New Roman" w:hAnsi="Arial" w:cs="Arial"/>
                <w:sz w:val="20"/>
                <w:lang w:val="en-US"/>
              </w:rPr>
              <w:br/>
            </w:r>
            <w:r w:rsidRPr="00DC0730">
              <w:rPr>
                <w:rFonts w:ascii="Arial" w:eastAsia="Times New Roman" w:hAnsi="Arial" w:cs="Arial"/>
                <w:sz w:val="20"/>
                <w:lang w:val="en-US"/>
              </w:rPr>
              <w:br/>
              <w:t>-- Establish somewhere (e.g., P847L24) that everything is a field, and some fields include an element, (not in favor), or</w:t>
            </w:r>
            <w:r w:rsidRPr="00DC0730">
              <w:rPr>
                <w:rFonts w:ascii="Arial" w:eastAsia="Times New Roman" w:hAnsi="Arial" w:cs="Arial"/>
                <w:sz w:val="20"/>
                <w:lang w:val="en-US"/>
              </w:rPr>
              <w:br/>
            </w:r>
            <w:r w:rsidRPr="00DC0730">
              <w:rPr>
                <w:rFonts w:ascii="Arial" w:eastAsia="Times New Roman" w:hAnsi="Arial" w:cs="Arial"/>
                <w:sz w:val="20"/>
                <w:lang w:val="en-US"/>
              </w:rPr>
              <w:br/>
              <w:t>- Preferably, indicate elements as just "elements" in all frame definitions, including those that are defined through a table (beacon, probe, association .., and they happen to follow this convention), and those without a table, e.g., Link Measurement Report.</w:t>
            </w:r>
            <w:r w:rsidRPr="00DC0730">
              <w:rPr>
                <w:rFonts w:ascii="Arial" w:eastAsia="Times New Roman" w:hAnsi="Arial" w:cs="Arial"/>
                <w:sz w:val="20"/>
                <w:lang w:val="en-US"/>
              </w:rPr>
              <w:br/>
            </w:r>
            <w:r w:rsidRPr="00DC0730">
              <w:rPr>
                <w:rFonts w:ascii="Arial" w:eastAsia="Times New Roman" w:hAnsi="Arial" w:cs="Arial"/>
                <w:sz w:val="20"/>
                <w:lang w:val="en-US"/>
              </w:rPr>
              <w:b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would go away.</w:t>
            </w:r>
          </w:p>
        </w:tc>
      </w:tr>
      <w:tr w:rsidR="00DC0730" w:rsidRPr="00DC0730" w14:paraId="64C7B380" w14:textId="77777777" w:rsidTr="00DC0730">
        <w:trPr>
          <w:trHeight w:val="1785"/>
        </w:trPr>
        <w:tc>
          <w:tcPr>
            <w:tcW w:w="738" w:type="dxa"/>
            <w:hideMark/>
          </w:tcPr>
          <w:p w14:paraId="0CC2EC0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2275</w:t>
            </w:r>
          </w:p>
        </w:tc>
        <w:tc>
          <w:tcPr>
            <w:tcW w:w="990" w:type="dxa"/>
            <w:hideMark/>
          </w:tcPr>
          <w:p w14:paraId="2CE4F7C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2203.00</w:t>
            </w:r>
          </w:p>
        </w:tc>
        <w:tc>
          <w:tcPr>
            <w:tcW w:w="1080" w:type="dxa"/>
            <w:hideMark/>
          </w:tcPr>
          <w:p w14:paraId="670221BF"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57D58CC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CID 1588 was mostly done - the fixes in 9.4.1.8 are good.  But, we still need something in 11.3.5.3 that says these rules about AID assignment are used for different device/BSS types.</w:t>
            </w:r>
          </w:p>
        </w:tc>
        <w:tc>
          <w:tcPr>
            <w:tcW w:w="3600" w:type="dxa"/>
            <w:hideMark/>
          </w:tcPr>
          <w:p w14:paraId="368699D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Add a numbered item, "3) In either case, the AID(s) are allocated from the ranges described in 9.4.1.8.  Same thing in 11.3.5.5 item (k).</w:t>
            </w:r>
          </w:p>
        </w:tc>
      </w:tr>
      <w:tr w:rsidR="00DC0730" w:rsidRPr="00DC0730" w14:paraId="0C6F400D" w14:textId="77777777" w:rsidTr="00DC0730">
        <w:trPr>
          <w:trHeight w:val="4335"/>
        </w:trPr>
        <w:tc>
          <w:tcPr>
            <w:tcW w:w="738" w:type="dxa"/>
            <w:hideMark/>
          </w:tcPr>
          <w:p w14:paraId="5C3E27C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2618</w:t>
            </w:r>
          </w:p>
        </w:tc>
        <w:tc>
          <w:tcPr>
            <w:tcW w:w="990" w:type="dxa"/>
            <w:hideMark/>
          </w:tcPr>
          <w:p w14:paraId="5788641E"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2675AB8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0B42A26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65D180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the referenced subclause, delete "A STA that implements BSS</w:t>
            </w:r>
            <w:r w:rsidRPr="00DC0730">
              <w:rPr>
                <w:rFonts w:ascii="Arial" w:eastAsia="Times New Roman" w:hAnsi="Arial" w:cs="Arial"/>
                <w:sz w:val="20"/>
                <w:lang w:val="en-US"/>
              </w:rPr>
              <w:br/>
            </w:r>
            <w:proofErr w:type="gramStart"/>
            <w:r w:rsidRPr="00DC0730">
              <w:rPr>
                <w:rFonts w:ascii="Arial" w:eastAsia="Times New Roman" w:hAnsi="Arial" w:cs="Arial"/>
                <w:sz w:val="20"/>
                <w:lang w:val="en-US"/>
              </w:rPr>
              <w:t>transition  management</w:t>
            </w:r>
            <w:proofErr w:type="gramEnd"/>
            <w:r w:rsidRPr="00DC0730">
              <w:rPr>
                <w:rFonts w:ascii="Arial" w:eastAsia="Times New Roman" w:hAnsi="Arial" w:cs="Arial"/>
                <w:sz w:val="20"/>
                <w:lang w:val="en-US"/>
              </w:rPr>
              <w:t xml:space="preserve">  has  dot11BSSTransitionImplemented  equal  to  true.  When</w:t>
            </w:r>
            <w:r w:rsidRPr="00DC0730">
              <w:rPr>
                <w:rFonts w:ascii="Arial" w:eastAsia="Times New Roman" w:hAnsi="Arial" w:cs="Arial"/>
                <w:sz w:val="20"/>
                <w:lang w:val="en-US"/>
              </w:rPr>
              <w:br/>
              <w:t>dot11</w:t>
            </w:r>
            <w:proofErr w:type="gramStart"/>
            <w:r w:rsidRPr="00DC0730">
              <w:rPr>
                <w:rFonts w:ascii="Arial" w:eastAsia="Times New Roman" w:hAnsi="Arial" w:cs="Arial"/>
                <w:sz w:val="20"/>
                <w:lang w:val="en-US"/>
              </w:rPr>
              <w:t>BSSTransitionImplemented  is</w:t>
            </w:r>
            <w:proofErr w:type="gramEnd"/>
            <w:r w:rsidRPr="00DC0730">
              <w:rPr>
                <w:rFonts w:ascii="Arial" w:eastAsia="Times New Roman" w:hAnsi="Arial" w:cs="Arial"/>
                <w:sz w:val="20"/>
                <w:lang w:val="en-US"/>
              </w:rPr>
              <w:t xml:space="preserve">  true,  dot11WirelessManagementImplemented  shall  be  true."  In C.3. delete the OBJECT-TYPE for dot11BSSTransitionImplemented and its inclusion in Dot11WirelessMgmtOptionsEntry</w:t>
            </w:r>
          </w:p>
        </w:tc>
      </w:tr>
      <w:tr w:rsidR="00DC0730" w:rsidRPr="00DC0730" w14:paraId="25461D5B" w14:textId="77777777" w:rsidTr="00DC0730">
        <w:trPr>
          <w:trHeight w:val="1785"/>
        </w:trPr>
        <w:tc>
          <w:tcPr>
            <w:tcW w:w="738" w:type="dxa"/>
            <w:hideMark/>
          </w:tcPr>
          <w:p w14:paraId="22F8EA19"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2219</w:t>
            </w:r>
          </w:p>
        </w:tc>
        <w:tc>
          <w:tcPr>
            <w:tcW w:w="990" w:type="dxa"/>
            <w:hideMark/>
          </w:tcPr>
          <w:p w14:paraId="42397D79"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328F743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446ADD2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HCF doesn't really use DCF architecturally.  It 'replaces' DCF.  Consider folding DCF into HCF (EDCA), as a degenerate case.  Would restructure 10.2, Figure 10-1, etc.</w:t>
            </w:r>
          </w:p>
        </w:tc>
        <w:tc>
          <w:tcPr>
            <w:tcW w:w="3600" w:type="dxa"/>
            <w:hideMark/>
          </w:tcPr>
          <w:p w14:paraId="52B2828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Figure 10-1 to show HCF (EDCA and HCCA) as directly using the PHY.  Cleanup text in 10.2, 10.3 and 10.22 to not describe HCF as using DCF.  A submission will be provided.</w:t>
            </w:r>
          </w:p>
        </w:tc>
      </w:tr>
      <w:tr w:rsidR="00DC0730" w:rsidRPr="00DC0730" w14:paraId="369E3638" w14:textId="77777777" w:rsidTr="00DC0730">
        <w:trPr>
          <w:trHeight w:val="1530"/>
        </w:trPr>
        <w:tc>
          <w:tcPr>
            <w:tcW w:w="738" w:type="dxa"/>
            <w:hideMark/>
          </w:tcPr>
          <w:p w14:paraId="0DE0FB4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2230</w:t>
            </w:r>
          </w:p>
        </w:tc>
        <w:tc>
          <w:tcPr>
            <w:tcW w:w="990" w:type="dxa"/>
            <w:hideMark/>
          </w:tcPr>
          <w:p w14:paraId="0B13EC9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1235.00</w:t>
            </w:r>
          </w:p>
        </w:tc>
        <w:tc>
          <w:tcPr>
            <w:tcW w:w="1080" w:type="dxa"/>
            <w:hideMark/>
          </w:tcPr>
          <w:p w14:paraId="16683FF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9.4.2.91</w:t>
            </w:r>
          </w:p>
        </w:tc>
        <w:tc>
          <w:tcPr>
            <w:tcW w:w="3600" w:type="dxa"/>
            <w:hideMark/>
          </w:tcPr>
          <w:p w14:paraId="386B8C4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9.4.2.92, (at the end) "A STA uses this field to indicate" should be "A STA may use this field to indicate" because this field is optional.</w:t>
            </w:r>
          </w:p>
        </w:tc>
        <w:tc>
          <w:tcPr>
            <w:tcW w:w="3600" w:type="dxa"/>
            <w:hideMark/>
          </w:tcPr>
          <w:p w14:paraId="10F2331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"uses" to "may use" per the comment.</w:t>
            </w:r>
          </w:p>
        </w:tc>
      </w:tr>
      <w:tr w:rsidR="00DC0730" w:rsidRPr="00DC0730" w14:paraId="65B064F2" w14:textId="77777777" w:rsidTr="00DC0730">
        <w:trPr>
          <w:trHeight w:val="2550"/>
        </w:trPr>
        <w:tc>
          <w:tcPr>
            <w:tcW w:w="738" w:type="dxa"/>
            <w:hideMark/>
          </w:tcPr>
          <w:p w14:paraId="6E92E5C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2235</w:t>
            </w:r>
          </w:p>
        </w:tc>
        <w:tc>
          <w:tcPr>
            <w:tcW w:w="990" w:type="dxa"/>
            <w:hideMark/>
          </w:tcPr>
          <w:p w14:paraId="1485B83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68F812E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0FFB1A3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10.2.1 (for non-DMG STA) lists PCF, HCF and MCF as using DCF.  But, there is no mention </w:t>
            </w:r>
            <w:proofErr w:type="gramStart"/>
            <w:r w:rsidRPr="00DC0730">
              <w:rPr>
                <w:rFonts w:ascii="Arial" w:eastAsia="Times New Roman" w:hAnsi="Arial" w:cs="Arial"/>
                <w:sz w:val="20"/>
                <w:lang w:val="en-US"/>
              </w:rPr>
              <w:t>similar to</w:t>
            </w:r>
            <w:proofErr w:type="gramEnd"/>
            <w:r w:rsidRPr="00DC0730">
              <w:rPr>
                <w:rFonts w:ascii="Arial" w:eastAsia="Times New Roman" w:hAnsi="Arial" w:cs="Arial"/>
                <w:sz w:val="20"/>
                <w:lang w:val="en-US"/>
              </w:rPr>
              <w:t xml:space="preserve"> the bullets that DCF is provided in all these STA types.  It seems like a non-QoS, non-mesh STA can only use PCF.  (This is clarified in 10.2.2, but still ...)</w:t>
            </w:r>
          </w:p>
        </w:tc>
        <w:tc>
          <w:tcPr>
            <w:tcW w:w="3600" w:type="dxa"/>
            <w:hideMark/>
          </w:tcPr>
          <w:p w14:paraId="2F297D1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At the end of the first bullet, add "The MAC also provides direct access to the DCF service."</w:t>
            </w:r>
          </w:p>
        </w:tc>
      </w:tr>
      <w:tr w:rsidR="00DC0730" w:rsidRPr="00DC0730" w14:paraId="2ABDDE99" w14:textId="77777777" w:rsidTr="00DC0730">
        <w:trPr>
          <w:trHeight w:val="3060"/>
        </w:trPr>
        <w:tc>
          <w:tcPr>
            <w:tcW w:w="738" w:type="dxa"/>
            <w:hideMark/>
          </w:tcPr>
          <w:p w14:paraId="3B1D7B5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2237</w:t>
            </w:r>
          </w:p>
        </w:tc>
        <w:tc>
          <w:tcPr>
            <w:tcW w:w="990" w:type="dxa"/>
            <w:hideMark/>
          </w:tcPr>
          <w:p w14:paraId="7511BA3A"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1650.00</w:t>
            </w:r>
          </w:p>
        </w:tc>
        <w:tc>
          <w:tcPr>
            <w:tcW w:w="1080" w:type="dxa"/>
            <w:hideMark/>
          </w:tcPr>
          <w:p w14:paraId="44224C6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9.7.1</w:t>
            </w:r>
          </w:p>
        </w:tc>
        <w:tc>
          <w:tcPr>
            <w:tcW w:w="3600" w:type="dxa"/>
            <w:hideMark/>
          </w:tcPr>
          <w:p w14:paraId="72DA566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In 9.7.1: "Each nonfinal A-MPDU subframe in an A-MPDU has padding octets ..."  Next paragraph has, "In an HT PPDU, the final A-MPDU subframe is not padded."  Is that redundant?  Is there another option (for </w:t>
            </w:r>
            <w:proofErr w:type="gramStart"/>
            <w:r w:rsidRPr="00DC0730">
              <w:rPr>
                <w:rFonts w:ascii="Arial" w:eastAsia="Times New Roman" w:hAnsi="Arial" w:cs="Arial"/>
                <w:sz w:val="20"/>
                <w:lang w:val="en-US"/>
              </w:rPr>
              <w:t>non HT PPDU</w:t>
            </w:r>
            <w:proofErr w:type="gramEnd"/>
            <w:r w:rsidRPr="00DC0730">
              <w:rPr>
                <w:rFonts w:ascii="Arial" w:eastAsia="Times New Roman" w:hAnsi="Arial" w:cs="Arial"/>
                <w:sz w:val="20"/>
                <w:lang w:val="en-US"/>
              </w:rPr>
              <w:t xml:space="preserve">)?  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c>
          <w:tcPr>
            <w:tcW w:w="3600" w:type="dxa"/>
            <w:hideMark/>
          </w:tcPr>
          <w:p w14:paraId="3D31635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r>
      <w:tr w:rsidR="00DC0730" w:rsidRPr="00DC0730" w14:paraId="686915A7" w14:textId="77777777" w:rsidTr="00DC0730">
        <w:trPr>
          <w:trHeight w:val="6375"/>
        </w:trPr>
        <w:tc>
          <w:tcPr>
            <w:tcW w:w="738" w:type="dxa"/>
            <w:hideMark/>
          </w:tcPr>
          <w:p w14:paraId="51115811"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2239</w:t>
            </w:r>
          </w:p>
        </w:tc>
        <w:tc>
          <w:tcPr>
            <w:tcW w:w="990" w:type="dxa"/>
            <w:hideMark/>
          </w:tcPr>
          <w:p w14:paraId="216C5EC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1095.00</w:t>
            </w:r>
          </w:p>
        </w:tc>
        <w:tc>
          <w:tcPr>
            <w:tcW w:w="1080" w:type="dxa"/>
            <w:hideMark/>
          </w:tcPr>
          <w:p w14:paraId="557C4FD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9.4.2.26</w:t>
            </w:r>
          </w:p>
        </w:tc>
        <w:tc>
          <w:tcPr>
            <w:tcW w:w="3600" w:type="dxa"/>
            <w:hideMark/>
          </w:tcPr>
          <w:p w14:paraId="1D0F74E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9.4.2.27 (Extended Capabilities element), the length of the Extended Capabilities field is a variable n.  </w:t>
            </w:r>
            <w:proofErr w:type="spellStart"/>
            <w:r w:rsidRPr="00DC0730">
              <w:rPr>
                <w:rFonts w:ascii="Arial" w:eastAsia="Times New Roman" w:hAnsi="Arial" w:cs="Arial"/>
                <w:sz w:val="20"/>
                <w:lang w:val="en-US"/>
              </w:rPr>
              <w:t>Presumbaly</w:t>
            </w:r>
            <w:proofErr w:type="spellEnd"/>
            <w:r w:rsidRPr="00DC0730">
              <w:rPr>
                <w:rFonts w:ascii="Arial" w:eastAsia="Times New Roman" w:hAnsi="Arial" w:cs="Arial"/>
                <w:sz w:val="20"/>
                <w:lang w:val="en-US"/>
              </w:rPr>
              <w:t xml:space="preserve"> this is not a fixed length for backward compatibility with older implementations that had less bits to indicate.  But, this isn't really made clear anywhere, and at this point (this </w:t>
            </w:r>
            <w:proofErr w:type="spellStart"/>
            <w:r w:rsidRPr="00DC0730">
              <w:rPr>
                <w:rFonts w:ascii="Arial" w:eastAsia="Times New Roman" w:hAnsi="Arial" w:cs="Arial"/>
                <w:sz w:val="20"/>
                <w:lang w:val="en-US"/>
              </w:rPr>
              <w:t>reviion</w:t>
            </w:r>
            <w:proofErr w:type="spellEnd"/>
            <w:r w:rsidRPr="00DC0730">
              <w:rPr>
                <w:rFonts w:ascii="Arial" w:eastAsia="Times New Roman" w:hAnsi="Arial" w:cs="Arial"/>
                <w:sz w:val="20"/>
                <w:lang w:val="en-US"/>
              </w:rPr>
              <w:t xml:space="preserve"> of the Standard), we could say it is 0 to 11 octets although more might exist in a received element (from a future device).  Or, perhaps just say "variable" in the figure and explain all this in the text?  Second, Table 9-153 implies that there are "n" bits, not "n" octets, so that's in conflict.</w:t>
            </w:r>
          </w:p>
        </w:tc>
        <w:tc>
          <w:tcPr>
            <w:tcW w:w="3600" w:type="dxa"/>
            <w:hideMark/>
          </w:tcPr>
          <w:p w14:paraId="750553B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"Octets" count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In the third paragraph, replace the sentence, "The length of the Extended Capabilities field is a variable n" with "The length of the Extended Capabilities field is variable.  In the current version of this Standard, the length is 11 octets, however older implementations may send less octets and the rest of the Extended Capabilities field bits are assumed to be zero.  Similarly, future implementations may send more octets, and the extra octets are ignored upon reception by a current or older implementation."</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tc>
      </w:tr>
      <w:tr w:rsidR="00DC0730" w:rsidRPr="00DC0730" w14:paraId="6E1B6371" w14:textId="77777777" w:rsidTr="00DC0730">
        <w:trPr>
          <w:trHeight w:val="1785"/>
        </w:trPr>
        <w:tc>
          <w:tcPr>
            <w:tcW w:w="738" w:type="dxa"/>
            <w:hideMark/>
          </w:tcPr>
          <w:p w14:paraId="22708BD9"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2472</w:t>
            </w:r>
          </w:p>
        </w:tc>
        <w:tc>
          <w:tcPr>
            <w:tcW w:w="990" w:type="dxa"/>
            <w:hideMark/>
          </w:tcPr>
          <w:p w14:paraId="52B1D80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998.00</w:t>
            </w:r>
          </w:p>
        </w:tc>
        <w:tc>
          <w:tcPr>
            <w:tcW w:w="1080" w:type="dxa"/>
            <w:hideMark/>
          </w:tcPr>
          <w:p w14:paraId="0BBA4AD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9.4.2.18</w:t>
            </w:r>
          </w:p>
        </w:tc>
        <w:tc>
          <w:tcPr>
            <w:tcW w:w="3600" w:type="dxa"/>
            <w:hideMark/>
          </w:tcPr>
          <w:p w14:paraId="04D68F2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 value of 1</w:t>
            </w:r>
            <w:r w:rsidRPr="00DC0730">
              <w:rPr>
                <w:rFonts w:ascii="Arial" w:eastAsia="Times New Roman" w:hAnsi="Arial" w:cs="Arial"/>
                <w:sz w:val="20"/>
                <w:lang w:val="en-US"/>
              </w:rPr>
              <w:br/>
              <w:t>indicates that the switch occurs immediately before the next TBTT. " -- don't include statements of the obvious from immediately preceding sentence</w:t>
            </w:r>
          </w:p>
        </w:tc>
        <w:tc>
          <w:tcPr>
            <w:tcW w:w="3600" w:type="dxa"/>
            <w:hideMark/>
          </w:tcPr>
          <w:p w14:paraId="363D70C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 and in 9.4.2.52.  In 9.4.2.22 delete "A value of 1 indicates the quiet interval starts during the beacon interval starting at the next TBTT."</w:t>
            </w:r>
          </w:p>
        </w:tc>
      </w:tr>
      <w:tr w:rsidR="00DC0730" w:rsidRPr="00DC0730" w14:paraId="16441213" w14:textId="77777777" w:rsidTr="00DC0730">
        <w:trPr>
          <w:trHeight w:val="2550"/>
        </w:trPr>
        <w:tc>
          <w:tcPr>
            <w:tcW w:w="738" w:type="dxa"/>
            <w:hideMark/>
          </w:tcPr>
          <w:p w14:paraId="2BC2E34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2242</w:t>
            </w:r>
          </w:p>
        </w:tc>
        <w:tc>
          <w:tcPr>
            <w:tcW w:w="990" w:type="dxa"/>
            <w:hideMark/>
          </w:tcPr>
          <w:p w14:paraId="6E95228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2311.00</w:t>
            </w:r>
          </w:p>
        </w:tc>
        <w:tc>
          <w:tcPr>
            <w:tcW w:w="1080" w:type="dxa"/>
            <w:hideMark/>
          </w:tcPr>
          <w:p w14:paraId="6A5AA72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11.15.12</w:t>
            </w:r>
          </w:p>
        </w:tc>
        <w:tc>
          <w:tcPr>
            <w:tcW w:w="3600" w:type="dxa"/>
            <w:hideMark/>
          </w:tcPr>
          <w:p w14:paraId="32CB64C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This sentence doesn't parse correctly.</w:t>
            </w:r>
          </w:p>
        </w:tc>
        <w:tc>
          <w:tcPr>
            <w:tcW w:w="3600" w:type="dxa"/>
            <w:hideMark/>
          </w:tcPr>
          <w:p w14:paraId="3FE6D9F3"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sidRPr="00DC0730">
              <w:rPr>
                <w:rFonts w:ascii="Arial" w:eastAsia="Times New Roman" w:hAnsi="Arial" w:cs="Arial"/>
                <w:sz w:val="20"/>
                <w:lang w:val="en-US"/>
              </w:rPr>
              <w:t>" to "The STA sets the Forty MHz Intolerant field of the 20/40 BSS Coexistence element per the rules listed in 11.15.11."</w:t>
            </w:r>
          </w:p>
        </w:tc>
      </w:tr>
      <w:tr w:rsidR="00DC0730" w:rsidRPr="00DC0730" w14:paraId="4C662170" w14:textId="77777777" w:rsidTr="00DC0730">
        <w:trPr>
          <w:trHeight w:val="1020"/>
        </w:trPr>
        <w:tc>
          <w:tcPr>
            <w:tcW w:w="738" w:type="dxa"/>
            <w:hideMark/>
          </w:tcPr>
          <w:p w14:paraId="4C7631BA"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2603</w:t>
            </w:r>
          </w:p>
        </w:tc>
        <w:tc>
          <w:tcPr>
            <w:tcW w:w="990" w:type="dxa"/>
            <w:hideMark/>
          </w:tcPr>
          <w:p w14:paraId="6D5E89B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2212.00</w:t>
            </w:r>
          </w:p>
        </w:tc>
        <w:tc>
          <w:tcPr>
            <w:tcW w:w="1080" w:type="dxa"/>
            <w:hideMark/>
          </w:tcPr>
          <w:p w14:paraId="5ED5B62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11.3.9.3</w:t>
            </w:r>
          </w:p>
        </w:tc>
        <w:tc>
          <w:tcPr>
            <w:tcW w:w="3600" w:type="dxa"/>
            <w:hideMark/>
          </w:tcPr>
          <w:p w14:paraId="47B8CDA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"beacon interval units" is confusing, because it might be understood as the units for a BI, namely Tus</w:t>
            </w:r>
          </w:p>
        </w:tc>
        <w:tc>
          <w:tcPr>
            <w:tcW w:w="3600" w:type="dxa"/>
            <w:hideMark/>
          </w:tcPr>
          <w:p w14:paraId="17B66C5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Reword as "units of a beacon interval" (3x)</w:t>
            </w:r>
          </w:p>
        </w:tc>
      </w:tr>
      <w:tr w:rsidR="00DC0730" w:rsidRPr="00DC0730" w14:paraId="3CE60EA4" w14:textId="77777777" w:rsidTr="00DC0730">
        <w:trPr>
          <w:trHeight w:val="2295"/>
        </w:trPr>
        <w:tc>
          <w:tcPr>
            <w:tcW w:w="738" w:type="dxa"/>
            <w:hideMark/>
          </w:tcPr>
          <w:p w14:paraId="051DA081"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2279</w:t>
            </w:r>
          </w:p>
        </w:tc>
        <w:tc>
          <w:tcPr>
            <w:tcW w:w="990" w:type="dxa"/>
            <w:hideMark/>
          </w:tcPr>
          <w:p w14:paraId="5CA32E0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1739.00</w:t>
            </w:r>
          </w:p>
        </w:tc>
        <w:tc>
          <w:tcPr>
            <w:tcW w:w="1080" w:type="dxa"/>
            <w:hideMark/>
          </w:tcPr>
          <w:p w14:paraId="7B29D97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10.4</w:t>
            </w:r>
          </w:p>
        </w:tc>
        <w:tc>
          <w:tcPr>
            <w:tcW w:w="3600" w:type="dxa"/>
            <w:hideMark/>
          </w:tcPr>
          <w:p w14:paraId="0F87E3E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10.4 ("MPDU fragmentation") 4th paragraph references 9.2.3 as the requirement for support for various MSDU sizes.  That would probably be better as a reference to 9.2.4.7, since that's where MSDU size limits are discussed.</w:t>
            </w:r>
          </w:p>
        </w:tc>
        <w:tc>
          <w:tcPr>
            <w:tcW w:w="3600" w:type="dxa"/>
            <w:hideMark/>
          </w:tcPr>
          <w:p w14:paraId="6B3DCCC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reference to 9.2.3 to be reference to 9.2.4.7.</w:t>
            </w:r>
          </w:p>
        </w:tc>
      </w:tr>
      <w:tr w:rsidR="00DC0730" w:rsidRPr="00DC0730" w14:paraId="4DCF84FC" w14:textId="77777777" w:rsidTr="00DC0730">
        <w:trPr>
          <w:trHeight w:val="2295"/>
        </w:trPr>
        <w:tc>
          <w:tcPr>
            <w:tcW w:w="738" w:type="dxa"/>
            <w:hideMark/>
          </w:tcPr>
          <w:p w14:paraId="60CC785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2282</w:t>
            </w:r>
          </w:p>
        </w:tc>
        <w:tc>
          <w:tcPr>
            <w:tcW w:w="990" w:type="dxa"/>
            <w:hideMark/>
          </w:tcPr>
          <w:p w14:paraId="1F3104AF"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1876.00</w:t>
            </w:r>
          </w:p>
        </w:tc>
        <w:tc>
          <w:tcPr>
            <w:tcW w:w="1080" w:type="dxa"/>
            <w:hideMark/>
          </w:tcPr>
          <w:p w14:paraId="368D831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10.29.11</w:t>
            </w:r>
          </w:p>
        </w:tc>
        <w:tc>
          <w:tcPr>
            <w:tcW w:w="3600" w:type="dxa"/>
            <w:hideMark/>
          </w:tcPr>
          <w:p w14:paraId="6DEA06A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Element fragmentation is written in declarative language.</w:t>
            </w:r>
          </w:p>
        </w:tc>
        <w:tc>
          <w:tcPr>
            <w:tcW w:w="3600" w:type="dxa"/>
            <w:hideMark/>
          </w:tcPr>
          <w:p w14:paraId="460F237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"is" at P1876.62 to "shall be" (or perhaps "may be" for to avoid backwards non-compliance).  Change "is not" on 1877.2 to "shall not be".  Change "appears" on P1877.2 to "shall appear".  Change "are" to "shall be" at P1878.27.</w:t>
            </w:r>
          </w:p>
        </w:tc>
      </w:tr>
      <w:tr w:rsidR="00DC0730" w:rsidRPr="00DC0730" w14:paraId="2FF9AFE3" w14:textId="77777777" w:rsidTr="00DC0730">
        <w:trPr>
          <w:trHeight w:val="2805"/>
        </w:trPr>
        <w:tc>
          <w:tcPr>
            <w:tcW w:w="738" w:type="dxa"/>
            <w:hideMark/>
          </w:tcPr>
          <w:p w14:paraId="2D2D96B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2287</w:t>
            </w:r>
          </w:p>
        </w:tc>
        <w:tc>
          <w:tcPr>
            <w:tcW w:w="990" w:type="dxa"/>
            <w:hideMark/>
          </w:tcPr>
          <w:p w14:paraId="48FB6B7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1902.00</w:t>
            </w:r>
          </w:p>
        </w:tc>
        <w:tc>
          <w:tcPr>
            <w:tcW w:w="1080" w:type="dxa"/>
            <w:hideMark/>
          </w:tcPr>
          <w:p w14:paraId="705628D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10.37.5.2</w:t>
            </w:r>
          </w:p>
        </w:tc>
        <w:tc>
          <w:tcPr>
            <w:tcW w:w="3600" w:type="dxa"/>
            <w:hideMark/>
          </w:tcPr>
          <w:p w14:paraId="3469A8E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Mixes of "AID subfield" and "AID field" in this subclause.  Also, there is no "AID subfield", only an "AID12 subfield" or an "AID13 subfield".  Since this is a VHT subclause, it must be specifying a non-S1G STA, and therefore the STA Info field has </w:t>
            </w:r>
            <w:proofErr w:type="gramStart"/>
            <w:r w:rsidRPr="00DC0730">
              <w:rPr>
                <w:rFonts w:ascii="Arial" w:eastAsia="Times New Roman" w:hAnsi="Arial" w:cs="Arial"/>
                <w:sz w:val="20"/>
                <w:lang w:val="en-US"/>
              </w:rPr>
              <w:t>a</w:t>
            </w:r>
            <w:proofErr w:type="gramEnd"/>
            <w:r w:rsidRPr="00DC0730">
              <w:rPr>
                <w:rFonts w:ascii="Arial" w:eastAsia="Times New Roman" w:hAnsi="Arial" w:cs="Arial"/>
                <w:sz w:val="20"/>
                <w:lang w:val="en-US"/>
              </w:rPr>
              <w:t xml:space="preserve"> AID12 subfield (and not an AID13 subfield).</w:t>
            </w:r>
          </w:p>
        </w:tc>
        <w:tc>
          <w:tcPr>
            <w:tcW w:w="3600" w:type="dxa"/>
            <w:hideMark/>
          </w:tcPr>
          <w:p w14:paraId="548290C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"AID field" to "AID12 subfield" at P1924.62 and P1925.3.  Replace "AID subfield" with "AID12 subfield" throughout this subclause.</w:t>
            </w:r>
          </w:p>
        </w:tc>
      </w:tr>
      <w:tr w:rsidR="00DC0730" w:rsidRPr="00DC0730" w14:paraId="13646401" w14:textId="77777777" w:rsidTr="00DC0730">
        <w:trPr>
          <w:trHeight w:val="3060"/>
        </w:trPr>
        <w:tc>
          <w:tcPr>
            <w:tcW w:w="738" w:type="dxa"/>
            <w:hideMark/>
          </w:tcPr>
          <w:p w14:paraId="18DD5FC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2288</w:t>
            </w:r>
          </w:p>
        </w:tc>
        <w:tc>
          <w:tcPr>
            <w:tcW w:w="990" w:type="dxa"/>
            <w:hideMark/>
          </w:tcPr>
          <w:p w14:paraId="7FAFED4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2159.00</w:t>
            </w:r>
          </w:p>
        </w:tc>
        <w:tc>
          <w:tcPr>
            <w:tcW w:w="1080" w:type="dxa"/>
            <w:hideMark/>
          </w:tcPr>
          <w:p w14:paraId="1B2E4EB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11.2.3.11</w:t>
            </w:r>
          </w:p>
        </w:tc>
        <w:tc>
          <w:tcPr>
            <w:tcW w:w="3600" w:type="dxa"/>
            <w:hideMark/>
          </w:tcPr>
          <w:p w14:paraId="5A8E12C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11.2.3.11 (PSMP stuff): "a STA_INFO field that has the STA_INFO Type subfield equal to 2 and the AID field matching the STA's AID".  But, PSMP defines a "PSMP STA Info" field, with subfields of STA_INFO Type and STA_ID.</w:t>
            </w:r>
            <w:r w:rsidRPr="00DC0730">
              <w:rPr>
                <w:rFonts w:ascii="Arial" w:eastAsia="Times New Roman" w:hAnsi="Arial" w:cs="Arial"/>
                <w:sz w:val="20"/>
                <w:lang w:val="en-US"/>
              </w:rPr>
              <w:br/>
              <w:t>Is the STA_AID subfield in PSMP STA Info formatted per 9.4.1.8?</w:t>
            </w:r>
          </w:p>
        </w:tc>
        <w:tc>
          <w:tcPr>
            <w:tcW w:w="3600" w:type="dxa"/>
            <w:hideMark/>
          </w:tcPr>
          <w:p w14:paraId="177234E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first "STA_INFO field" to "PSMP STA Info</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the first "AID" to "STA_ID".</w:t>
            </w:r>
            <w:r w:rsidRPr="00DC0730">
              <w:rPr>
                <w:rFonts w:ascii="Arial" w:eastAsia="Times New Roman" w:hAnsi="Arial" w:cs="Arial"/>
                <w:sz w:val="20"/>
                <w:lang w:val="en-US"/>
              </w:rPr>
              <w:br/>
              <w:t>At the end of the sentence at P913.1, add ", and is formatted per 9.4.1.8 (AID field)."</w:t>
            </w:r>
          </w:p>
        </w:tc>
      </w:tr>
      <w:tr w:rsidR="00DC0730" w:rsidRPr="00DC0730" w14:paraId="41E22F2E" w14:textId="77777777" w:rsidTr="00DC0730">
        <w:trPr>
          <w:trHeight w:val="3570"/>
        </w:trPr>
        <w:tc>
          <w:tcPr>
            <w:tcW w:w="738" w:type="dxa"/>
            <w:hideMark/>
          </w:tcPr>
          <w:p w14:paraId="0D5D24E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2292</w:t>
            </w:r>
          </w:p>
        </w:tc>
        <w:tc>
          <w:tcPr>
            <w:tcW w:w="990" w:type="dxa"/>
            <w:hideMark/>
          </w:tcPr>
          <w:p w14:paraId="495E522B"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2462.00</w:t>
            </w:r>
          </w:p>
        </w:tc>
        <w:tc>
          <w:tcPr>
            <w:tcW w:w="1080" w:type="dxa"/>
            <w:hideMark/>
          </w:tcPr>
          <w:p w14:paraId="42830CB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8AD0A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Clause 10.40 (DMG dynamic tone pairing) was removed.  The reference to 10.40 in the NOTE in 11.35.3 is now broken.  The NOTE would appear to still be valid (the destination REDS does need its antenna pattern to cover the source REDS and RDS).  Is there still text somewhere that describes how this is accomplished?  If so, put a reference to that text here.  If not, we have a gap.</w:t>
            </w:r>
          </w:p>
        </w:tc>
        <w:tc>
          <w:tcPr>
            <w:tcW w:w="3600" w:type="dxa"/>
            <w:hideMark/>
          </w:tcPr>
          <w:p w14:paraId="40741F5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Replace the broken text (the stuff in parenthesis) with an appropriate reference.</w:t>
            </w:r>
          </w:p>
        </w:tc>
      </w:tr>
      <w:tr w:rsidR="00DC0730" w:rsidRPr="00DC0730" w14:paraId="63FB6BAB" w14:textId="77777777" w:rsidTr="00DC0730">
        <w:trPr>
          <w:trHeight w:val="2295"/>
        </w:trPr>
        <w:tc>
          <w:tcPr>
            <w:tcW w:w="738" w:type="dxa"/>
            <w:hideMark/>
          </w:tcPr>
          <w:p w14:paraId="1D38DFD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2296</w:t>
            </w:r>
          </w:p>
        </w:tc>
        <w:tc>
          <w:tcPr>
            <w:tcW w:w="990" w:type="dxa"/>
            <w:hideMark/>
          </w:tcPr>
          <w:p w14:paraId="29F0E73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1166.00</w:t>
            </w:r>
          </w:p>
        </w:tc>
        <w:tc>
          <w:tcPr>
            <w:tcW w:w="1080" w:type="dxa"/>
            <w:hideMark/>
          </w:tcPr>
          <w:p w14:paraId="19E22EB3"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9.4.2.56</w:t>
            </w:r>
          </w:p>
        </w:tc>
        <w:tc>
          <w:tcPr>
            <w:tcW w:w="3600" w:type="dxa"/>
            <w:hideMark/>
          </w:tcPr>
          <w:p w14:paraId="1526521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Per CID 1412, "dual beacon" went from deprecated to obsolete in </w:t>
            </w:r>
            <w:proofErr w:type="spellStart"/>
            <w:r w:rsidRPr="00DC0730">
              <w:rPr>
                <w:rFonts w:ascii="Arial" w:eastAsia="Times New Roman" w:hAnsi="Arial" w:cs="Arial"/>
                <w:sz w:val="20"/>
                <w:lang w:val="en-US"/>
              </w:rPr>
              <w:t>REVmd</w:t>
            </w:r>
            <w:proofErr w:type="spellEnd"/>
            <w:r w:rsidRPr="00DC0730">
              <w:rPr>
                <w:rFonts w:ascii="Arial" w:eastAsia="Times New Roman" w:hAnsi="Arial" w:cs="Arial"/>
                <w:sz w:val="20"/>
                <w:lang w:val="en-US"/>
              </w:rPr>
              <w:t>, but "STBC Beacon" (and some references to dual beacon) is still only deprecated.  Change all these references to Obsolete.  Similar issues with "Dual CTS"</w:t>
            </w:r>
          </w:p>
        </w:tc>
        <w:tc>
          <w:tcPr>
            <w:tcW w:w="3600" w:type="dxa"/>
            <w:hideMark/>
          </w:tcPr>
          <w:p w14:paraId="7A27CD4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At the cited location, change "deprecated" to "obsolete".  </w:t>
            </w:r>
            <w:proofErr w:type="gramStart"/>
            <w:r w:rsidRPr="00DC0730">
              <w:rPr>
                <w:rFonts w:ascii="Arial" w:eastAsia="Times New Roman" w:hAnsi="Arial" w:cs="Arial"/>
                <w:sz w:val="20"/>
                <w:lang w:val="en-US"/>
              </w:rPr>
              <w:t>Also</w:t>
            </w:r>
            <w:proofErr w:type="gramEnd"/>
            <w:r w:rsidRPr="00DC0730">
              <w:rPr>
                <w:rFonts w:ascii="Arial" w:eastAsia="Times New Roman" w:hAnsi="Arial" w:cs="Arial"/>
                <w:sz w:val="20"/>
                <w:lang w:val="en-US"/>
              </w:rPr>
              <w:t xml:space="preserve"> at 1166.61, P1735.32, P3664.9, and P3664.18.</w:t>
            </w:r>
          </w:p>
        </w:tc>
      </w:tr>
      <w:tr w:rsidR="00DC0730" w:rsidRPr="00DC0730" w14:paraId="56E5723C" w14:textId="77777777" w:rsidTr="00DC0730">
        <w:trPr>
          <w:trHeight w:val="1530"/>
        </w:trPr>
        <w:tc>
          <w:tcPr>
            <w:tcW w:w="738" w:type="dxa"/>
            <w:hideMark/>
          </w:tcPr>
          <w:p w14:paraId="3F5E6C97"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2240</w:t>
            </w:r>
          </w:p>
        </w:tc>
        <w:tc>
          <w:tcPr>
            <w:tcW w:w="990" w:type="dxa"/>
            <w:hideMark/>
          </w:tcPr>
          <w:p w14:paraId="2478C52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1355.00</w:t>
            </w:r>
          </w:p>
        </w:tc>
        <w:tc>
          <w:tcPr>
            <w:tcW w:w="1080" w:type="dxa"/>
            <w:hideMark/>
          </w:tcPr>
          <w:p w14:paraId="4830636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9.4.2.185</w:t>
            </w:r>
          </w:p>
        </w:tc>
        <w:tc>
          <w:tcPr>
            <w:tcW w:w="3600" w:type="dxa"/>
            <w:hideMark/>
          </w:tcPr>
          <w:p w14:paraId="03613D8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Editorial (?): What does "onwards in 12.7.2" mean?</w:t>
            </w:r>
          </w:p>
        </w:tc>
        <w:tc>
          <w:tcPr>
            <w:tcW w:w="3600" w:type="dxa"/>
            <w:hideMark/>
          </w:tcPr>
          <w:p w14:paraId="4482543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Change the sentence to, "The KDE List field contains one of more KDEs encapsulated using the format </w:t>
            </w:r>
            <w:proofErr w:type="gramStart"/>
            <w:r w:rsidRPr="00DC0730">
              <w:rPr>
                <w:rFonts w:ascii="Arial" w:eastAsia="Times New Roman" w:hAnsi="Arial" w:cs="Arial"/>
                <w:sz w:val="20"/>
                <w:lang w:val="en-US"/>
              </w:rPr>
              <w:t>shown(</w:t>
            </w:r>
            <w:proofErr w:type="gramEnd"/>
            <w:r w:rsidRPr="00DC0730">
              <w:rPr>
                <w:rFonts w:ascii="Arial" w:eastAsia="Times New Roman" w:hAnsi="Arial" w:cs="Arial"/>
                <w:sz w:val="20"/>
                <w:lang w:val="en-US"/>
              </w:rPr>
              <w:t>#243) in Figure 12-35.</w:t>
            </w:r>
          </w:p>
        </w:tc>
      </w:tr>
      <w:tr w:rsidR="00DC0730" w:rsidRPr="00DC0730" w14:paraId="2CF74A08" w14:textId="77777777" w:rsidTr="00DC0730">
        <w:trPr>
          <w:trHeight w:val="3060"/>
        </w:trPr>
        <w:tc>
          <w:tcPr>
            <w:tcW w:w="738" w:type="dxa"/>
            <w:hideMark/>
          </w:tcPr>
          <w:p w14:paraId="3B5C40B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2558</w:t>
            </w:r>
          </w:p>
        </w:tc>
        <w:tc>
          <w:tcPr>
            <w:tcW w:w="990" w:type="dxa"/>
            <w:hideMark/>
          </w:tcPr>
          <w:p w14:paraId="5D2C5D7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819.00</w:t>
            </w:r>
          </w:p>
        </w:tc>
        <w:tc>
          <w:tcPr>
            <w:tcW w:w="1080" w:type="dxa"/>
            <w:hideMark/>
          </w:tcPr>
          <w:p w14:paraId="0A09762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9.3.1.5.1</w:t>
            </w:r>
          </w:p>
        </w:tc>
        <w:tc>
          <w:tcPr>
            <w:tcW w:w="3600" w:type="dxa"/>
            <w:hideMark/>
          </w:tcPr>
          <w:p w14:paraId="2807195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 (11</w:t>
            </w:r>
            <w:proofErr w:type="gramStart"/>
            <w:r w:rsidRPr="00DC0730">
              <w:rPr>
                <w:rFonts w:ascii="Arial" w:eastAsia="Times New Roman" w:hAnsi="Arial" w:cs="Arial"/>
                <w:sz w:val="20"/>
                <w:lang w:val="en-US"/>
              </w:rPr>
              <w:t>ah)Duration</w:t>
            </w:r>
            <w:proofErr w:type="gramEnd"/>
            <w:r w:rsidRPr="00DC0730">
              <w:rPr>
                <w:rFonts w:ascii="Arial" w:eastAsia="Times New Roman" w:hAnsi="Arial" w:cs="Arial"/>
                <w:sz w:val="20"/>
                <w:lang w:val="en-US"/>
              </w:rPr>
              <w:t>/ID field contains the AID value assigned to the STA transmitting the frame by the AP in</w:t>
            </w:r>
            <w:r w:rsidRPr="00DC0730">
              <w:rPr>
                <w:rFonts w:ascii="Arial" w:eastAsia="Times New Roman" w:hAnsi="Arial" w:cs="Arial"/>
                <w:sz w:val="20"/>
                <w:lang w:val="en-US"/>
              </w:rPr>
              <w:br/>
              <w:t>the (Re)Association Response frame that established that STA's current association, with the two MSBs set</w:t>
            </w:r>
            <w:r w:rsidRPr="00DC0730">
              <w:rPr>
                <w:rFonts w:ascii="Arial" w:eastAsia="Times New Roman" w:hAnsi="Arial" w:cs="Arial"/>
                <w:sz w:val="20"/>
                <w:lang w:val="en-US"/>
              </w:rPr>
              <w:br/>
              <w:t xml:space="preserve">to 1." -- not true if it's a </w:t>
            </w:r>
            <w:proofErr w:type="spellStart"/>
            <w:r w:rsidRPr="00DC0730">
              <w:rPr>
                <w:rFonts w:ascii="Arial" w:eastAsia="Times New Roman" w:hAnsi="Arial" w:cs="Arial"/>
                <w:sz w:val="20"/>
                <w:lang w:val="en-US"/>
              </w:rPr>
              <w:t>PS-Poll+BDT</w:t>
            </w:r>
            <w:proofErr w:type="spellEnd"/>
          </w:p>
        </w:tc>
        <w:tc>
          <w:tcPr>
            <w:tcW w:w="3600" w:type="dxa"/>
            <w:hideMark/>
          </w:tcPr>
          <w:p w14:paraId="3364615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Add a new subclause heading "Non-BDT variant of the PS-Poll frame format" above this para</w:t>
            </w:r>
          </w:p>
        </w:tc>
      </w:tr>
      <w:tr w:rsidR="00DC0730" w:rsidRPr="00DC0730" w14:paraId="6388691A" w14:textId="77777777" w:rsidTr="00DC0730">
        <w:trPr>
          <w:trHeight w:val="765"/>
        </w:trPr>
        <w:tc>
          <w:tcPr>
            <w:tcW w:w="738" w:type="dxa"/>
            <w:hideMark/>
          </w:tcPr>
          <w:p w14:paraId="25DFDF5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2301</w:t>
            </w:r>
          </w:p>
        </w:tc>
        <w:tc>
          <w:tcPr>
            <w:tcW w:w="990" w:type="dxa"/>
            <w:hideMark/>
          </w:tcPr>
          <w:p w14:paraId="1886C1B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2308.00</w:t>
            </w:r>
          </w:p>
        </w:tc>
        <w:tc>
          <w:tcPr>
            <w:tcW w:w="1080" w:type="dxa"/>
            <w:hideMark/>
          </w:tcPr>
          <w:p w14:paraId="04C1CE5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11.15.8</w:t>
            </w:r>
          </w:p>
        </w:tc>
        <w:tc>
          <w:tcPr>
            <w:tcW w:w="3600" w:type="dxa"/>
            <w:hideMark/>
          </w:tcPr>
          <w:p w14:paraId="1A16939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DSSS/CCK in 40 MHz language could still use more clarifications.</w:t>
            </w:r>
          </w:p>
        </w:tc>
        <w:tc>
          <w:tcPr>
            <w:tcW w:w="3600" w:type="dxa"/>
            <w:hideMark/>
          </w:tcPr>
          <w:p w14:paraId="6F27C39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 submission will be provided.</w:t>
            </w:r>
          </w:p>
        </w:tc>
      </w:tr>
      <w:tr w:rsidR="00DC0730" w:rsidRPr="00DC0730" w14:paraId="37989F09" w14:textId="77777777" w:rsidTr="00DC0730">
        <w:trPr>
          <w:trHeight w:val="5610"/>
        </w:trPr>
        <w:tc>
          <w:tcPr>
            <w:tcW w:w="738" w:type="dxa"/>
            <w:hideMark/>
          </w:tcPr>
          <w:p w14:paraId="0334E91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2486</w:t>
            </w:r>
          </w:p>
        </w:tc>
        <w:tc>
          <w:tcPr>
            <w:tcW w:w="990" w:type="dxa"/>
            <w:hideMark/>
          </w:tcPr>
          <w:p w14:paraId="1FDE8DEB"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1725.00</w:t>
            </w:r>
          </w:p>
        </w:tc>
        <w:tc>
          <w:tcPr>
            <w:tcW w:w="1080" w:type="dxa"/>
            <w:hideMark/>
          </w:tcPr>
          <w:p w14:paraId="37F7283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10.3.2.17</w:t>
            </w:r>
          </w:p>
        </w:tc>
        <w:tc>
          <w:tcPr>
            <w:tcW w:w="3600" w:type="dxa"/>
            <w:hideMark/>
          </w:tcPr>
          <w:p w14:paraId="1FCDDD0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Field name components should not start with a lowercase letter</w:t>
            </w:r>
          </w:p>
        </w:tc>
        <w:tc>
          <w:tcPr>
            <w:tcW w:w="3600" w:type="dxa"/>
            <w:hideMark/>
          </w:tcPr>
          <w:p w14:paraId="37A45D3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to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throughout.  In Table 9-301 change "normal control frame" to "a Control frame that is not an NDP CMAC frame".  In 10.3.2.17 change "normal control response frame" to "control response frame that is not an NDP CMAC frame".  In 10.33.3 change "normal control response frames" to "control response frames that are not NDP CMAC frames" and "normal control frame" to "a Control frame that is not an NDP CMAC frame"</w:t>
            </w:r>
          </w:p>
        </w:tc>
      </w:tr>
      <w:tr w:rsidR="00DC0730" w:rsidRPr="00DC0730" w14:paraId="45ED4F62" w14:textId="77777777" w:rsidTr="00DC0730">
        <w:trPr>
          <w:trHeight w:val="2295"/>
        </w:trPr>
        <w:tc>
          <w:tcPr>
            <w:tcW w:w="738" w:type="dxa"/>
            <w:hideMark/>
          </w:tcPr>
          <w:p w14:paraId="7519DB8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2495</w:t>
            </w:r>
          </w:p>
        </w:tc>
        <w:tc>
          <w:tcPr>
            <w:tcW w:w="990" w:type="dxa"/>
            <w:hideMark/>
          </w:tcPr>
          <w:p w14:paraId="7C06EFC0" w14:textId="77777777" w:rsidR="00DC0730" w:rsidRPr="00DC0730" w:rsidRDefault="00DC0730" w:rsidP="00DC0730">
            <w:pPr>
              <w:jc w:val="right"/>
              <w:rPr>
                <w:rFonts w:ascii="Arial" w:eastAsia="Times New Roman" w:hAnsi="Arial" w:cs="Arial"/>
                <w:sz w:val="20"/>
                <w:lang w:val="en-US"/>
              </w:rPr>
            </w:pPr>
          </w:p>
        </w:tc>
        <w:tc>
          <w:tcPr>
            <w:tcW w:w="1080" w:type="dxa"/>
            <w:hideMark/>
          </w:tcPr>
          <w:p w14:paraId="31289DC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7E38921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Sometimes "DMSID" is used implicitly to refer to the DMSID field (e.g. "the DMSID shall be set to") and sometimes conversely "DMSID field" is used to refer to the identifier itself (e.g. "The DMSID field is assigned by the AP")</w:t>
            </w:r>
          </w:p>
        </w:tc>
        <w:tc>
          <w:tcPr>
            <w:tcW w:w="3600" w:type="dxa"/>
            <w:hideMark/>
          </w:tcPr>
          <w:p w14:paraId="5B4A2153"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Add "field" after "DMSID" throughout the document, except in Figures</w:t>
            </w:r>
          </w:p>
        </w:tc>
      </w:tr>
      <w:tr w:rsidR="00DC0730" w:rsidRPr="00DC0730" w14:paraId="6CBA4838" w14:textId="77777777" w:rsidTr="00DC0730">
        <w:trPr>
          <w:trHeight w:val="765"/>
        </w:trPr>
        <w:tc>
          <w:tcPr>
            <w:tcW w:w="738" w:type="dxa"/>
            <w:hideMark/>
          </w:tcPr>
          <w:p w14:paraId="3C0B417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2502</w:t>
            </w:r>
          </w:p>
        </w:tc>
        <w:tc>
          <w:tcPr>
            <w:tcW w:w="990" w:type="dxa"/>
            <w:hideMark/>
          </w:tcPr>
          <w:p w14:paraId="16DB241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7003254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43B9AF6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0." duplicates Table 9-427</w:t>
            </w:r>
          </w:p>
        </w:tc>
        <w:tc>
          <w:tcPr>
            <w:tcW w:w="3600" w:type="dxa"/>
            <w:hideMark/>
          </w:tcPr>
          <w:p w14:paraId="458A7BC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DC0730" w:rsidRPr="00DC0730" w14:paraId="7B0F6F3B" w14:textId="77777777" w:rsidTr="00DC0730">
        <w:trPr>
          <w:trHeight w:val="765"/>
        </w:trPr>
        <w:tc>
          <w:tcPr>
            <w:tcW w:w="738" w:type="dxa"/>
            <w:hideMark/>
          </w:tcPr>
          <w:p w14:paraId="4171738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2503</w:t>
            </w:r>
          </w:p>
        </w:tc>
        <w:tc>
          <w:tcPr>
            <w:tcW w:w="990" w:type="dxa"/>
            <w:hideMark/>
          </w:tcPr>
          <w:p w14:paraId="386993C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4557FB2F"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5B4C208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1." duplicates Table 9-427</w:t>
            </w:r>
          </w:p>
        </w:tc>
        <w:tc>
          <w:tcPr>
            <w:tcW w:w="3600" w:type="dxa"/>
            <w:hideMark/>
          </w:tcPr>
          <w:p w14:paraId="1287B3F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DC0730" w:rsidRPr="00DC0730" w14:paraId="4AB954E9" w14:textId="77777777" w:rsidTr="00DC0730">
        <w:trPr>
          <w:trHeight w:val="1785"/>
        </w:trPr>
        <w:tc>
          <w:tcPr>
            <w:tcW w:w="738" w:type="dxa"/>
            <w:hideMark/>
          </w:tcPr>
          <w:p w14:paraId="1A2B113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2513</w:t>
            </w:r>
          </w:p>
        </w:tc>
        <w:tc>
          <w:tcPr>
            <w:tcW w:w="990" w:type="dxa"/>
            <w:hideMark/>
          </w:tcPr>
          <w:p w14:paraId="01410CBB"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2302.00</w:t>
            </w:r>
          </w:p>
        </w:tc>
        <w:tc>
          <w:tcPr>
            <w:tcW w:w="1080" w:type="dxa"/>
            <w:hideMark/>
          </w:tcPr>
          <w:p w14:paraId="379224E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11.15.3.3</w:t>
            </w:r>
          </w:p>
        </w:tc>
        <w:tc>
          <w:tcPr>
            <w:tcW w:w="3600" w:type="dxa"/>
            <w:hideMark/>
          </w:tcPr>
          <w:p w14:paraId="7C9F340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"When switching a 20/40 MHz BSS to 20 MHz BSS mode" -- "20 MHz BSS mode" is not described anywhere.  Ditto "the 20/40 BSS mode" in O.5.2</w:t>
            </w:r>
          </w:p>
        </w:tc>
        <w:tc>
          <w:tcPr>
            <w:tcW w:w="3600" w:type="dxa"/>
            <w:hideMark/>
          </w:tcPr>
          <w:p w14:paraId="029C8C2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"to 20 MHz BSS mode" in 11.15.3.3 to "to an operating channel width of 20 MHz"; change "the 20/40 BSS mode" in O.5.2 to "40 MHz operating channel width"</w:t>
            </w:r>
          </w:p>
        </w:tc>
      </w:tr>
      <w:tr w:rsidR="00DC0730" w:rsidRPr="00DC0730" w14:paraId="317BD707" w14:textId="77777777" w:rsidTr="00DC0730">
        <w:trPr>
          <w:trHeight w:val="4335"/>
        </w:trPr>
        <w:tc>
          <w:tcPr>
            <w:tcW w:w="738" w:type="dxa"/>
            <w:hideMark/>
          </w:tcPr>
          <w:p w14:paraId="42FB56F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2617</w:t>
            </w:r>
          </w:p>
        </w:tc>
        <w:tc>
          <w:tcPr>
            <w:tcW w:w="990" w:type="dxa"/>
            <w:hideMark/>
          </w:tcPr>
          <w:p w14:paraId="3F436CC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18B04F6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3EE3F99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4AEAEC6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the cited text at the referenced location add "shall have dot11BSSTransitionImplemented set to true," after "equal to true"</w:t>
            </w:r>
          </w:p>
        </w:tc>
      </w:tr>
      <w:tr w:rsidR="00DC0730" w:rsidRPr="00DC0730" w14:paraId="737C0C77" w14:textId="77777777" w:rsidTr="00DC0730">
        <w:trPr>
          <w:trHeight w:val="1275"/>
        </w:trPr>
        <w:tc>
          <w:tcPr>
            <w:tcW w:w="738" w:type="dxa"/>
            <w:hideMark/>
          </w:tcPr>
          <w:p w14:paraId="76F4F67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2556</w:t>
            </w:r>
          </w:p>
        </w:tc>
        <w:tc>
          <w:tcPr>
            <w:tcW w:w="990" w:type="dxa"/>
            <w:hideMark/>
          </w:tcPr>
          <w:p w14:paraId="2E9F312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785.00</w:t>
            </w:r>
          </w:p>
        </w:tc>
        <w:tc>
          <w:tcPr>
            <w:tcW w:w="1080" w:type="dxa"/>
            <w:hideMark/>
          </w:tcPr>
          <w:p w14:paraId="2C2D98C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9.2.4.2</w:t>
            </w:r>
          </w:p>
        </w:tc>
        <w:tc>
          <w:tcPr>
            <w:tcW w:w="3600" w:type="dxa"/>
            <w:hideMark/>
          </w:tcPr>
          <w:p w14:paraId="6C4B14E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all other frames sent by non-QoS STAs and Control frames sent by QoS STAs," -- not all Control frames</w:t>
            </w:r>
          </w:p>
        </w:tc>
        <w:tc>
          <w:tcPr>
            <w:tcW w:w="3600" w:type="dxa"/>
            <w:hideMark/>
          </w:tcPr>
          <w:p w14:paraId="176E09D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"In all other frames sent by non-QoS STAs and other Control frames sent by QoS STAs,"</w:t>
            </w:r>
          </w:p>
        </w:tc>
      </w:tr>
      <w:tr w:rsidR="00DC0730" w:rsidRPr="00DC0730" w14:paraId="1A161C4B" w14:textId="77777777" w:rsidTr="00DC0730">
        <w:trPr>
          <w:trHeight w:val="5355"/>
        </w:trPr>
        <w:tc>
          <w:tcPr>
            <w:tcW w:w="738" w:type="dxa"/>
            <w:hideMark/>
          </w:tcPr>
          <w:p w14:paraId="78F7142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2616</w:t>
            </w:r>
          </w:p>
        </w:tc>
        <w:tc>
          <w:tcPr>
            <w:tcW w:w="990" w:type="dxa"/>
            <w:hideMark/>
          </w:tcPr>
          <w:p w14:paraId="39CC539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1439.00</w:t>
            </w:r>
          </w:p>
        </w:tc>
        <w:tc>
          <w:tcPr>
            <w:tcW w:w="1080" w:type="dxa"/>
            <w:hideMark/>
          </w:tcPr>
          <w:p w14:paraId="6EAE94D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9.4.3</w:t>
            </w:r>
          </w:p>
        </w:tc>
        <w:tc>
          <w:tcPr>
            <w:tcW w:w="3600" w:type="dxa"/>
            <w:hideMark/>
          </w:tcPr>
          <w:p w14:paraId="3A914B5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All the statements of the form "The $blah field contains zero or more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format and ordering of</w:t>
            </w:r>
            <w:r w:rsidRPr="00DC0730">
              <w:rPr>
                <w:rFonts w:ascii="Arial" w:eastAsia="Times New Roman" w:hAnsi="Arial" w:cs="Arial"/>
                <w:sz w:val="20"/>
                <w:lang w:val="en-US"/>
              </w:rPr>
              <w:br/>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defined in 9.4.3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unclear as to whether you can have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Having more than one could lead to interop issues (for example, if there are two Originator Requesting STA MAC Address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in a Location Civic request, how does the receiver know the requesting STA MAC address?)</w:t>
            </w:r>
          </w:p>
        </w:tc>
        <w:tc>
          <w:tcPr>
            <w:tcW w:w="3600" w:type="dxa"/>
            <w:hideMark/>
          </w:tcPr>
          <w:p w14:paraId="7304CC1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Add a para at the end of 9.4.3: "Unless stated otherwise, no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apart from Vendor Specific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is present within an element."</w:t>
            </w:r>
          </w:p>
        </w:tc>
      </w:tr>
      <w:tr w:rsidR="00DC0730" w:rsidRPr="00DC0730" w14:paraId="6E55FE79" w14:textId="77777777" w:rsidTr="00DC0730">
        <w:trPr>
          <w:trHeight w:val="3570"/>
        </w:trPr>
        <w:tc>
          <w:tcPr>
            <w:tcW w:w="738" w:type="dxa"/>
            <w:hideMark/>
          </w:tcPr>
          <w:p w14:paraId="5D483AFE"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2562</w:t>
            </w:r>
          </w:p>
        </w:tc>
        <w:tc>
          <w:tcPr>
            <w:tcW w:w="990" w:type="dxa"/>
            <w:hideMark/>
          </w:tcPr>
          <w:p w14:paraId="370C02A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1626.00</w:t>
            </w:r>
          </w:p>
        </w:tc>
        <w:tc>
          <w:tcPr>
            <w:tcW w:w="1080" w:type="dxa"/>
            <w:hideMark/>
          </w:tcPr>
          <w:p w14:paraId="62CDCAF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9.6.20.7</w:t>
            </w:r>
          </w:p>
        </w:tc>
        <w:tc>
          <w:tcPr>
            <w:tcW w:w="3600" w:type="dxa"/>
            <w:hideMark/>
          </w:tcPr>
          <w:p w14:paraId="0BEFE52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 MMPDU Frame Body subfield carries the content of the Frame Body field of an MMPDU that would</w:t>
            </w:r>
            <w:r w:rsidRPr="00DC0730">
              <w:rPr>
                <w:rFonts w:ascii="Arial" w:eastAsia="Times New Roman" w:hAnsi="Arial" w:cs="Arial"/>
                <w:sz w:val="20"/>
                <w:lang w:val="en-US"/>
              </w:rPr>
              <w:br/>
              <w:t>be constructed if the MMPDU for the corresponding management frame type were transmitted over the air</w:t>
            </w:r>
            <w:r w:rsidRPr="00DC0730">
              <w:rPr>
                <w:rFonts w:ascii="Arial" w:eastAsia="Times New Roman" w:hAnsi="Arial" w:cs="Arial"/>
                <w:sz w:val="20"/>
                <w:lang w:val="en-US"/>
              </w:rPr>
              <w:br/>
              <w:t>(i.e., all of the octets after the MAC header and up to, but not including, the FCS)." -- not clear if this includes encryption, if PMF is in effect</w:t>
            </w:r>
          </w:p>
        </w:tc>
        <w:tc>
          <w:tcPr>
            <w:tcW w:w="3600" w:type="dxa"/>
            <w:hideMark/>
          </w:tcPr>
          <w:p w14:paraId="0D3611D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After "transmitted" add "unencrypted" in the cited text at the referenced location</w:t>
            </w:r>
          </w:p>
        </w:tc>
      </w:tr>
      <w:tr w:rsidR="00DC0730" w:rsidRPr="00DC0730" w14:paraId="1975A0D7" w14:textId="77777777" w:rsidTr="00DC0730">
        <w:trPr>
          <w:trHeight w:val="8190"/>
        </w:trPr>
        <w:tc>
          <w:tcPr>
            <w:tcW w:w="738" w:type="dxa"/>
            <w:hideMark/>
          </w:tcPr>
          <w:p w14:paraId="741064B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2566</w:t>
            </w:r>
          </w:p>
        </w:tc>
        <w:tc>
          <w:tcPr>
            <w:tcW w:w="990" w:type="dxa"/>
            <w:hideMark/>
          </w:tcPr>
          <w:p w14:paraId="33F48497"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2478.00</w:t>
            </w:r>
          </w:p>
        </w:tc>
        <w:tc>
          <w:tcPr>
            <w:tcW w:w="1080" w:type="dxa"/>
            <w:hideMark/>
          </w:tcPr>
          <w:p w14:paraId="468F730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11.41</w:t>
            </w:r>
          </w:p>
        </w:tc>
        <w:tc>
          <w:tcPr>
            <w:tcW w:w="3600" w:type="dxa"/>
            <w:hideMark/>
          </w:tcPr>
          <w:p w14:paraId="083D2CD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sidRPr="00DC0730">
              <w:rPr>
                <w:rFonts w:ascii="Arial" w:eastAsia="Times New Roman" w:hAnsi="Arial" w:cs="Arial"/>
                <w:sz w:val="20"/>
                <w:lang w:val="en-US"/>
              </w:rPr>
              <w:br/>
              <w:t>non-AP STA cannot tolerate frame loss during that period it can set the Power Management subfield of the Frame</w:t>
            </w:r>
            <w:r w:rsidRPr="00DC0730">
              <w:rPr>
                <w:rFonts w:ascii="Arial" w:eastAsia="Times New Roman" w:hAnsi="Arial" w:cs="Arial"/>
                <w:sz w:val="20"/>
                <w:lang w:val="en-US"/>
              </w:rPr>
              <w:br/>
              <w:t>Control field of the Operating Mode Notification frame to 1 to indicate that the STA has entered power save. When the</w:t>
            </w:r>
            <w:r w:rsidRPr="00DC0730">
              <w:rPr>
                <w:rFonts w:ascii="Arial" w:eastAsia="Times New Roman" w:hAnsi="Arial" w:cs="Arial"/>
                <w:sz w:val="20"/>
                <w:lang w:val="en-US"/>
              </w:rPr>
              <w:br/>
              <w:t>non-AP STA has completed its operating mode change, it can send another frame (such as a QoS Null) with the Frame</w:t>
            </w:r>
            <w:r w:rsidRPr="00DC0730">
              <w:rPr>
                <w:rFonts w:ascii="Arial" w:eastAsia="Times New Roman" w:hAnsi="Arial" w:cs="Arial"/>
                <w:sz w:val="20"/>
                <w:lang w:val="en-US"/>
              </w:rPr>
              <w:br/>
              <w:t>Control Power Management subfield set to 0 to indicate that the STA has exited power save." -- the mixing of plain "STA" and "non-AP STA" is confusing (it suggests two different STAs")</w:t>
            </w:r>
          </w:p>
        </w:tc>
        <w:tc>
          <w:tcPr>
            <w:tcW w:w="3600" w:type="dxa"/>
            <w:hideMark/>
          </w:tcPr>
          <w:p w14:paraId="2DEDDE4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Delete "non-AP " throughout the cited text at the referenced location</w:t>
            </w:r>
          </w:p>
        </w:tc>
      </w:tr>
      <w:tr w:rsidR="00DC0730" w:rsidRPr="00DC0730" w14:paraId="54D3652A" w14:textId="77777777" w:rsidTr="00DC0730">
        <w:trPr>
          <w:trHeight w:val="1275"/>
        </w:trPr>
        <w:tc>
          <w:tcPr>
            <w:tcW w:w="738" w:type="dxa"/>
            <w:hideMark/>
          </w:tcPr>
          <w:p w14:paraId="50A8176B"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2576</w:t>
            </w:r>
          </w:p>
        </w:tc>
        <w:tc>
          <w:tcPr>
            <w:tcW w:w="990" w:type="dxa"/>
            <w:hideMark/>
          </w:tcPr>
          <w:p w14:paraId="5B97505E"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1336.00</w:t>
            </w:r>
          </w:p>
        </w:tc>
        <w:tc>
          <w:tcPr>
            <w:tcW w:w="1080" w:type="dxa"/>
            <w:hideMark/>
          </w:tcPr>
          <w:p w14:paraId="56F3009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9.4.2.170</w:t>
            </w:r>
          </w:p>
        </w:tc>
        <w:tc>
          <w:tcPr>
            <w:tcW w:w="3600" w:type="dxa"/>
            <w:hideMark/>
          </w:tcPr>
          <w:p w14:paraId="436A5D8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The Reduced Neighbor Report is </w:t>
            </w:r>
            <w:proofErr w:type="gramStart"/>
            <w:r w:rsidRPr="00DC0730">
              <w:rPr>
                <w:rFonts w:ascii="Arial" w:eastAsia="Times New Roman" w:hAnsi="Arial" w:cs="Arial"/>
                <w:sz w:val="20"/>
                <w:lang w:val="en-US"/>
              </w:rPr>
              <w:t>actually about</w:t>
            </w:r>
            <w:proofErr w:type="gramEnd"/>
            <w:r w:rsidRPr="00DC0730">
              <w:rPr>
                <w:rFonts w:ascii="Arial" w:eastAsia="Times New Roman" w:hAnsi="Arial" w:cs="Arial"/>
                <w:sz w:val="20"/>
                <w:lang w:val="en-US"/>
              </w:rPr>
              <w:t xml:space="preserve">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  </w:t>
            </w:r>
            <w:proofErr w:type="gramStart"/>
            <w:r w:rsidRPr="00DC0730">
              <w:rPr>
                <w:rFonts w:ascii="Arial" w:eastAsia="Times New Roman" w:hAnsi="Arial" w:cs="Arial"/>
                <w:sz w:val="20"/>
                <w:lang w:val="en-US"/>
              </w:rPr>
              <w:t>So</w:t>
            </w:r>
            <w:proofErr w:type="gramEnd"/>
            <w:r w:rsidRPr="00DC0730">
              <w:rPr>
                <w:rFonts w:ascii="Arial" w:eastAsia="Times New Roman" w:hAnsi="Arial" w:cs="Arial"/>
                <w:sz w:val="20"/>
                <w:lang w:val="en-US"/>
              </w:rPr>
              <w:t xml:space="preserve"> the fields therein should refer to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w:t>
            </w:r>
          </w:p>
        </w:tc>
        <w:tc>
          <w:tcPr>
            <w:tcW w:w="3600" w:type="dxa"/>
            <w:hideMark/>
          </w:tcPr>
          <w:p w14:paraId="6293A2A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Throughout the referenced subclause change "AP" to "BSS"</w:t>
            </w:r>
          </w:p>
        </w:tc>
      </w:tr>
      <w:tr w:rsidR="00DC0730" w:rsidRPr="00DC0730" w14:paraId="5C40EF03" w14:textId="77777777" w:rsidTr="00DC0730">
        <w:trPr>
          <w:trHeight w:val="765"/>
        </w:trPr>
        <w:tc>
          <w:tcPr>
            <w:tcW w:w="738" w:type="dxa"/>
            <w:hideMark/>
          </w:tcPr>
          <w:p w14:paraId="4CDCD23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2577</w:t>
            </w:r>
          </w:p>
        </w:tc>
        <w:tc>
          <w:tcPr>
            <w:tcW w:w="990" w:type="dxa"/>
            <w:hideMark/>
          </w:tcPr>
          <w:p w14:paraId="4E78D57A"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0CA2993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4DBA78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w:t>
            </w:r>
          </w:p>
        </w:tc>
        <w:tc>
          <w:tcPr>
            <w:tcW w:w="3600" w:type="dxa"/>
            <w:hideMark/>
          </w:tcPr>
          <w:p w14:paraId="09B768E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to "the SSID of the BSS the responding STA is a member of"</w:t>
            </w:r>
          </w:p>
        </w:tc>
      </w:tr>
      <w:tr w:rsidR="00DC0730" w:rsidRPr="00DC0730" w14:paraId="28488B78" w14:textId="77777777" w:rsidTr="00DC0730">
        <w:trPr>
          <w:trHeight w:val="2550"/>
        </w:trPr>
        <w:tc>
          <w:tcPr>
            <w:tcW w:w="738" w:type="dxa"/>
            <w:hideMark/>
          </w:tcPr>
          <w:p w14:paraId="421E38A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2578</w:t>
            </w:r>
          </w:p>
        </w:tc>
        <w:tc>
          <w:tcPr>
            <w:tcW w:w="990" w:type="dxa"/>
            <w:hideMark/>
          </w:tcPr>
          <w:p w14:paraId="1C70547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1C64D4A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33F2E2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  Ditto "compressed SSID of the AP.", "corresponding SSID of the responding AP.", "corresponding SSID of that AP", "SSID of the AP", "SSID of the AP or PCP".  Ditto "BSSID of"</w:t>
            </w:r>
          </w:p>
        </w:tc>
        <w:tc>
          <w:tcPr>
            <w:tcW w:w="3600" w:type="dxa"/>
            <w:hideMark/>
          </w:tcPr>
          <w:p w14:paraId="09DAC1C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to refer to the BSS the STA/AP is a member of</w:t>
            </w:r>
          </w:p>
        </w:tc>
      </w:tr>
      <w:tr w:rsidR="00DC0730" w:rsidRPr="00DC0730" w14:paraId="63BF89E1" w14:textId="77777777" w:rsidTr="00DC0730">
        <w:trPr>
          <w:trHeight w:val="1530"/>
        </w:trPr>
        <w:tc>
          <w:tcPr>
            <w:tcW w:w="738" w:type="dxa"/>
            <w:hideMark/>
          </w:tcPr>
          <w:p w14:paraId="021B397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2581</w:t>
            </w:r>
          </w:p>
        </w:tc>
        <w:tc>
          <w:tcPr>
            <w:tcW w:w="990" w:type="dxa"/>
            <w:hideMark/>
          </w:tcPr>
          <w:p w14:paraId="6978268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2137.00</w:t>
            </w:r>
          </w:p>
        </w:tc>
        <w:tc>
          <w:tcPr>
            <w:tcW w:w="1080" w:type="dxa"/>
            <w:hideMark/>
          </w:tcPr>
          <w:p w14:paraId="416BE26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11.1.4.3.8</w:t>
            </w:r>
          </w:p>
        </w:tc>
        <w:tc>
          <w:tcPr>
            <w:tcW w:w="3600" w:type="dxa"/>
            <w:hideMark/>
          </w:tcPr>
          <w:p w14:paraId="62D8E7C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"If a Probe Request frame includes a Request element that the element ID of the Reduced Neighbor</w:t>
            </w:r>
            <w:r w:rsidRPr="00DC0730">
              <w:rPr>
                <w:rFonts w:ascii="Arial" w:eastAsia="Times New Roman" w:hAnsi="Arial" w:cs="Arial"/>
                <w:sz w:val="20"/>
                <w:lang w:val="en-US"/>
              </w:rPr>
              <w:br/>
              <w:t>Report Request element" is garbled</w:t>
            </w:r>
          </w:p>
        </w:tc>
        <w:tc>
          <w:tcPr>
            <w:tcW w:w="3600" w:type="dxa"/>
            <w:hideMark/>
          </w:tcPr>
          <w:p w14:paraId="364081C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Add "contains" after "that" in the cited text at the referenced location</w:t>
            </w:r>
          </w:p>
        </w:tc>
      </w:tr>
      <w:tr w:rsidR="00DC0730" w:rsidRPr="00DC0730" w14:paraId="2E6C8E1D" w14:textId="77777777" w:rsidTr="00DC0730">
        <w:trPr>
          <w:trHeight w:val="2040"/>
        </w:trPr>
        <w:tc>
          <w:tcPr>
            <w:tcW w:w="738" w:type="dxa"/>
            <w:hideMark/>
          </w:tcPr>
          <w:p w14:paraId="46196DBB"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2476</w:t>
            </w:r>
          </w:p>
        </w:tc>
        <w:tc>
          <w:tcPr>
            <w:tcW w:w="990" w:type="dxa"/>
            <w:hideMark/>
          </w:tcPr>
          <w:p w14:paraId="58937579"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2131.00</w:t>
            </w:r>
          </w:p>
        </w:tc>
        <w:tc>
          <w:tcPr>
            <w:tcW w:w="1080" w:type="dxa"/>
            <w:hideMark/>
          </w:tcPr>
          <w:p w14:paraId="2C0E9B4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47685B2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 SSID in the Probe Request frame matches the SSID of the STA's." -- the STA's what?</w:t>
            </w:r>
          </w:p>
        </w:tc>
        <w:tc>
          <w:tcPr>
            <w:tcW w:w="3600" w:type="dxa"/>
            <w:hideMark/>
          </w:tcPr>
          <w:p w14:paraId="097D7E8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cited text to "The SSID in the Probe Request frame matches the SSID of the BSS the STA is a member of, if any."  At line 21 change "STA's BSS" to "BSS the STA is a member of, if any"</w:t>
            </w:r>
          </w:p>
        </w:tc>
      </w:tr>
      <w:tr w:rsidR="00DC0730" w:rsidRPr="00DC0730" w14:paraId="2F8079C7" w14:textId="77777777" w:rsidTr="00DC0730">
        <w:trPr>
          <w:trHeight w:val="3570"/>
        </w:trPr>
        <w:tc>
          <w:tcPr>
            <w:tcW w:w="738" w:type="dxa"/>
            <w:hideMark/>
          </w:tcPr>
          <w:p w14:paraId="1594AC6E"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2553</w:t>
            </w:r>
          </w:p>
        </w:tc>
        <w:tc>
          <w:tcPr>
            <w:tcW w:w="990" w:type="dxa"/>
            <w:hideMark/>
          </w:tcPr>
          <w:p w14:paraId="03A7ACCA"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834.00</w:t>
            </w:r>
          </w:p>
        </w:tc>
        <w:tc>
          <w:tcPr>
            <w:tcW w:w="1080" w:type="dxa"/>
            <w:hideMark/>
          </w:tcPr>
          <w:p w14:paraId="529C770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9.3.1.18</w:t>
            </w:r>
          </w:p>
        </w:tc>
        <w:tc>
          <w:tcPr>
            <w:tcW w:w="3600" w:type="dxa"/>
            <w:hideMark/>
          </w:tcPr>
          <w:p w14:paraId="578F49D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Should not be spreading the rules for Duration field setting across multiple places</w:t>
            </w:r>
          </w:p>
        </w:tc>
        <w:tc>
          <w:tcPr>
            <w:tcW w:w="3600" w:type="dxa"/>
            <w:hideMark/>
          </w:tcPr>
          <w:p w14:paraId="2F10B87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At the referenced location change "The Duration field is set to the value obtained from the Duration/ID field of the immediately previous Grant</w:t>
            </w:r>
            <w:r w:rsidRPr="00DC0730">
              <w:rPr>
                <w:rFonts w:ascii="Arial" w:eastAsia="Times New Roman" w:hAnsi="Arial" w:cs="Arial"/>
                <w:sz w:val="20"/>
                <w:lang w:val="en-US"/>
              </w:rPr>
              <w:br/>
              <w:t>frame minus the time, in microseconds, required to transmit the Grant Ack frame and its SIFS interval." to "The Duration field value is set as defined in 9.2.5 (Duration/ID field (QoS STA)). "</w:t>
            </w:r>
          </w:p>
        </w:tc>
      </w:tr>
      <w:tr w:rsidR="00BF3998" w:rsidRPr="00DC0730" w14:paraId="52382DA1" w14:textId="77777777" w:rsidTr="00DC0730">
        <w:trPr>
          <w:trHeight w:val="3570"/>
        </w:trPr>
        <w:tc>
          <w:tcPr>
            <w:tcW w:w="738" w:type="dxa"/>
          </w:tcPr>
          <w:p w14:paraId="5113FAF7" w14:textId="11649F1A" w:rsidR="00BF3998" w:rsidRPr="00DC0730" w:rsidRDefault="00BF3998" w:rsidP="00DC0730">
            <w:pPr>
              <w:jc w:val="right"/>
              <w:rPr>
                <w:rFonts w:ascii="Arial" w:eastAsia="Times New Roman" w:hAnsi="Arial" w:cs="Arial"/>
                <w:sz w:val="20"/>
                <w:lang w:val="en-US"/>
              </w:rPr>
            </w:pPr>
            <w:r>
              <w:rPr>
                <w:rFonts w:ascii="Arial" w:eastAsia="Times New Roman" w:hAnsi="Arial" w:cs="Arial"/>
                <w:sz w:val="20"/>
                <w:lang w:val="en-US"/>
              </w:rPr>
              <w:lastRenderedPageBreak/>
              <w:t>2119</w:t>
            </w:r>
          </w:p>
        </w:tc>
        <w:tc>
          <w:tcPr>
            <w:tcW w:w="990" w:type="dxa"/>
          </w:tcPr>
          <w:p w14:paraId="068FA5C2" w14:textId="2917FBDA" w:rsidR="00BF3998" w:rsidRPr="00DC0730" w:rsidRDefault="00BF3998" w:rsidP="00DC0730">
            <w:pPr>
              <w:jc w:val="right"/>
              <w:rPr>
                <w:rFonts w:ascii="Arial" w:eastAsia="Times New Roman" w:hAnsi="Arial" w:cs="Arial"/>
                <w:sz w:val="20"/>
                <w:lang w:val="en-US"/>
              </w:rPr>
            </w:pPr>
            <w:r>
              <w:rPr>
                <w:rFonts w:ascii="Arial" w:eastAsia="Times New Roman" w:hAnsi="Arial" w:cs="Arial"/>
                <w:sz w:val="20"/>
                <w:lang w:val="en-US"/>
              </w:rPr>
              <w:t>584.13</w:t>
            </w:r>
          </w:p>
        </w:tc>
        <w:tc>
          <w:tcPr>
            <w:tcW w:w="1080" w:type="dxa"/>
          </w:tcPr>
          <w:p w14:paraId="4FD6B6A7" w14:textId="1EFDA907" w:rsidR="00BF3998" w:rsidRPr="00DC0730" w:rsidRDefault="00BF3998" w:rsidP="00DC0730">
            <w:pPr>
              <w:rPr>
                <w:rFonts w:ascii="Arial" w:eastAsia="Times New Roman" w:hAnsi="Arial" w:cs="Arial"/>
                <w:sz w:val="20"/>
                <w:lang w:val="en-US"/>
              </w:rPr>
            </w:pPr>
            <w:r>
              <w:rPr>
                <w:rFonts w:ascii="Arial" w:eastAsia="Times New Roman" w:hAnsi="Arial" w:cs="Arial"/>
                <w:sz w:val="20"/>
                <w:lang w:val="en-US"/>
              </w:rPr>
              <w:t>6.3.71.4.2</w:t>
            </w:r>
          </w:p>
        </w:tc>
        <w:tc>
          <w:tcPr>
            <w:tcW w:w="3600" w:type="dxa"/>
          </w:tcPr>
          <w:p w14:paraId="7B2A00D4" w14:textId="21418455" w:rsidR="00BF3998" w:rsidRPr="00DC0730" w:rsidRDefault="00BF3998" w:rsidP="00DC0730">
            <w:pPr>
              <w:rPr>
                <w:rFonts w:ascii="Arial" w:eastAsia="Times New Roman" w:hAnsi="Arial" w:cs="Arial"/>
                <w:sz w:val="20"/>
                <w:lang w:val="en-US"/>
              </w:rPr>
            </w:pPr>
            <w:r w:rsidRPr="00BF3998">
              <w:rPr>
                <w:rFonts w:ascii="Arial" w:eastAsia="Times New Roman" w:hAnsi="Arial" w:cs="Arial"/>
                <w:sz w:val="20"/>
                <w:lang w:val="en-US"/>
              </w:rPr>
              <w:t>"</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to be consistent with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GAS.request</w:t>
            </w:r>
            <w:proofErr w:type="spellEnd"/>
            <w:r w:rsidRPr="00BF3998">
              <w:rPr>
                <w:rFonts w:ascii="Arial" w:eastAsia="Times New Roman" w:hAnsi="Arial" w:cs="Arial"/>
                <w:sz w:val="20"/>
                <w:lang w:val="en-US"/>
              </w:rPr>
              <w:t xml:space="preserve"> and MLME-</w:t>
            </w:r>
            <w:proofErr w:type="spellStart"/>
            <w:r w:rsidRPr="00BF3998">
              <w:rPr>
                <w:rFonts w:ascii="Arial" w:eastAsia="Times New Roman" w:hAnsi="Arial" w:cs="Arial"/>
                <w:sz w:val="20"/>
                <w:lang w:val="en-US"/>
              </w:rPr>
              <w:t>GAS.confirm</w:t>
            </w:r>
            <w:proofErr w:type="spellEnd"/>
            <w:r w:rsidRPr="00BF3998">
              <w:rPr>
                <w:rFonts w:ascii="Arial" w:eastAsia="Times New Roman" w:hAnsi="Arial" w:cs="Arial"/>
                <w:sz w:val="20"/>
                <w:lang w:val="en-US"/>
              </w:rPr>
              <w:t xml:space="preserve"> primitives, the first parameter is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xml:space="preserve"> primitive, the parameter is named as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To be consistent,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w:t>
            </w:r>
          </w:p>
        </w:tc>
        <w:tc>
          <w:tcPr>
            <w:tcW w:w="3600" w:type="dxa"/>
          </w:tcPr>
          <w:p w14:paraId="156EAEE4" w14:textId="41FE3DF2" w:rsidR="00BF3998" w:rsidRPr="00DC0730" w:rsidRDefault="00BF3998" w:rsidP="00DC0730">
            <w:pPr>
              <w:rPr>
                <w:rFonts w:ascii="Arial" w:eastAsia="Times New Roman" w:hAnsi="Arial" w:cs="Arial"/>
                <w:sz w:val="20"/>
                <w:lang w:val="en-US"/>
              </w:rPr>
            </w:pPr>
            <w:commentRangeStart w:id="2"/>
            <w:r w:rsidRPr="00BF3998">
              <w:rPr>
                <w:rFonts w:ascii="Arial" w:eastAsia="Times New Roman" w:hAnsi="Arial" w:cs="Arial"/>
                <w:sz w:val="20"/>
                <w:lang w:val="en-US"/>
              </w:rPr>
              <w:t>In 6.3.71.4.2, change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xml:space="preserve">" </w:t>
            </w:r>
            <w:proofErr w:type="gramStart"/>
            <w:r w:rsidRPr="00BF3998">
              <w:rPr>
                <w:rFonts w:ascii="Arial" w:eastAsia="Times New Roman" w:hAnsi="Arial" w:cs="Arial"/>
                <w:sz w:val="20"/>
                <w:lang w:val="en-US"/>
              </w:rPr>
              <w:t>to  "</w:t>
            </w:r>
            <w:proofErr w:type="spellStart"/>
            <w:proofErr w:type="gramEnd"/>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at 584.13 and 584.29.</w:t>
            </w:r>
            <w:commentRangeEnd w:id="2"/>
            <w:r>
              <w:rPr>
                <w:rStyle w:val="CommentReference"/>
              </w:rPr>
              <w:commentReference w:id="2"/>
            </w:r>
          </w:p>
        </w:tc>
      </w:tr>
    </w:tbl>
    <w:p w14:paraId="4B1AF0ED" w14:textId="77777777" w:rsidR="00AA71CC" w:rsidRDefault="00AA71CC" w:rsidP="00AA71CC"/>
    <w:p w14:paraId="566D5E4E" w14:textId="77777777" w:rsidR="00DA6337" w:rsidRDefault="00DA6337">
      <w:pPr>
        <w:rPr>
          <w:b/>
          <w:sz w:val="20"/>
        </w:rPr>
      </w:pPr>
      <w:r>
        <w:rPr>
          <w:b/>
          <w:sz w:val="20"/>
        </w:rPr>
        <w:br w:type="page"/>
      </w:r>
    </w:p>
    <w:p w14:paraId="01A6EB8F" w14:textId="167118B7" w:rsidR="00BA31EC" w:rsidRPr="004A4E87" w:rsidRDefault="00BA31EC" w:rsidP="00BA31EC">
      <w:pPr>
        <w:rPr>
          <w:b/>
          <w:sz w:val="40"/>
        </w:rPr>
      </w:pPr>
      <w:r>
        <w:rPr>
          <w:b/>
          <w:sz w:val="40"/>
        </w:rPr>
        <w:lastRenderedPageBreak/>
        <w:t>Completed</w:t>
      </w:r>
      <w:r w:rsidRPr="004A4E87">
        <w:rPr>
          <w:b/>
          <w:sz w:val="40"/>
        </w:rPr>
        <w:t>:</w:t>
      </w:r>
    </w:p>
    <w:p w14:paraId="7BA77482" w14:textId="05041890"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48EBCD81" w14:textId="77777777" w:rsidTr="000F25F3">
        <w:trPr>
          <w:trHeight w:val="524"/>
        </w:trPr>
        <w:tc>
          <w:tcPr>
            <w:tcW w:w="738" w:type="dxa"/>
            <w:hideMark/>
          </w:tcPr>
          <w:p w14:paraId="69882C0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80E05A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CFC7E5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D887852"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77CC70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0FE0ECEE" w14:textId="77777777" w:rsidTr="000F25F3">
        <w:trPr>
          <w:trHeight w:val="632"/>
        </w:trPr>
        <w:tc>
          <w:tcPr>
            <w:tcW w:w="738" w:type="dxa"/>
            <w:hideMark/>
          </w:tcPr>
          <w:p w14:paraId="19379AA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2087</w:t>
            </w:r>
          </w:p>
        </w:tc>
        <w:tc>
          <w:tcPr>
            <w:tcW w:w="990" w:type="dxa"/>
            <w:hideMark/>
          </w:tcPr>
          <w:p w14:paraId="05354C9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35</w:t>
            </w:r>
          </w:p>
        </w:tc>
        <w:tc>
          <w:tcPr>
            <w:tcW w:w="1080" w:type="dxa"/>
            <w:hideMark/>
          </w:tcPr>
          <w:p w14:paraId="68C72439"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3AC59ED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Refer to "Supported Rates and BSS Membership Selectors" as element</w:t>
            </w:r>
          </w:p>
        </w:tc>
        <w:tc>
          <w:tcPr>
            <w:tcW w:w="3600" w:type="dxa"/>
            <w:hideMark/>
          </w:tcPr>
          <w:p w14:paraId="4A6B4272"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"field" to "element" in last column.</w:t>
            </w:r>
          </w:p>
        </w:tc>
      </w:tr>
    </w:tbl>
    <w:p w14:paraId="42EE0DF3" w14:textId="77777777" w:rsidR="00620AC3" w:rsidRDefault="00620AC3" w:rsidP="00620AC3"/>
    <w:p w14:paraId="4199F28D" w14:textId="77777777" w:rsidR="00620AC3" w:rsidRDefault="00620AC3" w:rsidP="00620AC3">
      <w:pPr>
        <w:rPr>
          <w:u w:val="single"/>
        </w:rPr>
      </w:pPr>
      <w:r w:rsidRPr="003E6F6E">
        <w:rPr>
          <w:u w:val="single"/>
        </w:rPr>
        <w:t>Discussion:</w:t>
      </w:r>
    </w:p>
    <w:p w14:paraId="49FAEBCE" w14:textId="77777777" w:rsidR="00620AC3" w:rsidRDefault="00620AC3" w:rsidP="00620AC3">
      <w:pPr>
        <w:rPr>
          <w:u w:val="single"/>
        </w:rPr>
      </w:pPr>
    </w:p>
    <w:p w14:paraId="3A351CD8" w14:textId="77777777" w:rsidR="00620AC3" w:rsidRPr="00EB36E4" w:rsidRDefault="00620AC3" w:rsidP="00620AC3">
      <w:r>
        <w:t>Here is the definition of the Supported Rates and BSS Membership Selectors in the Probe Response frame body:</w:t>
      </w:r>
    </w:p>
    <w:p w14:paraId="22A07099" w14:textId="77777777" w:rsidR="00620AC3" w:rsidRDefault="00620AC3" w:rsidP="00620AC3">
      <w:r>
        <w:rPr>
          <w:noProof/>
        </w:rPr>
        <w:drawing>
          <wp:inline distT="0" distB="0" distL="0" distR="0" wp14:anchorId="44CF9D37" wp14:editId="6BCF186D">
            <wp:extent cx="6395085" cy="3107690"/>
            <wp:effectExtent l="57150" t="57150" r="177165" b="130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0C672A" w14:textId="77777777" w:rsidR="00620AC3" w:rsidRDefault="00620AC3" w:rsidP="00620AC3"/>
    <w:p w14:paraId="76DE77F8" w14:textId="77777777" w:rsidR="00620AC3" w:rsidRDefault="00620AC3" w:rsidP="00620AC3">
      <w:pPr>
        <w:ind w:right="6"/>
      </w:pPr>
      <w:r>
        <w:t>Subclause 9.4.2.3 defines the format for the Supported Rates and BSS Membership Selectors element:</w:t>
      </w:r>
    </w:p>
    <w:p w14:paraId="4FAD4A66" w14:textId="77777777" w:rsidR="00620AC3" w:rsidRDefault="00620AC3" w:rsidP="00620AC3">
      <w:pPr>
        <w:ind w:right="6"/>
      </w:pPr>
      <w:r>
        <w:rPr>
          <w:noProof/>
          <w:bdr w:val="single" w:sz="4" w:space="0" w:color="auto"/>
        </w:rPr>
        <w:drawing>
          <wp:inline distT="0" distB="0" distL="0" distR="0" wp14:anchorId="02E8F873" wp14:editId="3E900827">
            <wp:extent cx="6400800" cy="2084705"/>
            <wp:effectExtent l="57150" t="57150" r="17145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0C027F" w14:textId="77777777" w:rsidR="00620AC3" w:rsidRDefault="00620AC3" w:rsidP="00620AC3">
      <w:pPr>
        <w:ind w:right="6"/>
      </w:pPr>
    </w:p>
    <w:p w14:paraId="55C89B00" w14:textId="77777777" w:rsidR="00620AC3" w:rsidRDefault="00620AC3" w:rsidP="00620AC3">
      <w:pPr>
        <w:ind w:right="6"/>
      </w:pPr>
      <w:r>
        <w:t>Supported Rates and BSS Membership Selectors is indeed an element (defined in 9.4.2 and not in 9.4.1), and additionally of varying length, so needs to be encoded as an element within the frame.</w:t>
      </w:r>
    </w:p>
    <w:p w14:paraId="0BEF392D" w14:textId="77777777" w:rsidR="00620AC3" w:rsidRDefault="00620AC3" w:rsidP="00620AC3">
      <w:pPr>
        <w:ind w:right="6"/>
      </w:pPr>
    </w:p>
    <w:p w14:paraId="73713595" w14:textId="77777777" w:rsidR="00620AC3" w:rsidRPr="003E6F6E" w:rsidRDefault="00620AC3" w:rsidP="00620AC3">
      <w:pPr>
        <w:rPr>
          <w:u w:val="single"/>
        </w:rPr>
      </w:pPr>
      <w:r w:rsidRPr="00596512">
        <w:rPr>
          <w:highlight w:val="green"/>
          <w:u w:val="single"/>
        </w:rPr>
        <w:t>Proposed Resolution:</w:t>
      </w:r>
    </w:p>
    <w:p w14:paraId="592184D9" w14:textId="77777777" w:rsidR="00620AC3" w:rsidRDefault="00620AC3" w:rsidP="00620AC3"/>
    <w:p w14:paraId="75F24C13" w14:textId="77777777" w:rsidR="00620AC3" w:rsidRDefault="00620AC3" w:rsidP="00620AC3">
      <w:r>
        <w:t>Accepted.</w:t>
      </w:r>
    </w:p>
    <w:p w14:paraId="6B5D6D89"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7DAA45BD" w14:textId="77777777" w:rsidTr="000F25F3">
        <w:trPr>
          <w:trHeight w:val="524"/>
        </w:trPr>
        <w:tc>
          <w:tcPr>
            <w:tcW w:w="738" w:type="dxa"/>
            <w:hideMark/>
          </w:tcPr>
          <w:p w14:paraId="7A400B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60D66F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B32AC6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20BB8A3"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B7364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2B2805A7" w14:textId="77777777" w:rsidTr="000F25F3">
        <w:trPr>
          <w:trHeight w:val="1352"/>
        </w:trPr>
        <w:tc>
          <w:tcPr>
            <w:tcW w:w="738" w:type="dxa"/>
            <w:hideMark/>
          </w:tcPr>
          <w:p w14:paraId="08425ED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2078</w:t>
            </w:r>
          </w:p>
        </w:tc>
        <w:tc>
          <w:tcPr>
            <w:tcW w:w="990" w:type="dxa"/>
            <w:hideMark/>
          </w:tcPr>
          <w:p w14:paraId="753D4F9E"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27</w:t>
            </w:r>
          </w:p>
        </w:tc>
        <w:tc>
          <w:tcPr>
            <w:tcW w:w="1080" w:type="dxa"/>
            <w:hideMark/>
          </w:tcPr>
          <w:p w14:paraId="4C2467B8" w14:textId="77777777" w:rsidR="00620AC3" w:rsidRPr="00DC0730"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2BABD97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 xml:space="preserve">There is no information for the first three fields of the Probe Response frame. The Timestamp field and how it is set for Probe Response) is </w:t>
            </w:r>
            <w:proofErr w:type="gramStart"/>
            <w:r w:rsidRPr="00DC0730">
              <w:rPr>
                <w:rFonts w:ascii="Arial" w:eastAsia="Times New Roman" w:hAnsi="Arial" w:cs="Arial"/>
                <w:sz w:val="20"/>
                <w:lang w:val="en-US"/>
              </w:rPr>
              <w:t>important in particular</w:t>
            </w:r>
            <w:proofErr w:type="gramEnd"/>
            <w:r w:rsidRPr="00DC0730">
              <w:rPr>
                <w:rFonts w:ascii="Arial" w:eastAsia="Times New Roman" w:hAnsi="Arial" w:cs="Arial"/>
                <w:sz w:val="20"/>
                <w:lang w:val="en-US"/>
              </w:rPr>
              <w:t>.</w:t>
            </w:r>
          </w:p>
        </w:tc>
        <w:tc>
          <w:tcPr>
            <w:tcW w:w="3600" w:type="dxa"/>
            <w:hideMark/>
          </w:tcPr>
          <w:p w14:paraId="7AC32324"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these fields do, whether they are always or optionally present (and under what conditions if optionally), and/or provide reference to relevant sections.</w:t>
            </w:r>
          </w:p>
        </w:tc>
      </w:tr>
    </w:tbl>
    <w:p w14:paraId="396DAEF6" w14:textId="77777777" w:rsidR="00620AC3" w:rsidRDefault="00620AC3" w:rsidP="00620AC3"/>
    <w:p w14:paraId="3FDDDE4C" w14:textId="77777777" w:rsidR="00620AC3" w:rsidRDefault="00620AC3" w:rsidP="00620AC3">
      <w:pPr>
        <w:rPr>
          <w:u w:val="single"/>
        </w:rPr>
      </w:pPr>
      <w:r w:rsidRPr="003E6F6E">
        <w:rPr>
          <w:u w:val="single"/>
        </w:rPr>
        <w:t>Discussion:</w:t>
      </w:r>
    </w:p>
    <w:p w14:paraId="3DA5D5A9" w14:textId="77777777" w:rsidR="00620AC3" w:rsidRDefault="00620AC3" w:rsidP="00620AC3">
      <w:pPr>
        <w:rPr>
          <w:u w:val="single"/>
        </w:rPr>
      </w:pPr>
    </w:p>
    <w:p w14:paraId="1E029C3F" w14:textId="77777777" w:rsidR="00620AC3" w:rsidRPr="00EB36E4" w:rsidRDefault="00620AC3" w:rsidP="00620AC3">
      <w:r>
        <w:t>Here is the start of the definition of the Probe Response frame body; the first three fields are not described, per the comment:</w:t>
      </w:r>
    </w:p>
    <w:p w14:paraId="6530ED48" w14:textId="77777777" w:rsidR="00620AC3" w:rsidRDefault="00620AC3" w:rsidP="00620AC3">
      <w:r>
        <w:rPr>
          <w:noProof/>
        </w:rPr>
        <w:drawing>
          <wp:inline distT="0" distB="0" distL="0" distR="0" wp14:anchorId="369598BD" wp14:editId="2411499A">
            <wp:extent cx="6395085" cy="3107690"/>
            <wp:effectExtent l="57150" t="57150" r="177165" b="130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BDF8A" w14:textId="77777777" w:rsidR="00620AC3" w:rsidRDefault="00620AC3" w:rsidP="00620AC3">
      <w:pPr>
        <w:ind w:right="6"/>
      </w:pPr>
      <w:r>
        <w:t>In other frames, Timestamp (for example) has these “Notes”:</w:t>
      </w:r>
    </w:p>
    <w:p w14:paraId="5F8B78B0" w14:textId="77777777" w:rsidR="00620AC3" w:rsidRDefault="00620AC3" w:rsidP="00620AC3">
      <w:pPr>
        <w:ind w:left="720" w:right="6"/>
      </w:pPr>
      <w:r>
        <w:rPr>
          <w:rFonts w:ascii="TimesNewRomanPSMT" w:eastAsia="TimesNewRomanPSMT" w:cs="TimesNewRomanPSMT"/>
          <w:sz w:val="18"/>
          <w:szCs w:val="18"/>
          <w:lang w:val="en-US" w:eastAsia="ja-JP"/>
        </w:rPr>
        <w:t>See 9.4.1.10 (Timestamp field) for Timestamp format.</w:t>
      </w:r>
    </w:p>
    <w:p w14:paraId="04A1E3B0" w14:textId="77777777" w:rsidR="00620AC3" w:rsidRDefault="00620AC3" w:rsidP="00620AC3"/>
    <w:p w14:paraId="51A8920E" w14:textId="77777777" w:rsidR="00620AC3" w:rsidRDefault="00620AC3" w:rsidP="00620AC3">
      <w:r>
        <w:t>Suggest adding similar Notes for all the first three fields.  This same issue exists in many frame format tables.</w:t>
      </w:r>
    </w:p>
    <w:p w14:paraId="4AF808FD" w14:textId="77777777" w:rsidR="00620AC3" w:rsidRDefault="00620AC3" w:rsidP="00620AC3"/>
    <w:p w14:paraId="287DACF3" w14:textId="77777777" w:rsidR="00620AC3" w:rsidRPr="003E6F6E" w:rsidRDefault="00620AC3" w:rsidP="00620AC3">
      <w:pPr>
        <w:rPr>
          <w:u w:val="single"/>
        </w:rPr>
      </w:pPr>
      <w:r w:rsidRPr="00596512">
        <w:rPr>
          <w:highlight w:val="green"/>
          <w:u w:val="single"/>
        </w:rPr>
        <w:t>Proposed Resolution:</w:t>
      </w:r>
    </w:p>
    <w:p w14:paraId="7860B459" w14:textId="77777777" w:rsidR="00620AC3" w:rsidRDefault="00620AC3" w:rsidP="00620AC3"/>
    <w:p w14:paraId="30F3C4E0" w14:textId="77777777" w:rsidR="00620AC3" w:rsidRDefault="00620AC3" w:rsidP="00620AC3">
      <w:r>
        <w:t>Revised.  Insert the following text in the first three rows, in the Notes column, in Table 9-41:</w:t>
      </w:r>
    </w:p>
    <w:p w14:paraId="12D499AC"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01181C3A" w14:textId="77777777" w:rsidR="00620AC3" w:rsidRPr="00531427"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w:t>
      </w:r>
      <w:r w:rsidRPr="00531427">
        <w:rPr>
          <w:rFonts w:ascii="TimesNewRomanPSMT" w:eastAsia="TimesNewRomanPSMT" w:cs="TimesNewRomanPSMT"/>
          <w:sz w:val="18"/>
          <w:szCs w:val="18"/>
          <w:lang w:val="en-US" w:eastAsia="ja-JP"/>
        </w:rPr>
        <w:t>rval field) for Beacon Interval format.</w:t>
      </w:r>
    </w:p>
    <w:p w14:paraId="14FF8E27" w14:textId="77777777" w:rsidR="00620AC3" w:rsidRDefault="00620AC3" w:rsidP="00620AC3">
      <w:pPr>
        <w:ind w:left="720" w:right="6"/>
        <w:rPr>
          <w:rFonts w:ascii="TimesNewRomanPSMT" w:eastAsia="TimesNewRomanPSMT" w:cs="TimesNewRomanPSMT"/>
          <w:sz w:val="18"/>
          <w:szCs w:val="18"/>
          <w:lang w:val="en-US" w:eastAsia="ja-JP"/>
        </w:rPr>
      </w:pPr>
      <w:r w:rsidRPr="00531427">
        <w:rPr>
          <w:rFonts w:ascii="TimesNewRomanPSMT" w:eastAsia="TimesNewRomanPSMT" w:cs="TimesNewRomanPSMT"/>
          <w:sz w:val="18"/>
          <w:szCs w:val="18"/>
          <w:lang w:val="en-US" w:eastAsia="ja-JP"/>
        </w:rPr>
        <w:t>See 9.4.1.4 (Capability Information field) for Capability Information format.</w:t>
      </w:r>
    </w:p>
    <w:p w14:paraId="2AFD20AC" w14:textId="77777777" w:rsidR="00620AC3" w:rsidRDefault="00620AC3" w:rsidP="00620AC3">
      <w:pPr>
        <w:ind w:left="720" w:right="6"/>
      </w:pPr>
    </w:p>
    <w:p w14:paraId="4BDB35CC" w14:textId="77777777" w:rsidR="00620AC3" w:rsidRDefault="00620AC3" w:rsidP="00620AC3">
      <w:pPr>
        <w:ind w:right="6"/>
      </w:pPr>
      <w:r>
        <w:t>Do the same for matching rows in Tables 9-34, 9-36, 9-37, 9-38, 9-39, and 9-46.</w:t>
      </w:r>
    </w:p>
    <w:p w14:paraId="33ABA3FF" w14:textId="77777777" w:rsidR="00620AC3" w:rsidRDefault="00620AC3" w:rsidP="00620AC3">
      <w:pPr>
        <w:ind w:right="6"/>
      </w:pPr>
    </w:p>
    <w:p w14:paraId="5ABF375D" w14:textId="77777777" w:rsidR="00620AC3" w:rsidRDefault="00620AC3" w:rsidP="00620AC3">
      <w:pPr>
        <w:ind w:right="6"/>
      </w:pPr>
      <w:r>
        <w:t>Note to Editor: This is the same resolution as for CID 2077.</w:t>
      </w:r>
    </w:p>
    <w:p w14:paraId="74BBE0CB" w14:textId="77777777" w:rsidR="00620AC3" w:rsidRDefault="00620AC3" w:rsidP="00620AC3">
      <w:pPr>
        <w:ind w:right="6"/>
      </w:pPr>
    </w:p>
    <w:p w14:paraId="66ABCF2B"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1ED72F82" w14:textId="77777777" w:rsidTr="000F25F3">
        <w:trPr>
          <w:trHeight w:val="524"/>
        </w:trPr>
        <w:tc>
          <w:tcPr>
            <w:tcW w:w="738" w:type="dxa"/>
            <w:hideMark/>
          </w:tcPr>
          <w:p w14:paraId="68379589"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709EB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6855BD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1625B"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CC724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5DAF1247" w14:textId="77777777" w:rsidTr="000F25F3">
        <w:trPr>
          <w:trHeight w:val="1262"/>
        </w:trPr>
        <w:tc>
          <w:tcPr>
            <w:tcW w:w="738" w:type="dxa"/>
            <w:hideMark/>
          </w:tcPr>
          <w:p w14:paraId="4046513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2077</w:t>
            </w:r>
          </w:p>
        </w:tc>
        <w:tc>
          <w:tcPr>
            <w:tcW w:w="990" w:type="dxa"/>
            <w:hideMark/>
          </w:tcPr>
          <w:p w14:paraId="64A66D4A"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879.</w:t>
            </w:r>
            <w:r>
              <w:rPr>
                <w:rFonts w:ascii="Arial" w:eastAsia="Times New Roman" w:hAnsi="Arial" w:cs="Arial"/>
                <w:sz w:val="20"/>
                <w:lang w:val="en-US"/>
              </w:rPr>
              <w:t>18</w:t>
            </w:r>
          </w:p>
        </w:tc>
        <w:tc>
          <w:tcPr>
            <w:tcW w:w="1080" w:type="dxa"/>
            <w:hideMark/>
          </w:tcPr>
          <w:p w14:paraId="5FBBA691"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9.3.3.16</w:t>
            </w:r>
          </w:p>
        </w:tc>
        <w:tc>
          <w:tcPr>
            <w:tcW w:w="3600" w:type="dxa"/>
            <w:hideMark/>
          </w:tcPr>
          <w:p w14:paraId="3CF1FE17"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"Capability Information" notes missing</w:t>
            </w:r>
          </w:p>
        </w:tc>
        <w:tc>
          <w:tcPr>
            <w:tcW w:w="3600" w:type="dxa"/>
            <w:hideMark/>
          </w:tcPr>
          <w:p w14:paraId="2AAD8409"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this field does, whether it is always or optionally present (and under what conditions if optionally), and/or provide reference to relevant sections.</w:t>
            </w:r>
          </w:p>
        </w:tc>
      </w:tr>
    </w:tbl>
    <w:p w14:paraId="205D12CC" w14:textId="77777777" w:rsidR="00620AC3" w:rsidRDefault="00620AC3" w:rsidP="00620AC3"/>
    <w:p w14:paraId="2DA6F041" w14:textId="77777777" w:rsidR="00620AC3" w:rsidRDefault="00620AC3" w:rsidP="00620AC3">
      <w:pPr>
        <w:rPr>
          <w:u w:val="single"/>
        </w:rPr>
      </w:pPr>
      <w:r w:rsidRPr="003E6F6E">
        <w:rPr>
          <w:u w:val="single"/>
        </w:rPr>
        <w:t>Discussion:</w:t>
      </w:r>
    </w:p>
    <w:p w14:paraId="785BC6C6" w14:textId="77777777" w:rsidR="00620AC3" w:rsidRDefault="00620AC3" w:rsidP="00620AC3">
      <w:pPr>
        <w:rPr>
          <w:u w:val="single"/>
        </w:rPr>
      </w:pPr>
    </w:p>
    <w:p w14:paraId="73E59FF9" w14:textId="77777777" w:rsidR="00620AC3" w:rsidRPr="00EB36E4" w:rsidRDefault="00620AC3" w:rsidP="00620AC3">
      <w:r>
        <w:t>Here is the definition of the Capability Information f</w:t>
      </w:r>
      <w:r w:rsidRPr="00EB36E4">
        <w:t>iel</w:t>
      </w:r>
      <w:r>
        <w:t>d</w:t>
      </w:r>
      <w:r w:rsidRPr="00EB36E4">
        <w:t xml:space="preserve"> </w:t>
      </w:r>
      <w:r>
        <w:t>in the Timing Advertisement frame body:</w:t>
      </w:r>
    </w:p>
    <w:p w14:paraId="4B371203" w14:textId="77777777" w:rsidR="00620AC3" w:rsidRDefault="00620AC3" w:rsidP="00620AC3">
      <w:pPr>
        <w:ind w:left="-180"/>
      </w:pPr>
      <w:r>
        <w:rPr>
          <w:noProof/>
        </w:rPr>
        <w:drawing>
          <wp:inline distT="0" distB="0" distL="0" distR="0" wp14:anchorId="4641629A" wp14:editId="557076A0">
            <wp:extent cx="6400800" cy="4169410"/>
            <wp:effectExtent l="57150" t="57150" r="171450" b="154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416941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BACEFD" w14:textId="77777777" w:rsidR="00620AC3" w:rsidRDefault="00620AC3" w:rsidP="00620AC3"/>
    <w:p w14:paraId="0BA387D8" w14:textId="77777777" w:rsidR="00620AC3" w:rsidRDefault="00620AC3" w:rsidP="00620AC3">
      <w:pPr>
        <w:ind w:right="6"/>
      </w:pPr>
      <w:r>
        <w:t>See the discussion above, for CID 2078.</w:t>
      </w:r>
    </w:p>
    <w:p w14:paraId="1B9F2B55" w14:textId="77777777" w:rsidR="00620AC3" w:rsidRDefault="00620AC3" w:rsidP="00620AC3"/>
    <w:p w14:paraId="444E28C1" w14:textId="77777777" w:rsidR="00620AC3" w:rsidRPr="003E6F6E" w:rsidRDefault="00620AC3" w:rsidP="00620AC3">
      <w:pPr>
        <w:rPr>
          <w:u w:val="single"/>
        </w:rPr>
      </w:pPr>
      <w:r w:rsidRPr="00596512">
        <w:rPr>
          <w:highlight w:val="green"/>
          <w:u w:val="single"/>
        </w:rPr>
        <w:t>Proposed Resolution:</w:t>
      </w:r>
    </w:p>
    <w:p w14:paraId="057E5BE5" w14:textId="77777777" w:rsidR="00620AC3" w:rsidRDefault="00620AC3" w:rsidP="00620AC3"/>
    <w:p w14:paraId="5B980342" w14:textId="77777777" w:rsidR="00620AC3" w:rsidRDefault="00620AC3" w:rsidP="00620AC3">
      <w:r>
        <w:t>Revised.  Insert the following text in the first three rows, in the Notes column, in Table 9-41:</w:t>
      </w:r>
    </w:p>
    <w:p w14:paraId="71C1D51D"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3419A715"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Interval field)</w:t>
      </w:r>
    </w:p>
    <w:p w14:paraId="572B99AF"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9.4.1.4 (Capability Information field)</w:t>
      </w:r>
    </w:p>
    <w:p w14:paraId="3EB3AC3C" w14:textId="77777777" w:rsidR="00620AC3" w:rsidRDefault="00620AC3" w:rsidP="00620AC3">
      <w:pPr>
        <w:ind w:left="720" w:right="6"/>
      </w:pPr>
    </w:p>
    <w:p w14:paraId="0DE35596" w14:textId="77777777" w:rsidR="00620AC3" w:rsidRDefault="00620AC3" w:rsidP="00620AC3">
      <w:pPr>
        <w:ind w:right="6"/>
      </w:pPr>
      <w:r>
        <w:t>Do the same for matching rows in Tables 9-34, 9-36, 9-37, 9-38, 9-39, and 9-46.</w:t>
      </w:r>
    </w:p>
    <w:p w14:paraId="65572286" w14:textId="77777777" w:rsidR="00620AC3" w:rsidRDefault="00620AC3" w:rsidP="00620AC3">
      <w:pPr>
        <w:ind w:right="6"/>
      </w:pPr>
    </w:p>
    <w:p w14:paraId="5AD45003" w14:textId="77777777" w:rsidR="00620AC3" w:rsidRDefault="00620AC3" w:rsidP="00620AC3">
      <w:pPr>
        <w:ind w:right="6"/>
      </w:pPr>
      <w:r>
        <w:t>Note to Editor: This is the same resolution as for CID 2078.</w:t>
      </w:r>
    </w:p>
    <w:p w14:paraId="1E0E5B0F" w14:textId="77777777" w:rsidR="00620AC3" w:rsidRDefault="00620AC3" w:rsidP="00620AC3">
      <w:pPr>
        <w:ind w:right="6"/>
      </w:pPr>
    </w:p>
    <w:p w14:paraId="27C80B5E"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00435BDB" w14:textId="77777777" w:rsidTr="000F25F3">
        <w:trPr>
          <w:trHeight w:val="524"/>
        </w:trPr>
        <w:tc>
          <w:tcPr>
            <w:tcW w:w="738" w:type="dxa"/>
            <w:hideMark/>
          </w:tcPr>
          <w:p w14:paraId="4068E27A"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C5272F"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07CE6C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2AE3CAE"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5AB7A1"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680EAFDD" w14:textId="77777777" w:rsidTr="000F25F3">
        <w:trPr>
          <w:trHeight w:val="2612"/>
        </w:trPr>
        <w:tc>
          <w:tcPr>
            <w:tcW w:w="738" w:type="dxa"/>
            <w:hideMark/>
          </w:tcPr>
          <w:p w14:paraId="3327952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2118</w:t>
            </w:r>
          </w:p>
        </w:tc>
        <w:tc>
          <w:tcPr>
            <w:tcW w:w="990" w:type="dxa"/>
            <w:hideMark/>
          </w:tcPr>
          <w:p w14:paraId="10920D0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59</w:t>
            </w:r>
          </w:p>
        </w:tc>
        <w:tc>
          <w:tcPr>
            <w:tcW w:w="1080" w:type="dxa"/>
            <w:hideMark/>
          </w:tcPr>
          <w:p w14:paraId="4E09AFB0"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64A5C1F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"The FD RSN Information subfield contains an RSN Capability subfield, as specified in Figure 9-289 (RSN</w:t>
            </w:r>
            <w:r w:rsidRPr="00DC0730">
              <w:rPr>
                <w:rFonts w:ascii="Arial" w:eastAsia="Times New Roman" w:hAnsi="Arial" w:cs="Arial"/>
                <w:sz w:val="20"/>
                <w:lang w:val="en-US"/>
              </w:rPr>
              <w:br/>
              <w:t xml:space="preserve">Capabilities field format) in 9.4.2.24.4 (RSN capabilities)." In 9.4.2.24.4, the </w:t>
            </w:r>
            <w:proofErr w:type="spellStart"/>
            <w:r w:rsidRPr="00DC0730">
              <w:rPr>
                <w:rFonts w:ascii="Arial" w:eastAsia="Times New Roman" w:hAnsi="Arial" w:cs="Arial"/>
                <w:sz w:val="20"/>
                <w:lang w:val="en-US"/>
              </w:rPr>
              <w:t>refered</w:t>
            </w:r>
            <w:proofErr w:type="spellEnd"/>
            <w:r w:rsidRPr="00DC0730">
              <w:rPr>
                <w:rFonts w:ascii="Arial" w:eastAsia="Times New Roman" w:hAnsi="Arial" w:cs="Arial"/>
                <w:sz w:val="20"/>
                <w:lang w:val="en-US"/>
              </w:rPr>
              <w:t xml:space="preserve"> field is named as "RSN Capabilities". To be consistent and avoid search error, suggest renaming the "RSN Capability" subfield in 9.6.7.36 to "RSN Capabilities" subfield.</w:t>
            </w:r>
          </w:p>
        </w:tc>
        <w:tc>
          <w:tcPr>
            <w:tcW w:w="3600" w:type="dxa"/>
            <w:hideMark/>
          </w:tcPr>
          <w:p w14:paraId="460FD2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In 9.6.7.36, change "RSN Capability" to "RSN Capabilities</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"RSN capability" to "RSN capabilities". 3 instances in total.</w:t>
            </w:r>
          </w:p>
        </w:tc>
      </w:tr>
      <w:tr w:rsidR="00620AC3" w:rsidRPr="00DC0730" w14:paraId="119306A0" w14:textId="77777777" w:rsidTr="000F25F3">
        <w:trPr>
          <w:trHeight w:val="1262"/>
        </w:trPr>
        <w:tc>
          <w:tcPr>
            <w:tcW w:w="738" w:type="dxa"/>
            <w:hideMark/>
          </w:tcPr>
          <w:p w14:paraId="167D964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2396</w:t>
            </w:r>
          </w:p>
        </w:tc>
        <w:tc>
          <w:tcPr>
            <w:tcW w:w="990" w:type="dxa"/>
            <w:hideMark/>
          </w:tcPr>
          <w:p w14:paraId="6AFB690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49F90AB5"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721CA1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Should rename the three instances of "RSN Capability"/"RSN capability" to "RSN Capabilities"/"RSN capabilities" so the same term is used as in RSNEs</w:t>
            </w:r>
          </w:p>
        </w:tc>
        <w:tc>
          <w:tcPr>
            <w:tcW w:w="3600" w:type="dxa"/>
            <w:hideMark/>
          </w:tcPr>
          <w:p w14:paraId="4F6FDD8B"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each of the 3 instances of "RSN Capability"/"RSN capability" to "RSN Capabilities"/"RSN capabilities" (preserving case)</w:t>
            </w:r>
          </w:p>
        </w:tc>
      </w:tr>
    </w:tbl>
    <w:p w14:paraId="5071D588" w14:textId="77777777" w:rsidR="00620AC3" w:rsidRDefault="00620AC3" w:rsidP="00620AC3"/>
    <w:p w14:paraId="3A199F18" w14:textId="77777777" w:rsidR="00620AC3" w:rsidRDefault="00620AC3" w:rsidP="00620AC3">
      <w:pPr>
        <w:rPr>
          <w:u w:val="single"/>
        </w:rPr>
      </w:pPr>
      <w:r w:rsidRPr="003E6F6E">
        <w:rPr>
          <w:u w:val="single"/>
        </w:rPr>
        <w:t>Discussion:</w:t>
      </w:r>
    </w:p>
    <w:p w14:paraId="03F929A6" w14:textId="77777777" w:rsidR="00620AC3" w:rsidRDefault="00620AC3" w:rsidP="00620AC3">
      <w:pPr>
        <w:rPr>
          <w:u w:val="single"/>
        </w:rPr>
      </w:pPr>
    </w:p>
    <w:p w14:paraId="08BF7530" w14:textId="77777777" w:rsidR="00620AC3" w:rsidRPr="00EB36E4" w:rsidRDefault="00620AC3" w:rsidP="00620AC3">
      <w:r>
        <w:t>Agree with commenters: subclause 9.4.2.24.4 does in fact define “RSN Capabilities”, not “RSN Capability”:</w:t>
      </w:r>
    </w:p>
    <w:p w14:paraId="33FF6889" w14:textId="77777777" w:rsidR="00620AC3" w:rsidRDefault="00620AC3" w:rsidP="00620AC3">
      <w:pPr>
        <w:ind w:left="-180"/>
      </w:pPr>
      <w:r>
        <w:rPr>
          <w:noProof/>
        </w:rPr>
        <w:drawing>
          <wp:inline distT="0" distB="0" distL="0" distR="0" wp14:anchorId="5683B94E" wp14:editId="1668D5BB">
            <wp:extent cx="6400800" cy="852805"/>
            <wp:effectExtent l="57150" t="57150" r="171450" b="118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8528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5A2F27" w14:textId="77777777" w:rsidR="00620AC3" w:rsidRDefault="00620AC3" w:rsidP="00620AC3"/>
    <w:p w14:paraId="66CFCDC6" w14:textId="77777777" w:rsidR="00620AC3" w:rsidRDefault="00620AC3" w:rsidP="00620AC3">
      <w:pPr>
        <w:ind w:right="6"/>
      </w:pPr>
      <w:r>
        <w:t>There are three occurrences of “RSN [Cc]</w:t>
      </w:r>
      <w:proofErr w:type="spellStart"/>
      <w:r>
        <w:t>apability</w:t>
      </w:r>
      <w:proofErr w:type="spellEnd"/>
      <w:r>
        <w:t>” in the Draft, all in 9.6.7.36 on page 1535:</w:t>
      </w:r>
    </w:p>
    <w:p w14:paraId="4D160044" w14:textId="77777777" w:rsidR="00620AC3" w:rsidRDefault="00620AC3" w:rsidP="00620AC3">
      <w:pPr>
        <w:ind w:left="-180" w:right="6"/>
      </w:pPr>
      <w:r>
        <w:rPr>
          <w:noProof/>
        </w:rPr>
        <w:drawing>
          <wp:inline distT="0" distB="0" distL="0" distR="0" wp14:anchorId="4EDC2C18" wp14:editId="6F94614B">
            <wp:extent cx="6395085" cy="2894965"/>
            <wp:effectExtent l="57150" t="57150" r="177165" b="133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151AA6" w14:textId="77777777" w:rsidR="00620AC3" w:rsidRPr="003E6F6E" w:rsidRDefault="00620AC3" w:rsidP="00620AC3">
      <w:pPr>
        <w:rPr>
          <w:u w:val="single"/>
        </w:rPr>
      </w:pPr>
      <w:r w:rsidRPr="00596512">
        <w:rPr>
          <w:highlight w:val="green"/>
          <w:u w:val="single"/>
        </w:rPr>
        <w:t>Proposed Resolution:</w:t>
      </w:r>
    </w:p>
    <w:p w14:paraId="24AC4C5D" w14:textId="77777777" w:rsidR="00620AC3" w:rsidRDefault="00620AC3" w:rsidP="00620AC3"/>
    <w:p w14:paraId="00FA6182" w14:textId="77777777" w:rsidR="00620AC3" w:rsidRDefault="00620AC3" w:rsidP="00620AC3">
      <w:pPr>
        <w:ind w:right="6"/>
      </w:pPr>
      <w:r>
        <w:t>Accepted.</w:t>
      </w:r>
    </w:p>
    <w:p w14:paraId="207B63E9" w14:textId="77777777" w:rsidR="00620AC3" w:rsidRDefault="00620AC3" w:rsidP="00620AC3">
      <w:pPr>
        <w:ind w:right="6"/>
      </w:pPr>
    </w:p>
    <w:p w14:paraId="38B4B784" w14:textId="77777777" w:rsidR="00620AC3" w:rsidRDefault="00620AC3" w:rsidP="00620AC3">
      <w:pPr>
        <w:ind w:right="6"/>
      </w:pPr>
      <w:r>
        <w:lastRenderedPageBreak/>
        <w:t>Note to EDITOR the resolutions of CIDs 2118 and 2396 are the same.</w:t>
      </w:r>
    </w:p>
    <w:p w14:paraId="651F6460" w14:textId="7BFD6920" w:rsidR="00BD40C4"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4A9A78A8" w14:textId="77777777" w:rsidTr="000565A0">
        <w:trPr>
          <w:trHeight w:val="524"/>
        </w:trPr>
        <w:tc>
          <w:tcPr>
            <w:tcW w:w="738" w:type="dxa"/>
            <w:hideMark/>
          </w:tcPr>
          <w:p w14:paraId="5A5BFCB1"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F9FF8D"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2CD7141"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E7EAAD3"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C6C1CD2"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59E5E32" w14:textId="77777777" w:rsidTr="000565A0">
        <w:trPr>
          <w:trHeight w:val="2550"/>
        </w:trPr>
        <w:tc>
          <w:tcPr>
            <w:tcW w:w="738" w:type="dxa"/>
            <w:hideMark/>
          </w:tcPr>
          <w:p w14:paraId="2313B31A"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2437</w:t>
            </w:r>
          </w:p>
        </w:tc>
        <w:tc>
          <w:tcPr>
            <w:tcW w:w="990" w:type="dxa"/>
            <w:hideMark/>
          </w:tcPr>
          <w:p w14:paraId="45CABFC4"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873.</w:t>
            </w:r>
            <w:r>
              <w:rPr>
                <w:rFonts w:ascii="Arial" w:eastAsia="Times New Roman" w:hAnsi="Arial" w:cs="Arial"/>
                <w:sz w:val="20"/>
                <w:lang w:val="en-US"/>
              </w:rPr>
              <w:t>25</w:t>
            </w:r>
          </w:p>
        </w:tc>
        <w:tc>
          <w:tcPr>
            <w:tcW w:w="1080" w:type="dxa"/>
            <w:hideMark/>
          </w:tcPr>
          <w:p w14:paraId="0E2B9B72"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9.3.3.12</w:t>
            </w:r>
          </w:p>
        </w:tc>
        <w:tc>
          <w:tcPr>
            <w:tcW w:w="3600" w:type="dxa"/>
            <w:hideMark/>
          </w:tcPr>
          <w:p w14:paraId="39F724B4" w14:textId="77777777" w:rsidR="00BD40C4" w:rsidRPr="00DC0730" w:rsidRDefault="00BD40C4" w:rsidP="000565A0">
            <w:pPr>
              <w:rPr>
                <w:rFonts w:ascii="Arial" w:eastAsia="Times New Roman" w:hAnsi="Arial" w:cs="Arial"/>
                <w:sz w:val="20"/>
                <w:lang w:val="en-US"/>
              </w:rPr>
            </w:pPr>
            <w:bookmarkStart w:id="3" w:name="_Hlk4067402"/>
            <w:r w:rsidRPr="00DC0730">
              <w:rPr>
                <w:rFonts w:ascii="Arial" w:eastAsia="Times New Roman" w:hAnsi="Arial" w:cs="Arial"/>
                <w:sz w:val="20"/>
                <w:lang w:val="en-US"/>
              </w:rPr>
              <w:t xml:space="preserve">"An unsigned integer indicating a finite cyclic group" </w:t>
            </w:r>
            <w:bookmarkEnd w:id="3"/>
            <w:r w:rsidRPr="00DC0730">
              <w:rPr>
                <w:rFonts w:ascii="Arial" w:eastAsia="Times New Roman" w:hAnsi="Arial" w:cs="Arial"/>
                <w:sz w:val="20"/>
                <w:lang w:val="en-US"/>
              </w:rPr>
              <w:t>-- need to say how many octets, because this is needed to be able to disambiguate the various things that can be in an Auth frame (esp. one that includes e.g. a Password Identifier field)</w:t>
            </w:r>
          </w:p>
        </w:tc>
        <w:tc>
          <w:tcPr>
            <w:tcW w:w="3600" w:type="dxa"/>
            <w:hideMark/>
          </w:tcPr>
          <w:p w14:paraId="5947E162"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"A 42-octet long unsigned integer indicating a finite cyclic group"</w:t>
            </w:r>
          </w:p>
        </w:tc>
      </w:tr>
    </w:tbl>
    <w:p w14:paraId="179065BB" w14:textId="77777777" w:rsidR="00BD40C4" w:rsidRDefault="00BD40C4" w:rsidP="00BD40C4"/>
    <w:p w14:paraId="199B67F0" w14:textId="77777777" w:rsidR="00BD40C4" w:rsidRDefault="00BD40C4" w:rsidP="00BD40C4">
      <w:pPr>
        <w:rPr>
          <w:u w:val="single"/>
        </w:rPr>
      </w:pPr>
      <w:r w:rsidRPr="003E6F6E">
        <w:rPr>
          <w:u w:val="single"/>
        </w:rPr>
        <w:t>Discussion:</w:t>
      </w:r>
    </w:p>
    <w:p w14:paraId="79EF3415" w14:textId="77777777" w:rsidR="00BD40C4" w:rsidRDefault="00BD40C4" w:rsidP="00BD40C4">
      <w:pPr>
        <w:rPr>
          <w:u w:val="single"/>
        </w:rPr>
      </w:pPr>
    </w:p>
    <w:p w14:paraId="68ADF7EC" w14:textId="77777777" w:rsidR="00BD40C4" w:rsidRPr="00EB36E4" w:rsidRDefault="00BD40C4" w:rsidP="00BD40C4">
      <w:r>
        <w:rPr>
          <w:noProof/>
          <w:bdr w:val="single" w:sz="4" w:space="0" w:color="auto"/>
        </w:rPr>
        <w:drawing>
          <wp:anchor distT="0" distB="0" distL="114300" distR="114300" simplePos="0" relativeHeight="251659776" behindDoc="0" locked="0" layoutInCell="1" allowOverlap="1" wp14:anchorId="6DFB8217" wp14:editId="64BA9AB9">
            <wp:simplePos x="0" y="0"/>
            <wp:positionH relativeFrom="column">
              <wp:posOffset>54610</wp:posOffset>
            </wp:positionH>
            <wp:positionV relativeFrom="paragraph">
              <wp:posOffset>316230</wp:posOffset>
            </wp:positionV>
            <wp:extent cx="6261735" cy="2590800"/>
            <wp:effectExtent l="57150" t="57150" r="177165" b="133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1735" cy="2590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anchor>
        </w:drawing>
      </w:r>
      <w:r>
        <w:t>Here is the definition of the Finite Cyclic Group f</w:t>
      </w:r>
      <w:r w:rsidRPr="00EB36E4">
        <w:t>iel</w:t>
      </w:r>
      <w:r>
        <w:t>d</w:t>
      </w:r>
      <w:r w:rsidRPr="00EB36E4">
        <w:t xml:space="preserve"> </w:t>
      </w:r>
      <w:r>
        <w:t>in the Authentication frame body:</w:t>
      </w:r>
    </w:p>
    <w:p w14:paraId="750D00F5" w14:textId="77777777" w:rsidR="00BD40C4" w:rsidRDefault="00BD40C4" w:rsidP="00BD40C4"/>
    <w:p w14:paraId="0EEAAA3F" w14:textId="77777777" w:rsidR="00BD40C4" w:rsidRDefault="00BD40C4" w:rsidP="00BD40C4">
      <w:pPr>
        <w:ind w:right="6"/>
      </w:pPr>
      <w:r>
        <w:rPr>
          <w:noProof/>
          <w:bdr w:val="single" w:sz="4" w:space="0" w:color="auto"/>
        </w:rPr>
        <w:drawing>
          <wp:anchor distT="0" distB="0" distL="114300" distR="114300" simplePos="0" relativeHeight="251660800" behindDoc="0" locked="0" layoutInCell="1" allowOverlap="1" wp14:anchorId="65CE9A79" wp14:editId="42090A0B">
            <wp:simplePos x="0" y="0"/>
            <wp:positionH relativeFrom="column">
              <wp:posOffset>-3810</wp:posOffset>
            </wp:positionH>
            <wp:positionV relativeFrom="paragraph">
              <wp:posOffset>264160</wp:posOffset>
            </wp:positionV>
            <wp:extent cx="6283325" cy="2072005"/>
            <wp:effectExtent l="57150" t="57150" r="174625" b="137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283325" cy="2072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Subclause 9.4.1.42 defines the format for this field (because it is not an element):</w:t>
      </w:r>
    </w:p>
    <w:p w14:paraId="5B91F473" w14:textId="77777777" w:rsidR="00BD40C4" w:rsidRPr="00C165C5" w:rsidRDefault="00BD40C4" w:rsidP="00BD40C4">
      <w:pPr>
        <w:ind w:right="6"/>
      </w:pPr>
      <w:r w:rsidRPr="00C165C5">
        <w:t>However, this definition of the format is a little unclear, as it only specifies it is 2 octets, without a clear reference to what is in those octets.  Suggest adding a reference to how these 2 octets indicate a finite cyclic group.</w:t>
      </w:r>
    </w:p>
    <w:p w14:paraId="095BB726" w14:textId="77777777" w:rsidR="00BD40C4" w:rsidRPr="00C165C5" w:rsidRDefault="00BD40C4" w:rsidP="00BD40C4"/>
    <w:p w14:paraId="1E8DD857" w14:textId="77777777" w:rsidR="00BD40C4" w:rsidRPr="00C165C5" w:rsidRDefault="00BD40C4" w:rsidP="00BD40C4">
      <w:r w:rsidRPr="00C165C5">
        <w:lastRenderedPageBreak/>
        <w:t>Originally proposed resolution:</w:t>
      </w:r>
    </w:p>
    <w:p w14:paraId="42B14989" w14:textId="77777777" w:rsidR="00BD40C4" w:rsidRPr="00C165C5" w:rsidRDefault="00BD40C4" w:rsidP="00BD40C4"/>
    <w:p w14:paraId="265EF4FF" w14:textId="77777777" w:rsidR="00BD40C4" w:rsidRPr="00C165C5" w:rsidRDefault="00BD40C4" w:rsidP="00BD40C4">
      <w:r w:rsidRPr="00C165C5">
        <w:t>Revised.  Insert text in 9.4.1.42 as shown:</w:t>
      </w:r>
    </w:p>
    <w:p w14:paraId="23E9A784" w14:textId="77777777" w:rsidR="00BD40C4" w:rsidRPr="00C165C5" w:rsidRDefault="00BD40C4" w:rsidP="00BD40C4">
      <w:pPr>
        <w:ind w:left="720"/>
      </w:pPr>
      <w:r w:rsidRPr="00C165C5">
        <w:t xml:space="preserve">The Finite Cyclic Group is used in SAE to indicate </w:t>
      </w:r>
      <w:r w:rsidRPr="00C165C5">
        <w:rPr>
          <w:u w:val="single"/>
        </w:rPr>
        <w:t>an unsigned integer taken from the IANA registry for “Group Description”,</w:t>
      </w:r>
      <w:r w:rsidRPr="00C165C5">
        <w:t xml:space="preserve"> which </w:t>
      </w:r>
      <w:r w:rsidRPr="00C165C5">
        <w:rPr>
          <w:u w:val="single"/>
        </w:rPr>
        <w:t>specifies the</w:t>
      </w:r>
      <w:r w:rsidRPr="00C165C5">
        <w:t xml:space="preserve"> cryptographic group to use in the SAE exchange as specified in 12.4 (Authentication using a password).</w:t>
      </w:r>
    </w:p>
    <w:p w14:paraId="55CC345D" w14:textId="77777777" w:rsidR="00BD40C4" w:rsidRPr="00C165C5" w:rsidRDefault="00BD40C4" w:rsidP="00BD40C4"/>
    <w:p w14:paraId="1601C395" w14:textId="77777777" w:rsidR="00BD40C4" w:rsidRPr="00C165C5" w:rsidRDefault="00BD40C4" w:rsidP="00BD40C4"/>
    <w:p w14:paraId="5CB8DEE7" w14:textId="77777777" w:rsidR="00BD40C4" w:rsidRDefault="00BD40C4" w:rsidP="00BD40C4">
      <w:r w:rsidRPr="00C165C5">
        <w:t>Revisit, June 28, 2019:</w:t>
      </w:r>
    </w:p>
    <w:p w14:paraId="3B4C3177" w14:textId="77777777" w:rsidR="00BD40C4" w:rsidRDefault="00BD40C4" w:rsidP="00BD40C4"/>
    <w:p w14:paraId="75126B22" w14:textId="77777777" w:rsidR="00BD40C4" w:rsidRDefault="00BD40C4" w:rsidP="00BD40C4">
      <w:r>
        <w:t>After review by a security expert, the alternative resolution below is proposed.  This resolution has the benefit of covering the FILS scenario as well, with the same mention of using the IANA registry.</w:t>
      </w:r>
    </w:p>
    <w:p w14:paraId="5EA4ED70" w14:textId="77777777" w:rsidR="00BD40C4" w:rsidRDefault="00BD40C4" w:rsidP="00BD40C4"/>
    <w:p w14:paraId="7835C5B7" w14:textId="77777777" w:rsidR="00BD40C4" w:rsidRDefault="00BD40C4" w:rsidP="00BD40C4">
      <w:r>
        <w:t xml:space="preserve">One additional concern was discovered: The </w:t>
      </w:r>
      <w:r w:rsidRPr="00F67CC9">
        <w:t>dot11RSNAConfigDLCGroupIdentifier</w:t>
      </w:r>
      <w:r>
        <w:t xml:space="preserve"> (within the </w:t>
      </w:r>
      <w:r w:rsidRPr="00F67CC9">
        <w:t>dot11RSNAConfigDLCGroupTable</w:t>
      </w:r>
      <w:r>
        <w:t>) is defined in the MIB to be an “unsigned32”.  These Identifier values are supposed to be used as the values in the Finite Cyclic Group field, at least for FILS.  Thus, these need to be 2 octet (unsigned, 16-bit) values.  The IANA registry for Group Description values (</w:t>
      </w:r>
      <w:hyperlink r:id="rId26" w:anchor="ipsec-registry-10" w:history="1">
        <w:r w:rsidRPr="00E6452A">
          <w:rPr>
            <w:rStyle w:val="Hyperlink"/>
          </w:rPr>
          <w:t>https://www.iana.org/assignments/ipsec-registry/ipsec-registry.xhtml#ipsec-registry-10</w:t>
        </w:r>
      </w:hyperlink>
      <w:r>
        <w:t>) also clearly assumes 16-bit values.  Recommend changing the MIB structure so this table holds 16-bit Identifier values.</w:t>
      </w:r>
    </w:p>
    <w:p w14:paraId="41EEEA20" w14:textId="77777777" w:rsidR="00BD40C4" w:rsidRDefault="00BD40C4" w:rsidP="00BD40C4"/>
    <w:p w14:paraId="0598B627" w14:textId="77777777" w:rsidR="00BD40C4" w:rsidRPr="00531427" w:rsidRDefault="00BD40C4" w:rsidP="00BD40C4">
      <w:pPr>
        <w:rPr>
          <w:u w:val="single"/>
        </w:rPr>
      </w:pPr>
      <w:r w:rsidRPr="00DA7217">
        <w:rPr>
          <w:highlight w:val="green"/>
          <w:u w:val="single"/>
        </w:rPr>
        <w:t>Proposed Resolution:</w:t>
      </w:r>
    </w:p>
    <w:p w14:paraId="4E90B88E" w14:textId="77777777" w:rsidR="00BD40C4" w:rsidRDefault="00BD40C4" w:rsidP="00BD40C4"/>
    <w:p w14:paraId="2104F6E1" w14:textId="77777777" w:rsidR="00BD40C4" w:rsidRDefault="00BD40C4" w:rsidP="00BD40C4">
      <w:r>
        <w:t xml:space="preserve">Revised.  </w:t>
      </w:r>
    </w:p>
    <w:p w14:paraId="567FE0AA" w14:textId="77777777" w:rsidR="00BD40C4" w:rsidRDefault="00BD40C4" w:rsidP="00BD40C4">
      <w:r>
        <w:t>In 9.4.1.42, replace:</w:t>
      </w:r>
    </w:p>
    <w:p w14:paraId="02DACC2D" w14:textId="77777777" w:rsidR="00BD40C4" w:rsidRDefault="00BD40C4" w:rsidP="00BD40C4">
      <w:pPr>
        <w:ind w:left="72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to indicate (M</w:t>
      </w:r>
      <w:proofErr w:type="gramStart"/>
      <w:r>
        <w:t>101)the</w:t>
      </w:r>
      <w:proofErr w:type="gramEnd"/>
      <w:r>
        <w:t xml:space="preserve"> cryptographic group to use in FILS authentication as specified in 12.12 (Authentication for FILS(11ai)) (11ai). See Figure 9-130 (Finite Cyclic Group field </w:t>
      </w:r>
      <w:proofErr w:type="gramStart"/>
      <w:r>
        <w:t>format(</w:t>
      </w:r>
      <w:proofErr w:type="gramEnd"/>
      <w:r>
        <w:t>#2607)).</w:t>
      </w:r>
    </w:p>
    <w:p w14:paraId="1ED79BD6" w14:textId="77777777" w:rsidR="00BD40C4" w:rsidRDefault="00BD40C4" w:rsidP="00BD40C4">
      <w:r>
        <w:t>with:</w:t>
      </w:r>
    </w:p>
    <w:p w14:paraId="50823124" w14:textId="77777777" w:rsidR="00BD40C4" w:rsidRDefault="00BD40C4" w:rsidP="00BD40C4">
      <w:pPr>
        <w:ind w:left="720"/>
      </w:pPr>
      <w:r>
        <w:t>The Finite Cyclic Group field is us</w:t>
      </w:r>
      <w:r w:rsidRPr="00F67CC9">
        <w:t>ed by SAE</w:t>
      </w:r>
      <w:r>
        <w:t>, as specified in 12.4 (Authentication using a password), and FILS, as specified in 12.12 (Authentication for FILS), to indicate an unsigned integer taken from an IANA registry for "Group Description" which specifies the cryptographic group to use in the exchange.  See Figure 9-130 (Finite Cyclic Group field).</w:t>
      </w:r>
    </w:p>
    <w:p w14:paraId="2DA41F1A" w14:textId="77777777" w:rsidR="00BD40C4" w:rsidRDefault="00BD40C4" w:rsidP="00BD40C4"/>
    <w:p w14:paraId="0C49E6F0" w14:textId="77777777" w:rsidR="00BD40C4" w:rsidRDefault="00BD40C4" w:rsidP="00BD40C4">
      <w:r>
        <w:t xml:space="preserve">In the MIB definition of </w:t>
      </w:r>
      <w:r w:rsidRPr="007903E7">
        <w:t>Dot11RSNAConfigDLCGroupEntry</w:t>
      </w:r>
      <w:r>
        <w:t xml:space="preserve">, change the type of </w:t>
      </w:r>
      <w:r w:rsidRPr="007903E7">
        <w:t>dot11RSNAConfigDLCGroupIdentifier</w:t>
      </w:r>
      <w:r>
        <w:t xml:space="preserve"> from “Unsigned32” to “Unsigned32 (</w:t>
      </w:r>
      <w:proofErr w:type="gramStart"/>
      <w:r>
        <w:t>0..</w:t>
      </w:r>
      <w:proofErr w:type="gramEnd"/>
      <w:r>
        <w:t>65535)”.</w:t>
      </w:r>
    </w:p>
    <w:p w14:paraId="0A2D4B66" w14:textId="77777777" w:rsidR="00BD40C4" w:rsidRDefault="00BD40C4" w:rsidP="00BD40C4"/>
    <w:p w14:paraId="06B2431A" w14:textId="77777777" w:rsidR="00BD40C4" w:rsidRPr="00DA7217" w:rsidRDefault="00BD40C4" w:rsidP="00BD40C4">
      <w:r w:rsidRPr="00DA7217">
        <w:t>Update the reference in Table 9-42</w:t>
      </w:r>
      <w:r>
        <w:t xml:space="preserve"> (row for Finite Cyclic Group) from “as described in 12.4.4” to “as described in</w:t>
      </w:r>
      <w:r w:rsidRPr="00DA7217">
        <w:t xml:space="preserve"> 9.4.1.42</w:t>
      </w:r>
      <w:r>
        <w:t>”.</w:t>
      </w:r>
    </w:p>
    <w:p w14:paraId="7FC4F503" w14:textId="77777777" w:rsidR="00BD40C4" w:rsidRDefault="00BD40C4" w:rsidP="00BD40C4">
      <w:pPr>
        <w:rPr>
          <w:highlight w:val="cyan"/>
        </w:rPr>
      </w:pPr>
    </w:p>
    <w:p w14:paraId="41F8799D"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4B0C4C1" w14:textId="77777777" w:rsidTr="000565A0">
        <w:trPr>
          <w:trHeight w:val="524"/>
        </w:trPr>
        <w:tc>
          <w:tcPr>
            <w:tcW w:w="738" w:type="dxa"/>
            <w:hideMark/>
          </w:tcPr>
          <w:p w14:paraId="745E49E2"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04558BD"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F6A2B64"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70F8847"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9EBC350"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3FD8D15" w14:textId="77777777" w:rsidTr="000565A0">
        <w:trPr>
          <w:trHeight w:val="992"/>
        </w:trPr>
        <w:tc>
          <w:tcPr>
            <w:tcW w:w="738" w:type="dxa"/>
            <w:hideMark/>
          </w:tcPr>
          <w:p w14:paraId="6C790125"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2438</w:t>
            </w:r>
          </w:p>
        </w:tc>
        <w:tc>
          <w:tcPr>
            <w:tcW w:w="990" w:type="dxa"/>
            <w:hideMark/>
          </w:tcPr>
          <w:p w14:paraId="792DCAE5" w14:textId="77777777" w:rsidR="00BD40C4" w:rsidRPr="007D620F" w:rsidRDefault="00BD40C4" w:rsidP="000565A0">
            <w:pPr>
              <w:jc w:val="right"/>
              <w:rPr>
                <w:rFonts w:ascii="Arial" w:eastAsia="Times New Roman" w:hAnsi="Arial" w:cs="Arial"/>
                <w:sz w:val="20"/>
                <w:lang w:val="en-US"/>
              </w:rPr>
            </w:pPr>
            <w:r w:rsidRPr="007D620F">
              <w:rPr>
                <w:rFonts w:ascii="Arial" w:eastAsia="Times New Roman" w:hAnsi="Arial" w:cs="Arial"/>
                <w:sz w:val="20"/>
                <w:lang w:val="en-US"/>
              </w:rPr>
              <w:t>873.45</w:t>
            </w:r>
          </w:p>
        </w:tc>
        <w:tc>
          <w:tcPr>
            <w:tcW w:w="1080" w:type="dxa"/>
            <w:hideMark/>
          </w:tcPr>
          <w:p w14:paraId="6CCDA71A" w14:textId="77777777" w:rsidR="00BD40C4" w:rsidRPr="007D620F" w:rsidRDefault="00BD40C4" w:rsidP="000565A0">
            <w:pPr>
              <w:rPr>
                <w:rFonts w:ascii="Arial" w:eastAsia="Times New Roman" w:hAnsi="Arial" w:cs="Arial"/>
                <w:sz w:val="20"/>
                <w:lang w:val="en-US"/>
              </w:rPr>
            </w:pPr>
            <w:r w:rsidRPr="007D620F">
              <w:rPr>
                <w:rFonts w:ascii="Arial" w:eastAsia="Times New Roman" w:hAnsi="Arial" w:cs="Arial"/>
                <w:sz w:val="20"/>
                <w:lang w:val="en-US"/>
              </w:rPr>
              <w:t>9.3.3.12</w:t>
            </w:r>
          </w:p>
        </w:tc>
        <w:tc>
          <w:tcPr>
            <w:tcW w:w="3600" w:type="dxa"/>
            <w:hideMark/>
          </w:tcPr>
          <w:p w14:paraId="289090A6" w14:textId="77777777" w:rsidR="00BD40C4" w:rsidRPr="007D620F" w:rsidRDefault="00BD40C4" w:rsidP="000565A0">
            <w:pPr>
              <w:rPr>
                <w:rFonts w:ascii="Arial" w:eastAsia="Times New Roman" w:hAnsi="Arial" w:cs="Arial"/>
                <w:sz w:val="20"/>
                <w:lang w:val="en-US"/>
              </w:rPr>
            </w:pPr>
            <w:r w:rsidRPr="007D620F">
              <w:rPr>
                <w:rFonts w:ascii="Arial" w:eastAsia="Times New Roman" w:hAnsi="Arial" w:cs="Arial"/>
                <w:sz w:val="20"/>
                <w:lang w:val="en-US"/>
              </w:rPr>
              <w:t>"A Finite field element field" -- the Finite field element field is as its name indicates a field.  What we need here is a description of what it contains</w:t>
            </w:r>
          </w:p>
        </w:tc>
        <w:tc>
          <w:tcPr>
            <w:tcW w:w="3600" w:type="dxa"/>
            <w:hideMark/>
          </w:tcPr>
          <w:p w14:paraId="4D0A020D"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At the referenced location change "A Finite field element field from a finite field" to "An element from a finite field"</w:t>
            </w:r>
          </w:p>
        </w:tc>
      </w:tr>
    </w:tbl>
    <w:p w14:paraId="011A28BD" w14:textId="77777777" w:rsidR="00BD40C4" w:rsidRDefault="00BD40C4" w:rsidP="00BD40C4"/>
    <w:p w14:paraId="6399806C" w14:textId="77777777" w:rsidR="00BD40C4" w:rsidRDefault="00BD40C4" w:rsidP="00BD40C4">
      <w:pPr>
        <w:rPr>
          <w:u w:val="single"/>
        </w:rPr>
      </w:pPr>
      <w:r w:rsidRPr="003E6F6E">
        <w:rPr>
          <w:u w:val="single"/>
        </w:rPr>
        <w:t>Discussion:</w:t>
      </w:r>
    </w:p>
    <w:p w14:paraId="12E09E0F" w14:textId="77777777" w:rsidR="00BD40C4" w:rsidRDefault="00BD40C4" w:rsidP="00BD40C4">
      <w:pPr>
        <w:rPr>
          <w:u w:val="single"/>
        </w:rPr>
      </w:pPr>
    </w:p>
    <w:p w14:paraId="4E1C56D4" w14:textId="77777777" w:rsidR="00BD40C4" w:rsidRPr="00EB36E4" w:rsidRDefault="00BD40C4" w:rsidP="00BD40C4">
      <w:r>
        <w:rPr>
          <w:noProof/>
          <w:bdr w:val="single" w:sz="4" w:space="0" w:color="auto"/>
        </w:rPr>
        <w:drawing>
          <wp:anchor distT="0" distB="0" distL="114300" distR="114300" simplePos="0" relativeHeight="251661824" behindDoc="0" locked="0" layoutInCell="1" allowOverlap="1" wp14:anchorId="6FD32C06" wp14:editId="134CCED4">
            <wp:simplePos x="0" y="0"/>
            <wp:positionH relativeFrom="column">
              <wp:posOffset>54610</wp:posOffset>
            </wp:positionH>
            <wp:positionV relativeFrom="paragraph">
              <wp:posOffset>240411</wp:posOffset>
            </wp:positionV>
            <wp:extent cx="6261735" cy="988060"/>
            <wp:effectExtent l="57150" t="57150" r="177165" b="1168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261735" cy="988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Here is the definition of the “Finite field element” field</w:t>
      </w:r>
      <w:r w:rsidRPr="00EB36E4">
        <w:t xml:space="preserve"> </w:t>
      </w:r>
      <w:r>
        <w:t>in the Authentication frame body:</w:t>
      </w:r>
    </w:p>
    <w:p w14:paraId="303BD164" w14:textId="77777777" w:rsidR="00BD40C4" w:rsidRDefault="00BD40C4" w:rsidP="00BD40C4">
      <w:r>
        <w:rPr>
          <w:noProof/>
          <w:bdr w:val="single" w:sz="4" w:space="0" w:color="auto"/>
        </w:rPr>
        <w:drawing>
          <wp:anchor distT="0" distB="0" distL="114300" distR="114300" simplePos="0" relativeHeight="251662848" behindDoc="0" locked="0" layoutInCell="1" allowOverlap="1" wp14:anchorId="04A75D2E" wp14:editId="23AE7019">
            <wp:simplePos x="0" y="0"/>
            <wp:positionH relativeFrom="column">
              <wp:posOffset>3506</wp:posOffset>
            </wp:positionH>
            <wp:positionV relativeFrom="paragraph">
              <wp:posOffset>1572184</wp:posOffset>
            </wp:positionV>
            <wp:extent cx="6283325" cy="601345"/>
            <wp:effectExtent l="57150" t="57150" r="174625" b="1225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283325" cy="6013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DCC305" w14:textId="77777777" w:rsidR="00BD40C4" w:rsidRDefault="00BD40C4" w:rsidP="00BD40C4">
      <w:pPr>
        <w:ind w:right="6"/>
      </w:pPr>
      <w:r>
        <w:t>Subclause 12.4.7.4 describes the usage of this field in SAE Commit messages:</w:t>
      </w:r>
    </w:p>
    <w:p w14:paraId="0D325A8E" w14:textId="77777777" w:rsidR="00BD40C4" w:rsidRPr="00C165C5" w:rsidRDefault="00BD40C4" w:rsidP="00BD40C4">
      <w:pPr>
        <w:ind w:right="6"/>
      </w:pPr>
      <w:r>
        <w:t xml:space="preserve">From the context in 12.4.7.4, we can agree that this field (in an Authentication frame body) carries the description </w:t>
      </w:r>
      <w:r w:rsidRPr="00C165C5">
        <w:t>of one element of a finite field.</w:t>
      </w:r>
    </w:p>
    <w:p w14:paraId="5FC8B4DB" w14:textId="77777777" w:rsidR="00BD40C4" w:rsidRPr="00C165C5" w:rsidRDefault="00BD40C4" w:rsidP="00BD40C4"/>
    <w:p w14:paraId="31CF1A07" w14:textId="77777777" w:rsidR="00BD40C4" w:rsidRPr="00C165C5" w:rsidRDefault="00BD40C4" w:rsidP="00BD40C4">
      <w:pPr>
        <w:rPr>
          <w:u w:val="single"/>
        </w:rPr>
      </w:pPr>
      <w:r w:rsidRPr="00C165C5">
        <w:rPr>
          <w:u w:val="single"/>
        </w:rPr>
        <w:t>Originally proposed resolution:</w:t>
      </w:r>
    </w:p>
    <w:p w14:paraId="71265F59" w14:textId="77777777" w:rsidR="00BD40C4" w:rsidRPr="00C165C5" w:rsidRDefault="00BD40C4" w:rsidP="00BD40C4"/>
    <w:p w14:paraId="6824CD3E" w14:textId="77777777" w:rsidR="00BD40C4" w:rsidRPr="00C165C5" w:rsidRDefault="00BD40C4" w:rsidP="00BD40C4">
      <w:r w:rsidRPr="00C165C5">
        <w:t>Accepted.</w:t>
      </w:r>
    </w:p>
    <w:p w14:paraId="66E2C3B9" w14:textId="77777777" w:rsidR="00BD40C4" w:rsidRPr="00C165C5" w:rsidRDefault="00BD40C4" w:rsidP="00BD40C4"/>
    <w:p w14:paraId="247B883F" w14:textId="77777777" w:rsidR="00BD40C4" w:rsidRPr="00C165C5" w:rsidRDefault="00BD40C4" w:rsidP="00BD40C4">
      <w:r w:rsidRPr="00C165C5">
        <w:t>From June 26 teleconference: Need to check with changes Dan has made in this area.</w:t>
      </w:r>
    </w:p>
    <w:p w14:paraId="32268BEA" w14:textId="77777777" w:rsidR="00BD40C4" w:rsidRPr="00C165C5" w:rsidRDefault="00BD40C4" w:rsidP="00BD40C4"/>
    <w:p w14:paraId="0BD25E3D" w14:textId="77777777" w:rsidR="00BD40C4" w:rsidRDefault="00BD40C4" w:rsidP="00BD40C4">
      <w:r w:rsidRPr="00C165C5">
        <w:t>Update, June 28, 2019:</w:t>
      </w:r>
    </w:p>
    <w:p w14:paraId="2075EF8D" w14:textId="77777777" w:rsidR="00BD40C4" w:rsidRDefault="00BD40C4" w:rsidP="00BD40C4"/>
    <w:p w14:paraId="6773C033" w14:textId="77777777" w:rsidR="00BD40C4" w:rsidRDefault="00BD40C4" w:rsidP="00BD40C4">
      <w:r>
        <w:t>It appears that the “changes Dan has made” were partially in the resolution of CID 2531, and partially handed over to Mark Rison, to be resolved along with CID 2530, now contained in document 11-19/0856r3.</w:t>
      </w:r>
    </w:p>
    <w:p w14:paraId="5EA14568" w14:textId="77777777" w:rsidR="00BD40C4" w:rsidRDefault="00BD40C4" w:rsidP="00BD40C4"/>
    <w:p w14:paraId="6BF0A1A9" w14:textId="77777777" w:rsidR="00BD40C4" w:rsidRDefault="00BD40C4" w:rsidP="00BD40C4">
      <w:r>
        <w:t xml:space="preserve">Neither of those resolutions changes the cited text above, in 9.3.3.12 (Authentication frame format).  However, perhaps one of them should have?  From these two changes, it seems we now have a field in the Authentication frame format, called “Finite Field Element field”, whose “Notes” description does not capitalize “element”, and whose presence in Table 9-43 calls it “The FFE field”.  The definition of the field in 9.4.1.40 calls this the “FFE field”.  Most of the text in clause 12 also calls it an FFE field.  </w:t>
      </w:r>
    </w:p>
    <w:p w14:paraId="0976CC68" w14:textId="77777777" w:rsidR="00BD40C4" w:rsidRDefault="00BD40C4" w:rsidP="00BD40C4"/>
    <w:p w14:paraId="2D8C5693" w14:textId="77777777" w:rsidR="00BD40C4" w:rsidRDefault="00BD40C4" w:rsidP="00BD40C4">
      <w:r>
        <w:t>In fact, in D2.2, there are now exactly two occurrences of the phrase “finite field element” (ignoring capitalization), this field name in Table 9-42, and the acronym list for what FFE stands for.</w:t>
      </w:r>
    </w:p>
    <w:p w14:paraId="7BE1FFFE" w14:textId="77777777" w:rsidR="00BD40C4" w:rsidRDefault="00BD40C4" w:rsidP="00BD40C4"/>
    <w:p w14:paraId="2826B520" w14:textId="77777777" w:rsidR="00BD40C4" w:rsidRDefault="00BD40C4" w:rsidP="00BD40C4">
      <w:r>
        <w:t>Recommend we change the name of the field, in Table 9-42, to FFE, to match all the other uses.</w:t>
      </w:r>
    </w:p>
    <w:p w14:paraId="6FFF5E38" w14:textId="77777777" w:rsidR="00BD40C4" w:rsidRDefault="00BD40C4" w:rsidP="00BD40C4"/>
    <w:p w14:paraId="32CE8321" w14:textId="77777777" w:rsidR="00BD40C4" w:rsidRDefault="00BD40C4" w:rsidP="00BD40C4">
      <w:r>
        <w:t>Finally, this is further complicated by CID 2302, which has these instructions:</w:t>
      </w:r>
    </w:p>
    <w:p w14:paraId="37895B56" w14:textId="77777777" w:rsidR="00BD40C4" w:rsidRDefault="00BD40C4" w:rsidP="00BD40C4">
      <w:pPr>
        <w:ind w:left="720"/>
      </w:pPr>
      <w:r w:rsidRPr="00017769">
        <w:t xml:space="preserve">Change "Finite field element (FFE) field" to "FFE field" throughout.  </w:t>
      </w:r>
      <w:proofErr w:type="gramStart"/>
      <w:r w:rsidRPr="00017769">
        <w:t>Also</w:t>
      </w:r>
      <w:proofErr w:type="gramEnd"/>
      <w:r w:rsidRPr="00017769">
        <w:t xml:space="preserve"> in T9-42 change "A Finite field element field from a finite field" to "An element in a finite field" (cf. 9.4.1.40)</w:t>
      </w:r>
    </w:p>
    <w:p w14:paraId="2B81BD9F" w14:textId="77777777" w:rsidR="00BD40C4" w:rsidRDefault="00BD40C4" w:rsidP="00BD40C4">
      <w:r>
        <w:lastRenderedPageBreak/>
        <w:t xml:space="preserve">This change made the comment here (CID 2438) nearly moot.  There is one subtle difference, CID 2302 changed the Notes to </w:t>
      </w:r>
      <w:proofErr w:type="gramStart"/>
      <w:r>
        <w:t>say</w:t>
      </w:r>
      <w:proofErr w:type="gramEnd"/>
      <w:r>
        <w:t xml:space="preserve"> “An element </w:t>
      </w:r>
      <w:r w:rsidRPr="00017769">
        <w:rPr>
          <w:u w:val="single"/>
        </w:rPr>
        <w:t>in</w:t>
      </w:r>
      <w:r>
        <w:t xml:space="preserve"> a finite field” and this comment would change the Notes to say “An element </w:t>
      </w:r>
      <w:r w:rsidRPr="00017769">
        <w:rPr>
          <w:u w:val="single"/>
        </w:rPr>
        <w:t>from</w:t>
      </w:r>
      <w:r>
        <w:t xml:space="preserve"> a finite field”.  The phrase “from a finite field” is never used in the current draft.  The phrase “in a finite field” is used in 9.4.1.10, where this field is defined.  Thus, to keep it consistent, recommend we leave it as “in”.</w:t>
      </w:r>
    </w:p>
    <w:p w14:paraId="2B544C43" w14:textId="77777777" w:rsidR="00BD40C4" w:rsidRDefault="00BD40C4" w:rsidP="00BD40C4"/>
    <w:p w14:paraId="5BFE7576" w14:textId="77777777" w:rsidR="00BD40C4" w:rsidRPr="00531427" w:rsidRDefault="00BD40C4" w:rsidP="00BD40C4">
      <w:pPr>
        <w:rPr>
          <w:szCs w:val="22"/>
          <w:u w:val="single"/>
        </w:rPr>
      </w:pPr>
      <w:r w:rsidRPr="004404B6">
        <w:rPr>
          <w:highlight w:val="green"/>
          <w:u w:val="single"/>
        </w:rPr>
        <w:t>Propo</w:t>
      </w:r>
      <w:r w:rsidRPr="004404B6">
        <w:rPr>
          <w:szCs w:val="22"/>
          <w:highlight w:val="green"/>
          <w:u w:val="single"/>
        </w:rPr>
        <w:t>sed Resolution:</w:t>
      </w:r>
    </w:p>
    <w:p w14:paraId="4BED28E0" w14:textId="77777777" w:rsidR="00BD40C4" w:rsidRPr="00017769" w:rsidRDefault="00BD40C4" w:rsidP="00BD40C4">
      <w:pPr>
        <w:rPr>
          <w:szCs w:val="22"/>
        </w:rPr>
      </w:pPr>
    </w:p>
    <w:p w14:paraId="644600A0" w14:textId="77777777" w:rsidR="00BD40C4" w:rsidRDefault="00BD40C4" w:rsidP="00BD40C4">
      <w:pPr>
        <w:rPr>
          <w:rFonts w:eastAsia="Times New Roman"/>
          <w:szCs w:val="22"/>
          <w:lang w:val="en-US"/>
        </w:rPr>
      </w:pPr>
      <w:r>
        <w:rPr>
          <w:rFonts w:eastAsia="Times New Roman"/>
          <w:szCs w:val="22"/>
          <w:lang w:val="en-US"/>
        </w:rPr>
        <w:t>Revised.</w:t>
      </w:r>
    </w:p>
    <w:p w14:paraId="6C92DF80" w14:textId="77777777" w:rsidR="00BD40C4" w:rsidRDefault="00BD40C4" w:rsidP="00BD40C4">
      <w:pPr>
        <w:rPr>
          <w:rFonts w:eastAsia="Times New Roman"/>
          <w:szCs w:val="22"/>
          <w:lang w:val="en-US"/>
        </w:rPr>
      </w:pPr>
    </w:p>
    <w:p w14:paraId="5995287C" w14:textId="77777777" w:rsidR="00BD40C4" w:rsidRPr="00017769" w:rsidRDefault="00BD40C4" w:rsidP="00BD40C4">
      <w:pPr>
        <w:rPr>
          <w:szCs w:val="22"/>
        </w:rPr>
      </w:pPr>
      <w:r>
        <w:rPr>
          <w:rFonts w:eastAsia="Times New Roman"/>
          <w:szCs w:val="22"/>
          <w:lang w:val="en-US"/>
        </w:rPr>
        <w:t>In Table 9-42 (Authentication frame body), change the entry in the “Information” column from “Finite Field element” (or “Finite Field Element field” after application of CID 2531), to “FFE field”.</w:t>
      </w:r>
    </w:p>
    <w:p w14:paraId="4A3F07F8" w14:textId="77777777" w:rsidR="00BD40C4" w:rsidRPr="00017769" w:rsidRDefault="00BD40C4" w:rsidP="00BD40C4">
      <w:pPr>
        <w:rPr>
          <w:szCs w:val="22"/>
        </w:rPr>
      </w:pPr>
    </w:p>
    <w:p w14:paraId="6F2196A6" w14:textId="77777777" w:rsidR="00BD40C4" w:rsidRPr="00017769" w:rsidRDefault="00BD40C4" w:rsidP="00BD40C4">
      <w:pPr>
        <w:rPr>
          <w:szCs w:val="22"/>
        </w:rPr>
      </w:pPr>
      <w:r w:rsidRPr="00017769">
        <w:rPr>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3A2555F" w14:textId="77777777" w:rsidTr="000565A0">
        <w:trPr>
          <w:trHeight w:val="524"/>
        </w:trPr>
        <w:tc>
          <w:tcPr>
            <w:tcW w:w="738" w:type="dxa"/>
            <w:hideMark/>
          </w:tcPr>
          <w:p w14:paraId="0B59D458"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033E31A"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19C1997"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C8E71B9"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ADA512"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AC443D" w14:textId="77777777" w:rsidTr="000565A0">
        <w:trPr>
          <w:trHeight w:val="1275"/>
        </w:trPr>
        <w:tc>
          <w:tcPr>
            <w:tcW w:w="738" w:type="dxa"/>
            <w:hideMark/>
          </w:tcPr>
          <w:p w14:paraId="55B1C8F8"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2342</w:t>
            </w:r>
          </w:p>
        </w:tc>
        <w:tc>
          <w:tcPr>
            <w:tcW w:w="990" w:type="dxa"/>
            <w:hideMark/>
          </w:tcPr>
          <w:p w14:paraId="2077B96C"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1347.</w:t>
            </w:r>
            <w:r>
              <w:rPr>
                <w:rFonts w:ascii="Arial" w:eastAsia="Times New Roman" w:hAnsi="Arial" w:cs="Arial"/>
                <w:sz w:val="20"/>
                <w:lang w:val="en-US"/>
              </w:rPr>
              <w:t>36</w:t>
            </w:r>
          </w:p>
        </w:tc>
        <w:tc>
          <w:tcPr>
            <w:tcW w:w="1080" w:type="dxa"/>
            <w:hideMark/>
          </w:tcPr>
          <w:p w14:paraId="2C112A38"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9.4.2.177</w:t>
            </w:r>
          </w:p>
        </w:tc>
        <w:tc>
          <w:tcPr>
            <w:tcW w:w="3600" w:type="dxa"/>
            <w:hideMark/>
          </w:tcPr>
          <w:p w14:paraId="298D72D9"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"Value 0 is applied for</w:t>
            </w:r>
            <w:r w:rsidRPr="00DC0730">
              <w:rPr>
                <w:rFonts w:ascii="Arial" w:eastAsia="Times New Roman" w:hAnsi="Arial" w:cs="Arial"/>
                <w:sz w:val="20"/>
                <w:lang w:val="en-US"/>
              </w:rPr>
              <w:br/>
              <w:t>the Vendor Specific elements that are not in the range of the OUI Response Criteria." is gibberish</w:t>
            </w:r>
          </w:p>
        </w:tc>
        <w:tc>
          <w:tcPr>
            <w:tcW w:w="3600" w:type="dxa"/>
            <w:hideMark/>
          </w:tcPr>
          <w:p w14:paraId="327BB3C4"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41C2B06D" w14:textId="77777777" w:rsidR="00BD40C4" w:rsidRDefault="00BD40C4" w:rsidP="00BD40C4"/>
    <w:p w14:paraId="64F71E63" w14:textId="77777777" w:rsidR="00BD40C4" w:rsidRPr="00602B39" w:rsidRDefault="00BD40C4" w:rsidP="00BD40C4">
      <w:pPr>
        <w:rPr>
          <w:u w:val="single"/>
        </w:rPr>
      </w:pPr>
      <w:r w:rsidRPr="00602B39">
        <w:rPr>
          <w:u w:val="single"/>
        </w:rPr>
        <w:t>Discussion:</w:t>
      </w:r>
    </w:p>
    <w:p w14:paraId="77559F2B" w14:textId="77777777" w:rsidR="00BD40C4" w:rsidRDefault="00BD40C4" w:rsidP="00BD40C4"/>
    <w:p w14:paraId="2AC82158" w14:textId="77777777" w:rsidR="00BD40C4" w:rsidRDefault="00BD40C4" w:rsidP="00BD40C4">
      <w:r>
        <w:t>The cited location:</w:t>
      </w:r>
    </w:p>
    <w:p w14:paraId="5AB3F606" w14:textId="77777777" w:rsidR="00BD40C4" w:rsidRDefault="00BD40C4" w:rsidP="00BD40C4">
      <w:pPr>
        <w:ind w:left="-180"/>
      </w:pPr>
      <w:r>
        <w:rPr>
          <w:noProof/>
        </w:rPr>
        <w:drawing>
          <wp:inline distT="0" distB="0" distL="0" distR="0" wp14:anchorId="760F465F" wp14:editId="430B9BCE">
            <wp:extent cx="6400800" cy="1424940"/>
            <wp:effectExtent l="57150" t="57150" r="171450" b="1181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4249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F221D7" w14:textId="77777777" w:rsidR="00BD40C4" w:rsidRDefault="00BD40C4" w:rsidP="00BD40C4"/>
    <w:p w14:paraId="180910E5" w14:textId="77777777" w:rsidR="00BD40C4" w:rsidRDefault="00BD40C4" w:rsidP="00BD40C4">
      <w:r>
        <w:t>As can be seen, the OUI Response Criteria field is defined to have bit 0 correspond to the first Vendor Specific element.  Thus, the only bits that can be missing, are off the end of the bitmap.  Those bits are covered by the penultimate sentence.  So, there are no Vendor Specific elements “that are not in the range of OUI Response Criteria” and need to be defined.</w:t>
      </w:r>
    </w:p>
    <w:p w14:paraId="2ED9E83A" w14:textId="77777777" w:rsidR="00BD40C4" w:rsidRDefault="00BD40C4" w:rsidP="00BD40C4"/>
    <w:p w14:paraId="78AEB409" w14:textId="77777777" w:rsidR="00BD40C4" w:rsidRPr="00C165C5" w:rsidRDefault="00BD40C4" w:rsidP="00BD40C4">
      <w:r>
        <w:t>Agr</w:t>
      </w:r>
      <w:r w:rsidRPr="00C165C5">
        <w:t>ee with the commenter, the cited sentence is confusing at best, and appears to be unnecessary.</w:t>
      </w:r>
    </w:p>
    <w:p w14:paraId="613DBB99" w14:textId="77777777" w:rsidR="00BD40C4" w:rsidRPr="00C165C5" w:rsidRDefault="00BD40C4" w:rsidP="00BD40C4"/>
    <w:p w14:paraId="1852C004" w14:textId="77777777" w:rsidR="00BD40C4" w:rsidRPr="00C165C5" w:rsidRDefault="00BD40C4" w:rsidP="00BD40C4">
      <w:r w:rsidRPr="00C165C5">
        <w:rPr>
          <w:u w:val="single"/>
        </w:rPr>
        <w:t>Originally proposed resolution:</w:t>
      </w:r>
    </w:p>
    <w:p w14:paraId="399D0E5A" w14:textId="77777777" w:rsidR="00BD40C4" w:rsidRPr="00C165C5" w:rsidRDefault="00BD40C4" w:rsidP="00BD40C4"/>
    <w:p w14:paraId="593C75AD" w14:textId="77777777" w:rsidR="00BD40C4" w:rsidRPr="00C165C5" w:rsidRDefault="00BD40C4" w:rsidP="00BD40C4">
      <w:r w:rsidRPr="00C165C5">
        <w:t>Accepted.</w:t>
      </w:r>
    </w:p>
    <w:p w14:paraId="7F7B45A9" w14:textId="77777777" w:rsidR="00BD40C4" w:rsidRPr="00C165C5" w:rsidRDefault="00BD40C4" w:rsidP="00BD40C4"/>
    <w:p w14:paraId="372C601A" w14:textId="77777777" w:rsidR="00BD40C4" w:rsidRPr="00C165C5" w:rsidRDefault="00BD40C4" w:rsidP="00BD40C4">
      <w:r w:rsidRPr="00C165C5">
        <w:t>From June 26 teleconference: No – reread that penultimate sentence.  Fix the last sentence.</w:t>
      </w:r>
    </w:p>
    <w:p w14:paraId="3C6F9B17" w14:textId="77777777" w:rsidR="00BD40C4" w:rsidRPr="00C165C5" w:rsidRDefault="00BD40C4" w:rsidP="00BD40C4"/>
    <w:p w14:paraId="209D8C70" w14:textId="77777777" w:rsidR="00BD40C4" w:rsidRPr="00C165C5" w:rsidRDefault="00BD40C4" w:rsidP="00BD40C4">
      <w:r w:rsidRPr="00C165C5">
        <w:t>Update, June 28, 2019:</w:t>
      </w:r>
    </w:p>
    <w:p w14:paraId="57215850" w14:textId="77777777" w:rsidR="00BD40C4" w:rsidRPr="00C165C5" w:rsidRDefault="00BD40C4" w:rsidP="00BD40C4"/>
    <w:p w14:paraId="3545D4AC" w14:textId="77777777" w:rsidR="00BD40C4" w:rsidRDefault="00BD40C4" w:rsidP="00BD40C4">
      <w:r w:rsidRPr="00C165C5">
        <w:t>The ultimate sentence is</w:t>
      </w:r>
      <w:r>
        <w:t xml:space="preserve"> meant to cover the case where there are more Vendor Specific elements in the Probe Request frame than there are bits in the OUI Response Criteria. The OUI Response Criteria, per 9.4.2.177 is a </w:t>
      </w:r>
      <w:proofErr w:type="gramStart"/>
      <w:r>
        <w:t>2 octet</w:t>
      </w:r>
      <w:proofErr w:type="gramEnd"/>
      <w:r>
        <w:t xml:space="preserve"> field within the FILS Request Parameters element in a Probe Request frame, so it has fixed size and therefore limited range.  There appears to be no limit to the number of Vendor Specific elements that can be included in the Probe Request, along with the FILS Request Parameters element.  Thus, this condition can occur.</w:t>
      </w:r>
    </w:p>
    <w:p w14:paraId="52FC9BA2" w14:textId="77777777" w:rsidR="00BD40C4" w:rsidRDefault="00BD40C4" w:rsidP="00BD40C4"/>
    <w:p w14:paraId="3FEB64D4" w14:textId="77777777" w:rsidR="00BD40C4" w:rsidRDefault="00BD40C4" w:rsidP="00BD40C4">
      <w:pPr>
        <w:rPr>
          <w:u w:val="single"/>
        </w:rPr>
      </w:pPr>
      <w:r w:rsidRPr="004404B6">
        <w:rPr>
          <w:highlight w:val="green"/>
          <w:u w:val="single"/>
        </w:rPr>
        <w:t>Proposed Resolution:</w:t>
      </w:r>
    </w:p>
    <w:p w14:paraId="4487DDBA" w14:textId="77777777" w:rsidR="00BD40C4" w:rsidRPr="00531427" w:rsidRDefault="00BD40C4" w:rsidP="00BD40C4">
      <w:pPr>
        <w:rPr>
          <w:u w:val="single"/>
        </w:rPr>
      </w:pPr>
    </w:p>
    <w:p w14:paraId="2B51F1B4" w14:textId="77777777" w:rsidR="00BD40C4" w:rsidRDefault="00BD40C4" w:rsidP="00BD40C4">
      <w:r>
        <w:t>Revised.</w:t>
      </w:r>
    </w:p>
    <w:p w14:paraId="01B244A9" w14:textId="77777777" w:rsidR="00BD40C4" w:rsidRDefault="00BD40C4" w:rsidP="00BD40C4"/>
    <w:p w14:paraId="2F00B8B3" w14:textId="77777777" w:rsidR="00BD40C4" w:rsidRDefault="00BD40C4" w:rsidP="00BD40C4">
      <w:r>
        <w:t>Replace the cited sentence with:</w:t>
      </w:r>
    </w:p>
    <w:p w14:paraId="49BA7270" w14:textId="77777777" w:rsidR="00BD40C4" w:rsidRDefault="00BD40C4" w:rsidP="00BD40C4">
      <w:pPr>
        <w:ind w:left="720"/>
      </w:pPr>
      <w:r>
        <w:t>If the number of bits in the OUI Response Criteria field is less than the number of Vendor Specific elements in the Probe Request frame, the corresponding bits not present in the OUI Response Criteria field are assumed to be 0.</w:t>
      </w:r>
    </w:p>
    <w:p w14:paraId="10C5012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5CA2940B" w14:textId="77777777" w:rsidTr="000565A0">
        <w:trPr>
          <w:trHeight w:val="524"/>
        </w:trPr>
        <w:tc>
          <w:tcPr>
            <w:tcW w:w="738" w:type="dxa"/>
            <w:hideMark/>
          </w:tcPr>
          <w:p w14:paraId="70C97C5F"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CB52E7C"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C5537E"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20D9C6"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54F41F7"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8B0D505" w14:textId="77777777" w:rsidTr="000565A0">
        <w:trPr>
          <w:trHeight w:val="2882"/>
        </w:trPr>
        <w:tc>
          <w:tcPr>
            <w:tcW w:w="738" w:type="dxa"/>
            <w:hideMark/>
          </w:tcPr>
          <w:p w14:paraId="641658BD"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2361</w:t>
            </w:r>
          </w:p>
        </w:tc>
        <w:tc>
          <w:tcPr>
            <w:tcW w:w="990" w:type="dxa"/>
            <w:hideMark/>
          </w:tcPr>
          <w:p w14:paraId="48573655"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54CC3564"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3929275A"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contains  the  RSN  information,  including:  RSN  capability,  an</w:t>
            </w:r>
            <w:r w:rsidRPr="00DC0730">
              <w:rPr>
                <w:rFonts w:ascii="Arial" w:eastAsia="Times New Roman" w:hAnsi="Arial" w:cs="Arial"/>
                <w:sz w:val="20"/>
                <w:lang w:val="en-US"/>
              </w:rPr>
              <w:br/>
              <w:t>authentication suite selector, a pairwise cipher suite selector, a group data cipher suite selector, and a group</w:t>
            </w:r>
            <w:r w:rsidRPr="00DC0730">
              <w:rPr>
                <w:rFonts w:ascii="Arial" w:eastAsia="Times New Roman" w:hAnsi="Arial" w:cs="Arial"/>
                <w:sz w:val="20"/>
                <w:lang w:val="en-US"/>
              </w:rPr>
              <w:br/>
              <w:t>management cipher suite selector. Its format is defined in Figure 9-883 (Format of the FD RSN Information</w:t>
            </w:r>
            <w:r w:rsidRPr="00DC0730">
              <w:rPr>
                <w:rFonts w:ascii="Arial" w:eastAsia="Times New Roman" w:hAnsi="Arial" w:cs="Arial"/>
                <w:sz w:val="20"/>
                <w:lang w:val="en-US"/>
              </w:rPr>
              <w:br/>
              <w:t>subfield(11ai)). " is an ideal breeding ground for spec rot</w:t>
            </w:r>
          </w:p>
        </w:tc>
        <w:tc>
          <w:tcPr>
            <w:tcW w:w="3600" w:type="dxa"/>
            <w:hideMark/>
          </w:tcPr>
          <w:p w14:paraId="7AD7825B"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is defined in Figure 9-883 (Format of the FD RSN Information</w:t>
            </w:r>
            <w:r w:rsidRPr="00DC0730">
              <w:rPr>
                <w:rFonts w:ascii="Arial" w:eastAsia="Times New Roman" w:hAnsi="Arial" w:cs="Arial"/>
                <w:sz w:val="20"/>
                <w:lang w:val="en-US"/>
              </w:rPr>
              <w:br/>
              <w:t>subfield(11ai)). "</w:t>
            </w:r>
          </w:p>
        </w:tc>
      </w:tr>
    </w:tbl>
    <w:p w14:paraId="72E8F34F" w14:textId="77777777" w:rsidR="00BD40C4" w:rsidRDefault="00BD40C4" w:rsidP="00BD40C4"/>
    <w:p w14:paraId="6DCB1D60" w14:textId="77777777" w:rsidR="00BD40C4" w:rsidRDefault="00BD40C4" w:rsidP="00BD40C4">
      <w:r>
        <w:rPr>
          <w:u w:val="single"/>
        </w:rPr>
        <w:t>Discussion:</w:t>
      </w:r>
    </w:p>
    <w:p w14:paraId="2432D97F" w14:textId="77777777" w:rsidR="00BD40C4" w:rsidRDefault="00BD40C4" w:rsidP="00BD40C4"/>
    <w:p w14:paraId="4DCEAD16" w14:textId="77777777" w:rsidR="00BD40C4" w:rsidRDefault="00BD40C4" w:rsidP="00BD40C4">
      <w:r>
        <w:rPr>
          <w:noProof/>
        </w:rPr>
        <w:drawing>
          <wp:inline distT="0" distB="0" distL="0" distR="0" wp14:anchorId="2F64F9E4" wp14:editId="4FD36151">
            <wp:extent cx="6395085" cy="2894965"/>
            <wp:effectExtent l="57150" t="57150" r="177165" b="133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D2F791" w14:textId="77777777" w:rsidR="00BD40C4" w:rsidRDefault="00BD40C4" w:rsidP="00BD40C4">
      <w:r>
        <w:t>Agree with the commenter, the cited sentence adds nothing that isn’t indicated in the Figure.</w:t>
      </w:r>
    </w:p>
    <w:p w14:paraId="14702F99" w14:textId="77777777" w:rsidR="00BD40C4" w:rsidRDefault="00BD40C4" w:rsidP="00BD40C4"/>
    <w:p w14:paraId="2EDEC3B8" w14:textId="77777777" w:rsidR="00BD40C4" w:rsidRDefault="00BD40C4" w:rsidP="00BD40C4">
      <w:r w:rsidRPr="004404B6">
        <w:rPr>
          <w:highlight w:val="green"/>
          <w:u w:val="single"/>
        </w:rPr>
        <w:t>Proposed Resolution:</w:t>
      </w:r>
    </w:p>
    <w:p w14:paraId="33073A18" w14:textId="77777777" w:rsidR="00BD40C4" w:rsidRDefault="00BD40C4" w:rsidP="00BD40C4"/>
    <w:p w14:paraId="374C72CD" w14:textId="77777777" w:rsidR="00BD40C4" w:rsidRPr="00D04B89" w:rsidRDefault="00BD40C4" w:rsidP="00BD40C4">
      <w:r>
        <w:t>Accepted.</w:t>
      </w:r>
    </w:p>
    <w:p w14:paraId="0ADCF2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11C175D" w14:textId="77777777" w:rsidTr="000565A0">
        <w:trPr>
          <w:trHeight w:val="524"/>
        </w:trPr>
        <w:tc>
          <w:tcPr>
            <w:tcW w:w="738" w:type="dxa"/>
            <w:hideMark/>
          </w:tcPr>
          <w:p w14:paraId="59472C10"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A724A57"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D9AADFE"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11C091"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15459B"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3956C89" w14:textId="77777777" w:rsidTr="000565A0">
        <w:trPr>
          <w:trHeight w:val="3242"/>
        </w:trPr>
        <w:tc>
          <w:tcPr>
            <w:tcW w:w="738" w:type="dxa"/>
            <w:hideMark/>
          </w:tcPr>
          <w:p w14:paraId="1DB90C46"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2379</w:t>
            </w:r>
          </w:p>
        </w:tc>
        <w:tc>
          <w:tcPr>
            <w:tcW w:w="990" w:type="dxa"/>
            <w:hideMark/>
          </w:tcPr>
          <w:p w14:paraId="5F18A9D4"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1771.0</w:t>
            </w:r>
            <w:r>
              <w:rPr>
                <w:rFonts w:ascii="Arial" w:eastAsia="Times New Roman" w:hAnsi="Arial" w:cs="Arial"/>
                <w:sz w:val="20"/>
                <w:lang w:val="en-US"/>
              </w:rPr>
              <w:t>1</w:t>
            </w:r>
          </w:p>
        </w:tc>
        <w:tc>
          <w:tcPr>
            <w:tcW w:w="1080" w:type="dxa"/>
            <w:hideMark/>
          </w:tcPr>
          <w:p w14:paraId="50380008"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0F6620D4"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"For frames that are not sent within the context of a block ack agreement, a QoS STA shall not have</w:t>
            </w:r>
            <w:r w:rsidRPr="00DC0730">
              <w:rPr>
                <w:rFonts w:ascii="Arial" w:eastAsia="Times New Roman" w:hAnsi="Arial" w:cs="Arial"/>
                <w:sz w:val="20"/>
                <w:lang w:val="en-US"/>
              </w:rPr>
              <w:br/>
              <w:t>outstanding at any time more than:</w:t>
            </w:r>
            <w:r w:rsidRPr="00DC0730">
              <w:rPr>
                <w:rFonts w:ascii="Arial" w:eastAsia="Times New Roman" w:hAnsi="Arial" w:cs="Arial"/>
                <w:sz w:val="20"/>
                <w:lang w:val="en-US"/>
              </w:rPr>
              <w:br/>
              <w:t>--- one MSDU or A-MSDU for each TID from a particular SA</w:t>
            </w:r>
            <w:r w:rsidRPr="00DC0730">
              <w:rPr>
                <w:rFonts w:ascii="Arial" w:eastAsia="Times New Roman" w:hAnsi="Arial" w:cs="Arial"/>
                <w:sz w:val="20"/>
                <w:lang w:val="en-US"/>
              </w:rPr>
              <w:br/>
              <w:t>--- one MMPDU</w:t>
            </w:r>
            <w:r w:rsidRPr="00DC0730">
              <w:rPr>
                <w:rFonts w:ascii="Arial" w:eastAsia="Times New Roman" w:hAnsi="Arial" w:cs="Arial"/>
                <w:sz w:val="20"/>
                <w:lang w:val="en-US"/>
              </w:rPr>
              <w:br/>
              <w:t>transmitted in one or more MPDUs with a particular individual RA." is ambiguous as to whether you can only have MSDUs from one particular SA, or can you can MSDUs from multiple SAs (as long as you have only one from any given SA)</w:t>
            </w:r>
          </w:p>
        </w:tc>
        <w:tc>
          <w:tcPr>
            <w:tcW w:w="3600" w:type="dxa"/>
            <w:hideMark/>
          </w:tcPr>
          <w:p w14:paraId="5C062A66"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Change "a particular" to "any particular"</w:t>
            </w:r>
          </w:p>
        </w:tc>
      </w:tr>
    </w:tbl>
    <w:p w14:paraId="4671A9AC" w14:textId="77777777" w:rsidR="00BD40C4" w:rsidRDefault="00BD40C4" w:rsidP="00BD40C4"/>
    <w:p w14:paraId="11870687" w14:textId="77777777" w:rsidR="00BD40C4" w:rsidRPr="006B48A4" w:rsidRDefault="00BD40C4" w:rsidP="00BD40C4">
      <w:pPr>
        <w:rPr>
          <w:u w:val="single"/>
        </w:rPr>
      </w:pPr>
      <w:r w:rsidRPr="006B48A4">
        <w:rPr>
          <w:u w:val="single"/>
        </w:rPr>
        <w:t>Discussion:</w:t>
      </w:r>
    </w:p>
    <w:p w14:paraId="041210C2" w14:textId="77777777" w:rsidR="00BD40C4" w:rsidRDefault="00BD40C4" w:rsidP="00BD40C4"/>
    <w:p w14:paraId="4419A04B" w14:textId="77777777" w:rsidR="00BD40C4" w:rsidRDefault="00BD40C4" w:rsidP="00BD40C4">
      <w:pPr>
        <w:ind w:left="-180"/>
      </w:pPr>
      <w:r>
        <w:rPr>
          <w:noProof/>
        </w:rPr>
        <w:drawing>
          <wp:inline distT="0" distB="0" distL="0" distR="0" wp14:anchorId="7B4930D2" wp14:editId="41E2E4AC">
            <wp:extent cx="6400800" cy="1003935"/>
            <wp:effectExtent l="57150" t="57150" r="171450" b="1200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00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6273178" w14:textId="77777777" w:rsidR="00BD40C4" w:rsidRDefault="00BD40C4" w:rsidP="00BD40C4"/>
    <w:p w14:paraId="48A1825D" w14:textId="77777777" w:rsidR="00BD40C4" w:rsidRDefault="00BD40C4" w:rsidP="00BD40C4">
      <w:r>
        <w:t xml:space="preserve">Agree with commenter, “any particular” is </w:t>
      </w:r>
      <w:proofErr w:type="gramStart"/>
      <w:r>
        <w:t>more clear</w:t>
      </w:r>
      <w:proofErr w:type="gramEnd"/>
      <w:r>
        <w:t>.</w:t>
      </w:r>
    </w:p>
    <w:p w14:paraId="77130558" w14:textId="77777777" w:rsidR="00BD40C4" w:rsidRDefault="00BD40C4" w:rsidP="00BD40C4"/>
    <w:p w14:paraId="2FC0FFD3" w14:textId="77777777" w:rsidR="00BD40C4" w:rsidRDefault="00BD40C4" w:rsidP="00BD40C4">
      <w:r w:rsidRPr="00C165C5">
        <w:t>However, there are two occurrences of “any particular” so we need to be clear about which one.</w:t>
      </w:r>
    </w:p>
    <w:p w14:paraId="1A230910" w14:textId="77777777" w:rsidR="00BD40C4" w:rsidRDefault="00BD40C4" w:rsidP="00BD40C4"/>
    <w:p w14:paraId="4D1F6242" w14:textId="77777777" w:rsidR="00BD40C4" w:rsidRDefault="00BD40C4" w:rsidP="00BD40C4">
      <w:r w:rsidRPr="00D34B28">
        <w:rPr>
          <w:highlight w:val="green"/>
          <w:u w:val="single"/>
        </w:rPr>
        <w:t>Proposed Resolution:</w:t>
      </w:r>
    </w:p>
    <w:p w14:paraId="480967B3" w14:textId="77777777" w:rsidR="00BD40C4" w:rsidRDefault="00BD40C4" w:rsidP="00BD40C4"/>
    <w:p w14:paraId="2BDC232F" w14:textId="77777777" w:rsidR="00BD40C4" w:rsidRPr="00300F23" w:rsidRDefault="00BD40C4" w:rsidP="00BD40C4">
      <w:r w:rsidRPr="00D34B28">
        <w:t>Revised.  In 10.7, change “from a particular SA” to “from any particular SA” in two locations</w:t>
      </w:r>
      <w:r>
        <w:t xml:space="preserve"> (D2.2 P1780.56 and P1781.4).</w:t>
      </w:r>
    </w:p>
    <w:p w14:paraId="373E7DCB"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24E6F436" w14:textId="77777777" w:rsidTr="000565A0">
        <w:trPr>
          <w:trHeight w:val="524"/>
        </w:trPr>
        <w:tc>
          <w:tcPr>
            <w:tcW w:w="738" w:type="dxa"/>
            <w:hideMark/>
          </w:tcPr>
          <w:p w14:paraId="736CA5AA"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1C718E"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03D25BC"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DD6C45"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8F7E24"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56510C1" w14:textId="77777777" w:rsidTr="000565A0">
        <w:trPr>
          <w:trHeight w:val="1275"/>
        </w:trPr>
        <w:tc>
          <w:tcPr>
            <w:tcW w:w="738" w:type="dxa"/>
            <w:hideMark/>
          </w:tcPr>
          <w:p w14:paraId="4B3379E2"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2409</w:t>
            </w:r>
          </w:p>
        </w:tc>
        <w:tc>
          <w:tcPr>
            <w:tcW w:w="990" w:type="dxa"/>
            <w:hideMark/>
          </w:tcPr>
          <w:p w14:paraId="10D7AAC5"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2238.</w:t>
            </w:r>
            <w:r>
              <w:rPr>
                <w:rFonts w:ascii="Arial" w:eastAsia="Times New Roman" w:hAnsi="Arial" w:cs="Arial"/>
                <w:sz w:val="20"/>
                <w:lang w:val="en-US"/>
              </w:rPr>
              <w:t>5</w:t>
            </w:r>
            <w:r w:rsidRPr="00DC0730">
              <w:rPr>
                <w:rFonts w:ascii="Arial" w:eastAsia="Times New Roman" w:hAnsi="Arial" w:cs="Arial"/>
                <w:sz w:val="20"/>
                <w:lang w:val="en-US"/>
              </w:rPr>
              <w:t>0</w:t>
            </w:r>
          </w:p>
        </w:tc>
        <w:tc>
          <w:tcPr>
            <w:tcW w:w="1080" w:type="dxa"/>
            <w:hideMark/>
          </w:tcPr>
          <w:p w14:paraId="3CBF0EF9"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11.6</w:t>
            </w:r>
          </w:p>
        </w:tc>
        <w:tc>
          <w:tcPr>
            <w:tcW w:w="3600" w:type="dxa"/>
            <w:hideMark/>
          </w:tcPr>
          <w:p w14:paraId="08AE4445"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The "sync frame"</w:t>
            </w:r>
            <w:proofErr w:type="spellStart"/>
            <w:r w:rsidRPr="00DC0730">
              <w:rPr>
                <w:rFonts w:ascii="Arial" w:eastAsia="Times New Roman" w:hAnsi="Arial" w:cs="Arial"/>
                <w:sz w:val="20"/>
                <w:lang w:val="en-US"/>
              </w:rPr>
              <w:t>s in</w:t>
            </w:r>
            <w:proofErr w:type="spellEnd"/>
            <w:r w:rsidRPr="00DC0730">
              <w:rPr>
                <w:rFonts w:ascii="Arial" w:eastAsia="Times New Roman" w:hAnsi="Arial" w:cs="Arial"/>
                <w:sz w:val="20"/>
                <w:lang w:val="en-US"/>
              </w:rPr>
              <w:t xml:space="preserve"> Subclause 11.6 are higher-layer constructs and so are properly referred to as "sync </w:t>
            </w:r>
            <w:proofErr w:type="spellStart"/>
            <w:r w:rsidRPr="00DC0730">
              <w:rPr>
                <w:rFonts w:ascii="Arial" w:eastAsia="Times New Roman" w:hAnsi="Arial" w:cs="Arial"/>
                <w:sz w:val="20"/>
                <w:lang w:val="en-US"/>
              </w:rPr>
              <w:t>packet"s</w:t>
            </w:r>
            <w:proofErr w:type="spellEnd"/>
          </w:p>
        </w:tc>
        <w:tc>
          <w:tcPr>
            <w:tcW w:w="3600" w:type="dxa"/>
            <w:hideMark/>
          </w:tcPr>
          <w:p w14:paraId="207DCE6E"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Throughout 11.6 change "sync frame" to "sync packet"</w:t>
            </w:r>
          </w:p>
        </w:tc>
      </w:tr>
    </w:tbl>
    <w:p w14:paraId="614077D4" w14:textId="77777777" w:rsidR="00BD40C4" w:rsidRDefault="00BD40C4" w:rsidP="00BD40C4"/>
    <w:p w14:paraId="0141F74E" w14:textId="77777777" w:rsidR="00BD40C4" w:rsidRDefault="00BD40C4" w:rsidP="00BD40C4">
      <w:pPr>
        <w:rPr>
          <w:u w:val="single"/>
        </w:rPr>
      </w:pPr>
      <w:r>
        <w:rPr>
          <w:u w:val="single"/>
        </w:rPr>
        <w:t>Discussion:</w:t>
      </w:r>
    </w:p>
    <w:p w14:paraId="5AB92567" w14:textId="77777777" w:rsidR="00BD40C4" w:rsidRPr="00757D45" w:rsidRDefault="00BD40C4" w:rsidP="00BD40C4"/>
    <w:p w14:paraId="0BDCD7DC" w14:textId="77777777" w:rsidR="00BD40C4" w:rsidRPr="00757D45" w:rsidRDefault="00BD40C4" w:rsidP="00BD40C4">
      <w:r>
        <w:rPr>
          <w:noProof/>
        </w:rPr>
        <mc:AlternateContent>
          <mc:Choice Requires="wpi">
            <w:drawing>
              <wp:anchor distT="0" distB="0" distL="114300" distR="114300" simplePos="0" relativeHeight="251685376" behindDoc="0" locked="0" layoutInCell="1" allowOverlap="1" wp14:anchorId="386B620B" wp14:editId="0A9D0562">
                <wp:simplePos x="0" y="0"/>
                <wp:positionH relativeFrom="column">
                  <wp:posOffset>2120660</wp:posOffset>
                </wp:positionH>
                <wp:positionV relativeFrom="paragraph">
                  <wp:posOffset>6474612</wp:posOffset>
                </wp:positionV>
                <wp:extent cx="210240" cy="39240"/>
                <wp:effectExtent l="76200" t="152400" r="113665" b="151765"/>
                <wp:wrapNone/>
                <wp:docPr id="47" name="Ink 47"/>
                <wp:cNvGraphicFramePr/>
                <a:graphic xmlns:a="http://schemas.openxmlformats.org/drawingml/2006/main">
                  <a:graphicData uri="http://schemas.microsoft.com/office/word/2010/wordprocessingInk">
                    <w14:contentPart bwMode="auto" r:id="rId31">
                      <w14:nvContentPartPr>
                        <w14:cNvContentPartPr/>
                      </w14:nvContentPartPr>
                      <w14:xfrm>
                        <a:off x="0" y="0"/>
                        <a:ext cx="210240" cy="39240"/>
                      </w14:xfrm>
                    </w14:contentPart>
                  </a:graphicData>
                </a:graphic>
              </wp:anchor>
            </w:drawing>
          </mc:Choice>
          <mc:Fallback>
            <w:pict>
              <v:shapetype w14:anchorId="63F65FA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7" o:spid="_x0000_s1026" type="#_x0000_t75" style="position:absolute;margin-left:162.75pt;margin-top:501.3pt;width:25.05pt;height:20.1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">
                <v:imagedata r:id="rId32" o:title=""/>
              </v:shape>
            </w:pict>
          </mc:Fallback>
        </mc:AlternateContent>
      </w:r>
      <w:r>
        <w:rPr>
          <w:noProof/>
        </w:rPr>
        <mc:AlternateContent>
          <mc:Choice Requires="wpi">
            <w:drawing>
              <wp:anchor distT="0" distB="0" distL="114300" distR="114300" simplePos="0" relativeHeight="251684352" behindDoc="0" locked="0" layoutInCell="1" allowOverlap="1" wp14:anchorId="44E43BB8" wp14:editId="02D3E7C0">
                <wp:simplePos x="0" y="0"/>
                <wp:positionH relativeFrom="column">
                  <wp:posOffset>5071580</wp:posOffset>
                </wp:positionH>
                <wp:positionV relativeFrom="paragraph">
                  <wp:posOffset>6087252</wp:posOffset>
                </wp:positionV>
                <wp:extent cx="226440" cy="5760"/>
                <wp:effectExtent l="95250" t="152400" r="97790" b="165735"/>
                <wp:wrapNone/>
                <wp:docPr id="46" name="Ink 46"/>
                <wp:cNvGraphicFramePr/>
                <a:graphic xmlns:a="http://schemas.openxmlformats.org/drawingml/2006/main">
                  <a:graphicData uri="http://schemas.microsoft.com/office/word/2010/wordprocessingInk">
                    <w14:contentPart bwMode="auto" r:id="rId33">
                      <w14:nvContentPartPr>
                        <w14:cNvContentPartPr/>
                      </w14:nvContentPartPr>
                      <w14:xfrm>
                        <a:off x="0" y="0"/>
                        <a:ext cx="226440" cy="5760"/>
                      </w14:xfrm>
                    </w14:contentPart>
                  </a:graphicData>
                </a:graphic>
              </wp:anchor>
            </w:drawing>
          </mc:Choice>
          <mc:Fallback>
            <w:pict>
              <v:shape w14:anchorId="460921B2" id="Ink 46" o:spid="_x0000_s1026" type="#_x0000_t75" style="position:absolute;margin-left:395.1pt;margin-top:471.3pt;width:26.35pt;height:16.4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">
                <v:imagedata r:id="rId34" o:title=""/>
              </v:shape>
            </w:pict>
          </mc:Fallback>
        </mc:AlternateContent>
      </w:r>
      <w:r>
        <w:rPr>
          <w:noProof/>
        </w:rPr>
        <mc:AlternateContent>
          <mc:Choice Requires="wpi">
            <w:drawing>
              <wp:anchor distT="0" distB="0" distL="114300" distR="114300" simplePos="0" relativeHeight="251683328" behindDoc="0" locked="0" layoutInCell="1" allowOverlap="1" wp14:anchorId="166E656D" wp14:editId="2435D4AD">
                <wp:simplePos x="0" y="0"/>
                <wp:positionH relativeFrom="column">
                  <wp:posOffset>4606100</wp:posOffset>
                </wp:positionH>
                <wp:positionV relativeFrom="paragraph">
                  <wp:posOffset>5946852</wp:posOffset>
                </wp:positionV>
                <wp:extent cx="240840" cy="17280"/>
                <wp:effectExtent l="95250" t="133350" r="121285" b="173355"/>
                <wp:wrapNone/>
                <wp:docPr id="45" name="Ink 45"/>
                <wp:cNvGraphicFramePr/>
                <a:graphic xmlns:a="http://schemas.openxmlformats.org/drawingml/2006/main">
                  <a:graphicData uri="http://schemas.microsoft.com/office/word/2010/wordprocessingInk">
                    <w14:contentPart bwMode="auto" r:id="rId35">
                      <w14:nvContentPartPr>
                        <w14:cNvContentPartPr/>
                      </w14:nvContentPartPr>
                      <w14:xfrm>
                        <a:off x="0" y="0"/>
                        <a:ext cx="240840" cy="17280"/>
                      </w14:xfrm>
                    </w14:contentPart>
                  </a:graphicData>
                </a:graphic>
              </wp:anchor>
            </w:drawing>
          </mc:Choice>
          <mc:Fallback>
            <w:pict>
              <v:shape w14:anchorId="398A83A2" id="Ink 45" o:spid="_x0000_s1026" type="#_x0000_t75" style="position:absolute;margin-left:358.45pt;margin-top:459.9pt;width:27.45pt;height:18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">
                <v:imagedata r:id="rId36" o:title=""/>
              </v:shape>
            </w:pict>
          </mc:Fallback>
        </mc:AlternateContent>
      </w:r>
      <w:r>
        <w:rPr>
          <w:noProof/>
        </w:rPr>
        <mc:AlternateContent>
          <mc:Choice Requires="wpi">
            <w:drawing>
              <wp:anchor distT="0" distB="0" distL="114300" distR="114300" simplePos="0" relativeHeight="251682304" behindDoc="0" locked="0" layoutInCell="1" allowOverlap="1" wp14:anchorId="402CC5AB" wp14:editId="10A7FC47">
                <wp:simplePos x="0" y="0"/>
                <wp:positionH relativeFrom="column">
                  <wp:posOffset>2255300</wp:posOffset>
                </wp:positionH>
                <wp:positionV relativeFrom="paragraph">
                  <wp:posOffset>5801052</wp:posOffset>
                </wp:positionV>
                <wp:extent cx="240840" cy="360"/>
                <wp:effectExtent l="95250" t="152400" r="121285" b="152400"/>
                <wp:wrapNone/>
                <wp:docPr id="44" name="Ink 44"/>
                <wp:cNvGraphicFramePr/>
                <a:graphic xmlns:a="http://schemas.openxmlformats.org/drawingml/2006/main">
                  <a:graphicData uri="http://schemas.microsoft.com/office/word/2010/wordprocessingInk">
                    <w14:contentPart bwMode="auto" r:id="rId37">
                      <w14:nvContentPartPr>
                        <w14:cNvContentPartPr/>
                      </w14:nvContentPartPr>
                      <w14:xfrm>
                        <a:off x="0" y="0"/>
                        <a:ext cx="240840" cy="360"/>
                      </w14:xfrm>
                    </w14:contentPart>
                  </a:graphicData>
                </a:graphic>
              </wp:anchor>
            </w:drawing>
          </mc:Choice>
          <mc:Fallback>
            <w:pict>
              <v:shape w14:anchorId="2A43F550" id="Ink 44" o:spid="_x0000_s1026" type="#_x0000_t75" style="position:absolute;margin-left:173.35pt;margin-top:448.3pt;width:27.45pt;height:17.0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">
                <v:imagedata r:id="rId38" o:title=""/>
              </v:shape>
            </w:pict>
          </mc:Fallback>
        </mc:AlternateContent>
      </w:r>
      <w:r>
        <w:rPr>
          <w:noProof/>
        </w:rPr>
        <mc:AlternateContent>
          <mc:Choice Requires="wpi">
            <w:drawing>
              <wp:anchor distT="0" distB="0" distL="114300" distR="114300" simplePos="0" relativeHeight="251681280" behindDoc="0" locked="0" layoutInCell="1" allowOverlap="1" wp14:anchorId="1785EA64" wp14:editId="077DB375">
                <wp:simplePos x="0" y="0"/>
                <wp:positionH relativeFrom="column">
                  <wp:posOffset>3438980</wp:posOffset>
                </wp:positionH>
                <wp:positionV relativeFrom="paragraph">
                  <wp:posOffset>5537099</wp:posOffset>
                </wp:positionV>
                <wp:extent cx="252000" cy="17640"/>
                <wp:effectExtent l="76200" t="133350" r="110490" b="173355"/>
                <wp:wrapNone/>
                <wp:docPr id="42" name="Ink 42"/>
                <wp:cNvGraphicFramePr/>
                <a:graphic xmlns:a="http://schemas.openxmlformats.org/drawingml/2006/main">
                  <a:graphicData uri="http://schemas.microsoft.com/office/word/2010/wordprocessingInk">
                    <w14:contentPart bwMode="auto" r:id="rId39">
                      <w14:nvContentPartPr>
                        <w14:cNvContentPartPr/>
                      </w14:nvContentPartPr>
                      <w14:xfrm>
                        <a:off x="0" y="0"/>
                        <a:ext cx="252000" cy="17640"/>
                      </w14:xfrm>
                    </w14:contentPart>
                  </a:graphicData>
                </a:graphic>
              </wp:anchor>
            </w:drawing>
          </mc:Choice>
          <mc:Fallback>
            <w:pict>
              <v:shape w14:anchorId="42163BC9" id="Ink 42" o:spid="_x0000_s1026" type="#_x0000_t75" style="position:absolute;margin-left:266.55pt;margin-top:427.3pt;width:28.35pt;height:18.7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">
                <v:imagedata r:id="rId40" o:title=""/>
              </v:shape>
            </w:pict>
          </mc:Fallback>
        </mc:AlternateContent>
      </w:r>
      <w:r>
        <w:rPr>
          <w:noProof/>
        </w:rPr>
        <mc:AlternateContent>
          <mc:Choice Requires="wpi">
            <w:drawing>
              <wp:anchor distT="0" distB="0" distL="114300" distR="114300" simplePos="0" relativeHeight="251680256" behindDoc="0" locked="0" layoutInCell="1" allowOverlap="1" wp14:anchorId="7C5A3AA9" wp14:editId="2C895736">
                <wp:simplePos x="0" y="0"/>
                <wp:positionH relativeFrom="column">
                  <wp:posOffset>488420</wp:posOffset>
                </wp:positionH>
                <wp:positionV relativeFrom="paragraph">
                  <wp:posOffset>5520179</wp:posOffset>
                </wp:positionV>
                <wp:extent cx="294840" cy="56880"/>
                <wp:effectExtent l="95250" t="133350" r="105410" b="172085"/>
                <wp:wrapNone/>
                <wp:docPr id="41" name="Ink 41"/>
                <wp:cNvGraphicFramePr/>
                <a:graphic xmlns:a="http://schemas.openxmlformats.org/drawingml/2006/main">
                  <a:graphicData uri="http://schemas.microsoft.com/office/word/2010/wordprocessingInk">
                    <w14:contentPart bwMode="auto" r:id="rId41">
                      <w14:nvContentPartPr>
                        <w14:cNvContentPartPr/>
                      </w14:nvContentPartPr>
                      <w14:xfrm>
                        <a:off x="0" y="0"/>
                        <a:ext cx="294840" cy="56880"/>
                      </w14:xfrm>
                    </w14:contentPart>
                  </a:graphicData>
                </a:graphic>
              </wp:anchor>
            </w:drawing>
          </mc:Choice>
          <mc:Fallback>
            <w:pict>
              <v:shape w14:anchorId="4CBD8916" id="Ink 41" o:spid="_x0000_s1026" type="#_x0000_t75" style="position:absolute;margin-left:34.2pt;margin-top:426.15pt;width:31.7pt;height:21.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">
                <v:imagedata r:id="rId42" o:title=""/>
              </v:shape>
            </w:pict>
          </mc:Fallback>
        </mc:AlternateContent>
      </w:r>
      <w:r>
        <w:rPr>
          <w:noProof/>
        </w:rPr>
        <mc:AlternateContent>
          <mc:Choice Requires="wpi">
            <w:drawing>
              <wp:anchor distT="0" distB="0" distL="114300" distR="114300" simplePos="0" relativeHeight="251679232" behindDoc="0" locked="0" layoutInCell="1" allowOverlap="1" wp14:anchorId="2BE38929" wp14:editId="5311BBDE">
                <wp:simplePos x="0" y="0"/>
                <wp:positionH relativeFrom="column">
                  <wp:posOffset>2513420</wp:posOffset>
                </wp:positionH>
                <wp:positionV relativeFrom="paragraph">
                  <wp:posOffset>5419379</wp:posOffset>
                </wp:positionV>
                <wp:extent cx="263160" cy="23040"/>
                <wp:effectExtent l="95250" t="133350" r="99060" b="167640"/>
                <wp:wrapNone/>
                <wp:docPr id="40" name="Ink 40"/>
                <wp:cNvGraphicFramePr/>
                <a:graphic xmlns:a="http://schemas.openxmlformats.org/drawingml/2006/main">
                  <a:graphicData uri="http://schemas.microsoft.com/office/word/2010/wordprocessingInk">
                    <w14:contentPart bwMode="auto" r:id="rId43">
                      <w14:nvContentPartPr>
                        <w14:cNvContentPartPr/>
                      </w14:nvContentPartPr>
                      <w14:xfrm>
                        <a:off x="0" y="0"/>
                        <a:ext cx="263160" cy="23040"/>
                      </w14:xfrm>
                    </w14:contentPart>
                  </a:graphicData>
                </a:graphic>
              </wp:anchor>
            </w:drawing>
          </mc:Choice>
          <mc:Fallback>
            <w:pict>
              <v:shape w14:anchorId="187C04D5" id="Ink 40" o:spid="_x0000_s1026" type="#_x0000_t75" style="position:absolute;margin-left:193.65pt;margin-top:418.35pt;width:29.2pt;height:18.5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">
                <v:imagedata r:id="rId44" o:title=""/>
              </v:shape>
            </w:pict>
          </mc:Fallback>
        </mc:AlternateContent>
      </w:r>
      <w:r>
        <w:rPr>
          <w:noProof/>
        </w:rPr>
        <mc:AlternateContent>
          <mc:Choice Requires="wpi">
            <w:drawing>
              <wp:anchor distT="0" distB="0" distL="114300" distR="114300" simplePos="0" relativeHeight="251678208" behindDoc="0" locked="0" layoutInCell="1" allowOverlap="1" wp14:anchorId="6A61028C" wp14:editId="26AB98F7">
                <wp:simplePos x="0" y="0"/>
                <wp:positionH relativeFrom="column">
                  <wp:posOffset>2642660</wp:posOffset>
                </wp:positionH>
                <wp:positionV relativeFrom="paragraph">
                  <wp:posOffset>5127779</wp:posOffset>
                </wp:positionV>
                <wp:extent cx="274680" cy="360"/>
                <wp:effectExtent l="95250" t="152400" r="106680" b="152400"/>
                <wp:wrapNone/>
                <wp:docPr id="39" name="Ink 39"/>
                <wp:cNvGraphicFramePr/>
                <a:graphic xmlns:a="http://schemas.openxmlformats.org/drawingml/2006/main">
                  <a:graphicData uri="http://schemas.microsoft.com/office/word/2010/wordprocessingInk">
                    <w14:contentPart bwMode="auto" r:id="rId45">
                      <w14:nvContentPartPr>
                        <w14:cNvContentPartPr/>
                      </w14:nvContentPartPr>
                      <w14:xfrm>
                        <a:off x="0" y="0"/>
                        <a:ext cx="274680" cy="360"/>
                      </w14:xfrm>
                    </w14:contentPart>
                  </a:graphicData>
                </a:graphic>
              </wp:anchor>
            </w:drawing>
          </mc:Choice>
          <mc:Fallback>
            <w:pict>
              <v:shape w14:anchorId="3528DEC9" id="Ink 39" o:spid="_x0000_s1026" type="#_x0000_t75" style="position:absolute;margin-left:203.85pt;margin-top:395.25pt;width:30.15pt;height:17.0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">
                <v:imagedata r:id="rId46" o:title=""/>
              </v:shape>
            </w:pict>
          </mc:Fallback>
        </mc:AlternateContent>
      </w:r>
      <w:r>
        <w:rPr>
          <w:noProof/>
        </w:rPr>
        <mc:AlternateContent>
          <mc:Choice Requires="wpi">
            <w:drawing>
              <wp:anchor distT="0" distB="0" distL="114300" distR="114300" simplePos="0" relativeHeight="251677184" behindDoc="0" locked="0" layoutInCell="1" allowOverlap="1" wp14:anchorId="201808FC" wp14:editId="551D6970">
                <wp:simplePos x="0" y="0"/>
                <wp:positionH relativeFrom="column">
                  <wp:posOffset>5127740</wp:posOffset>
                </wp:positionH>
                <wp:positionV relativeFrom="paragraph">
                  <wp:posOffset>4998539</wp:posOffset>
                </wp:positionV>
                <wp:extent cx="232920" cy="6480"/>
                <wp:effectExtent l="95250" t="152400" r="110490" b="165100"/>
                <wp:wrapNone/>
                <wp:docPr id="38" name="Ink 38"/>
                <wp:cNvGraphicFramePr/>
                <a:graphic xmlns:a="http://schemas.openxmlformats.org/drawingml/2006/main">
                  <a:graphicData uri="http://schemas.microsoft.com/office/word/2010/wordprocessingInk">
                    <w14:contentPart bwMode="auto" r:id="rId47">
                      <w14:nvContentPartPr>
                        <w14:cNvContentPartPr/>
                      </w14:nvContentPartPr>
                      <w14:xfrm>
                        <a:off x="0" y="0"/>
                        <a:ext cx="232920" cy="6480"/>
                      </w14:xfrm>
                    </w14:contentPart>
                  </a:graphicData>
                </a:graphic>
              </wp:anchor>
            </w:drawing>
          </mc:Choice>
          <mc:Fallback>
            <w:pict>
              <v:shape w14:anchorId="16629BE3" id="Ink 38" o:spid="_x0000_s1026" type="#_x0000_t75" style="position:absolute;margin-left:399.5pt;margin-top:384.6pt;width:26.85pt;height:18.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">
                <v:imagedata r:id="rId48" o:title=""/>
              </v:shape>
            </w:pict>
          </mc:Fallback>
        </mc:AlternateContent>
      </w:r>
      <w:r>
        <w:rPr>
          <w:noProof/>
        </w:rPr>
        <mc:AlternateContent>
          <mc:Choice Requires="wpi">
            <w:drawing>
              <wp:anchor distT="0" distB="0" distL="114300" distR="114300" simplePos="0" relativeHeight="251676160" behindDoc="0" locked="0" layoutInCell="1" allowOverlap="1" wp14:anchorId="6462C8E0" wp14:editId="3CC11563">
                <wp:simplePos x="0" y="0"/>
                <wp:positionH relativeFrom="column">
                  <wp:posOffset>5222780</wp:posOffset>
                </wp:positionH>
                <wp:positionV relativeFrom="paragraph">
                  <wp:posOffset>4836179</wp:posOffset>
                </wp:positionV>
                <wp:extent cx="269280" cy="6120"/>
                <wp:effectExtent l="95250" t="152400" r="111760" b="165735"/>
                <wp:wrapNone/>
                <wp:docPr id="37" name="Ink 37"/>
                <wp:cNvGraphicFramePr/>
                <a:graphic xmlns:a="http://schemas.openxmlformats.org/drawingml/2006/main">
                  <a:graphicData uri="http://schemas.microsoft.com/office/word/2010/wordprocessingInk">
                    <w14:contentPart bwMode="auto" r:id="rId49">
                      <w14:nvContentPartPr>
                        <w14:cNvContentPartPr/>
                      </w14:nvContentPartPr>
                      <w14:xfrm>
                        <a:off x="0" y="0"/>
                        <a:ext cx="269280" cy="6120"/>
                      </w14:xfrm>
                    </w14:contentPart>
                  </a:graphicData>
                </a:graphic>
              </wp:anchor>
            </w:drawing>
          </mc:Choice>
          <mc:Fallback>
            <w:pict>
              <v:shape w14:anchorId="1D9254E5" id="Ink 37" o:spid="_x0000_s1026" type="#_x0000_t75" style="position:absolute;margin-left:407pt;margin-top:372.3pt;width:29.7pt;height:17.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">
                <v:imagedata r:id="rId50" o:title=""/>
              </v:shape>
            </w:pict>
          </mc:Fallback>
        </mc:AlternateContent>
      </w:r>
      <w:r>
        <w:rPr>
          <w:noProof/>
        </w:rPr>
        <mc:AlternateContent>
          <mc:Choice Requires="wpi">
            <w:drawing>
              <wp:anchor distT="0" distB="0" distL="114300" distR="114300" simplePos="0" relativeHeight="251675136" behindDoc="0" locked="0" layoutInCell="1" allowOverlap="1" wp14:anchorId="565E52E7" wp14:editId="7B9F3CE2">
                <wp:simplePos x="0" y="0"/>
                <wp:positionH relativeFrom="column">
                  <wp:posOffset>4022540</wp:posOffset>
                </wp:positionH>
                <wp:positionV relativeFrom="paragraph">
                  <wp:posOffset>4701539</wp:posOffset>
                </wp:positionV>
                <wp:extent cx="278280" cy="23040"/>
                <wp:effectExtent l="95250" t="133350" r="121920" b="167640"/>
                <wp:wrapNone/>
                <wp:docPr id="36" name="Ink 36"/>
                <wp:cNvGraphicFramePr/>
                <a:graphic xmlns:a="http://schemas.openxmlformats.org/drawingml/2006/main">
                  <a:graphicData uri="http://schemas.microsoft.com/office/word/2010/wordprocessingInk">
                    <w14:contentPart bwMode="auto" r:id="rId51">
                      <w14:nvContentPartPr>
                        <w14:cNvContentPartPr/>
                      </w14:nvContentPartPr>
                      <w14:xfrm>
                        <a:off x="0" y="0"/>
                        <a:ext cx="278280" cy="23040"/>
                      </w14:xfrm>
                    </w14:contentPart>
                  </a:graphicData>
                </a:graphic>
              </wp:anchor>
            </w:drawing>
          </mc:Choice>
          <mc:Fallback>
            <w:pict>
              <v:shape w14:anchorId="7364D3D0" id="Ink 36" o:spid="_x0000_s1026" type="#_x0000_t75" style="position:absolute;margin-left:312.5pt;margin-top:361.7pt;width:30.4pt;height:18.8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">
                <v:imagedata r:id="rId52" o:title=""/>
              </v:shape>
            </w:pict>
          </mc:Fallback>
        </mc:AlternateContent>
      </w:r>
      <w:r>
        <w:rPr>
          <w:noProof/>
        </w:rPr>
        <mc:AlternateContent>
          <mc:Choice Requires="wpi">
            <w:drawing>
              <wp:anchor distT="0" distB="0" distL="114300" distR="114300" simplePos="0" relativeHeight="251674112" behindDoc="0" locked="0" layoutInCell="1" allowOverlap="1" wp14:anchorId="26EFA98E" wp14:editId="53488560">
                <wp:simplePos x="0" y="0"/>
                <wp:positionH relativeFrom="column">
                  <wp:posOffset>5116580</wp:posOffset>
                </wp:positionH>
                <wp:positionV relativeFrom="paragraph">
                  <wp:posOffset>4561499</wp:posOffset>
                </wp:positionV>
                <wp:extent cx="274680" cy="11520"/>
                <wp:effectExtent l="95250" t="133350" r="106680" b="160020"/>
                <wp:wrapNone/>
                <wp:docPr id="35" name="Ink 35"/>
                <wp:cNvGraphicFramePr/>
                <a:graphic xmlns:a="http://schemas.openxmlformats.org/drawingml/2006/main">
                  <a:graphicData uri="http://schemas.microsoft.com/office/word/2010/wordprocessingInk">
                    <w14:contentPart bwMode="auto" r:id="rId53">
                      <w14:nvContentPartPr>
                        <w14:cNvContentPartPr/>
                      </w14:nvContentPartPr>
                      <w14:xfrm>
                        <a:off x="0" y="0"/>
                        <a:ext cx="274680" cy="11520"/>
                      </w14:xfrm>
                    </w14:contentPart>
                  </a:graphicData>
                </a:graphic>
              </wp:anchor>
            </w:drawing>
          </mc:Choice>
          <mc:Fallback>
            <w:pict>
              <v:shape w14:anchorId="0B67AC96" id="Ink 35" o:spid="_x0000_s1026" type="#_x0000_t75" style="position:absolute;margin-left:398.65pt;margin-top:350.65pt;width:30.15pt;height:17.9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">
                <v:imagedata r:id="rId54" o:title=""/>
              </v:shape>
            </w:pict>
          </mc:Fallback>
        </mc:AlternateContent>
      </w:r>
      <w:r>
        <w:rPr>
          <w:noProof/>
        </w:rPr>
        <mc:AlternateContent>
          <mc:Choice Requires="wpi">
            <w:drawing>
              <wp:anchor distT="0" distB="0" distL="114300" distR="114300" simplePos="0" relativeHeight="251673088" behindDoc="0" locked="0" layoutInCell="1" allowOverlap="1" wp14:anchorId="20319715" wp14:editId="297DC6FD">
                <wp:simplePos x="0" y="0"/>
                <wp:positionH relativeFrom="column">
                  <wp:posOffset>3876740</wp:posOffset>
                </wp:positionH>
                <wp:positionV relativeFrom="paragraph">
                  <wp:posOffset>4416059</wp:posOffset>
                </wp:positionV>
                <wp:extent cx="269640" cy="5400"/>
                <wp:effectExtent l="95250" t="152400" r="111760" b="166370"/>
                <wp:wrapNone/>
                <wp:docPr id="34" name="Ink 34"/>
                <wp:cNvGraphicFramePr/>
                <a:graphic xmlns:a="http://schemas.openxmlformats.org/drawingml/2006/main">
                  <a:graphicData uri="http://schemas.microsoft.com/office/word/2010/wordprocessingInk">
                    <w14:contentPart bwMode="auto" r:id="rId55">
                      <w14:nvContentPartPr>
                        <w14:cNvContentPartPr/>
                      </w14:nvContentPartPr>
                      <w14:xfrm>
                        <a:off x="0" y="0"/>
                        <a:ext cx="269640" cy="5400"/>
                      </w14:xfrm>
                    </w14:contentPart>
                  </a:graphicData>
                </a:graphic>
              </wp:anchor>
            </w:drawing>
          </mc:Choice>
          <mc:Fallback>
            <w:pict>
              <v:shape w14:anchorId="1BAA1B3C" id="Ink 34" o:spid="_x0000_s1026" type="#_x0000_t75" style="position:absolute;margin-left:301pt;margin-top:339.2pt;width:29.75pt;height:17.4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">
                <v:imagedata r:id="rId56" o:title=""/>
              </v:shape>
            </w:pict>
          </mc:Fallback>
        </mc:AlternateContent>
      </w:r>
      <w:r>
        <w:rPr>
          <w:noProof/>
        </w:rPr>
        <mc:AlternateContent>
          <mc:Choice Requires="wpi">
            <w:drawing>
              <wp:anchor distT="0" distB="0" distL="114300" distR="114300" simplePos="0" relativeHeight="251672064" behindDoc="0" locked="0" layoutInCell="1" allowOverlap="1" wp14:anchorId="5947A0E4" wp14:editId="2BF42186">
                <wp:simplePos x="0" y="0"/>
                <wp:positionH relativeFrom="column">
                  <wp:posOffset>2182580</wp:posOffset>
                </wp:positionH>
                <wp:positionV relativeFrom="paragraph">
                  <wp:posOffset>4409579</wp:posOffset>
                </wp:positionV>
                <wp:extent cx="280080" cy="17640"/>
                <wp:effectExtent l="95250" t="133350" r="120015" b="173355"/>
                <wp:wrapNone/>
                <wp:docPr id="33" name="Ink 33"/>
                <wp:cNvGraphicFramePr/>
                <a:graphic xmlns:a="http://schemas.openxmlformats.org/drawingml/2006/main">
                  <a:graphicData uri="http://schemas.microsoft.com/office/word/2010/wordprocessingInk">
                    <w14:contentPart bwMode="auto" r:id="rId57">
                      <w14:nvContentPartPr>
                        <w14:cNvContentPartPr/>
                      </w14:nvContentPartPr>
                      <w14:xfrm>
                        <a:off x="0" y="0"/>
                        <a:ext cx="280080" cy="17640"/>
                      </w14:xfrm>
                    </w14:contentPart>
                  </a:graphicData>
                </a:graphic>
              </wp:anchor>
            </w:drawing>
          </mc:Choice>
          <mc:Fallback>
            <w:pict>
              <v:shape w14:anchorId="4570ED9D" id="Ink 33" o:spid="_x0000_s1026" type="#_x0000_t75" style="position:absolute;margin-left:167.6pt;margin-top:338.7pt;width:30.55pt;height:18.4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">
                <v:imagedata r:id="rId58" o:title=""/>
              </v:shape>
            </w:pict>
          </mc:Fallback>
        </mc:AlternateContent>
      </w:r>
      <w:r>
        <w:rPr>
          <w:noProof/>
        </w:rPr>
        <mc:AlternateContent>
          <mc:Choice Requires="wpi">
            <w:drawing>
              <wp:anchor distT="0" distB="0" distL="114300" distR="114300" simplePos="0" relativeHeight="251671040" behindDoc="0" locked="0" layoutInCell="1" allowOverlap="1" wp14:anchorId="4FB6CB39" wp14:editId="329F36BB">
                <wp:simplePos x="0" y="0"/>
                <wp:positionH relativeFrom="column">
                  <wp:posOffset>4476860</wp:posOffset>
                </wp:positionH>
                <wp:positionV relativeFrom="paragraph">
                  <wp:posOffset>4140659</wp:posOffset>
                </wp:positionV>
                <wp:extent cx="278640" cy="28800"/>
                <wp:effectExtent l="95250" t="133350" r="121920" b="180975"/>
                <wp:wrapNone/>
                <wp:docPr id="32" name="Ink 32"/>
                <wp:cNvGraphicFramePr/>
                <a:graphic xmlns:a="http://schemas.openxmlformats.org/drawingml/2006/main">
                  <a:graphicData uri="http://schemas.microsoft.com/office/word/2010/wordprocessingInk">
                    <w14:contentPart bwMode="auto" r:id="rId59">
                      <w14:nvContentPartPr>
                        <w14:cNvContentPartPr/>
                      </w14:nvContentPartPr>
                      <w14:xfrm>
                        <a:off x="0" y="0"/>
                        <a:ext cx="278640" cy="28800"/>
                      </w14:xfrm>
                    </w14:contentPart>
                  </a:graphicData>
                </a:graphic>
              </wp:anchor>
            </w:drawing>
          </mc:Choice>
          <mc:Fallback>
            <w:pict>
              <v:shape w14:anchorId="184A8B33" id="Ink 32" o:spid="_x0000_s1026" type="#_x0000_t75" style="position:absolute;margin-left:348.25pt;margin-top:317.55pt;width:30.45pt;height:19.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">
                <v:imagedata r:id="rId60" o:title=""/>
              </v:shape>
            </w:pict>
          </mc:Fallback>
        </mc:AlternateContent>
      </w:r>
      <w:r>
        <w:rPr>
          <w:noProof/>
        </w:rPr>
        <mc:AlternateContent>
          <mc:Choice Requires="wpi">
            <w:drawing>
              <wp:anchor distT="0" distB="0" distL="114300" distR="114300" simplePos="0" relativeHeight="251670016" behindDoc="0" locked="0" layoutInCell="1" allowOverlap="1" wp14:anchorId="2103626D" wp14:editId="19E3B5CF">
                <wp:simplePos x="0" y="0"/>
                <wp:positionH relativeFrom="column">
                  <wp:posOffset>1256660</wp:posOffset>
                </wp:positionH>
                <wp:positionV relativeFrom="paragraph">
                  <wp:posOffset>4129139</wp:posOffset>
                </wp:positionV>
                <wp:extent cx="274680" cy="360"/>
                <wp:effectExtent l="95250" t="152400" r="106680" b="152400"/>
                <wp:wrapNone/>
                <wp:docPr id="31" name="Ink 31"/>
                <wp:cNvGraphicFramePr/>
                <a:graphic xmlns:a="http://schemas.openxmlformats.org/drawingml/2006/main">
                  <a:graphicData uri="http://schemas.microsoft.com/office/word/2010/wordprocessingInk">
                    <w14:contentPart bwMode="auto" r:id="rId61">
                      <w14:nvContentPartPr>
                        <w14:cNvContentPartPr/>
                      </w14:nvContentPartPr>
                      <w14:xfrm>
                        <a:off x="0" y="0"/>
                        <a:ext cx="274680" cy="360"/>
                      </w14:xfrm>
                    </w14:contentPart>
                  </a:graphicData>
                </a:graphic>
              </wp:anchor>
            </w:drawing>
          </mc:Choice>
          <mc:Fallback>
            <w:pict>
              <v:shape w14:anchorId="0F86A08A" id="Ink 31" o:spid="_x0000_s1026" type="#_x0000_t75" style="position:absolute;margin-left:94.7pt;margin-top:316.65pt;width:30.15pt;height:17.0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">
                <v:imagedata r:id="rId46" o:title=""/>
              </v:shape>
            </w:pict>
          </mc:Fallback>
        </mc:AlternateContent>
      </w:r>
      <w:r>
        <w:rPr>
          <w:noProof/>
        </w:rPr>
        <mc:AlternateContent>
          <mc:Choice Requires="wpi">
            <w:drawing>
              <wp:anchor distT="0" distB="0" distL="114300" distR="114300" simplePos="0" relativeHeight="251668992" behindDoc="0" locked="0" layoutInCell="1" allowOverlap="1" wp14:anchorId="4FC2813E" wp14:editId="73E50674">
                <wp:simplePos x="0" y="0"/>
                <wp:positionH relativeFrom="column">
                  <wp:posOffset>1559780</wp:posOffset>
                </wp:positionH>
                <wp:positionV relativeFrom="paragraph">
                  <wp:posOffset>3725219</wp:posOffset>
                </wp:positionV>
                <wp:extent cx="313920" cy="11520"/>
                <wp:effectExtent l="95250" t="133350" r="105410" b="160020"/>
                <wp:wrapNone/>
                <wp:docPr id="30" name="Ink 30"/>
                <wp:cNvGraphicFramePr/>
                <a:graphic xmlns:a="http://schemas.openxmlformats.org/drawingml/2006/main">
                  <a:graphicData uri="http://schemas.microsoft.com/office/word/2010/wordprocessingInk">
                    <w14:contentPart bwMode="auto" r:id="rId62">
                      <w14:nvContentPartPr>
                        <w14:cNvContentPartPr/>
                      </w14:nvContentPartPr>
                      <w14:xfrm>
                        <a:off x="0" y="0"/>
                        <a:ext cx="313920" cy="11520"/>
                      </w14:xfrm>
                    </w14:contentPart>
                  </a:graphicData>
                </a:graphic>
              </wp:anchor>
            </w:drawing>
          </mc:Choice>
          <mc:Fallback>
            <w:pict>
              <v:shape w14:anchorId="5990A4A7" id="Ink 30" o:spid="_x0000_s1026" type="#_x0000_t75" style="position:absolute;margin-left:118.55pt;margin-top:284.8pt;width:33.2pt;height:17.9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">
                <v:imagedata r:id="rId63" o:title=""/>
              </v:shape>
            </w:pict>
          </mc:Fallback>
        </mc:AlternateContent>
      </w:r>
      <w:r>
        <w:rPr>
          <w:noProof/>
        </w:rPr>
        <mc:AlternateContent>
          <mc:Choice Requires="wpi">
            <w:drawing>
              <wp:anchor distT="0" distB="0" distL="114300" distR="114300" simplePos="0" relativeHeight="251667968" behindDoc="0" locked="0" layoutInCell="1" allowOverlap="1" wp14:anchorId="343595AA" wp14:editId="06BB689D">
                <wp:simplePos x="0" y="0"/>
                <wp:positionH relativeFrom="column">
                  <wp:posOffset>2036780</wp:posOffset>
                </wp:positionH>
                <wp:positionV relativeFrom="paragraph">
                  <wp:posOffset>1711739</wp:posOffset>
                </wp:positionV>
                <wp:extent cx="286920" cy="6120"/>
                <wp:effectExtent l="76200" t="152400" r="113665" b="165735"/>
                <wp:wrapNone/>
                <wp:docPr id="29" name="Ink 29"/>
                <wp:cNvGraphicFramePr/>
                <a:graphic xmlns:a="http://schemas.openxmlformats.org/drawingml/2006/main">
                  <a:graphicData uri="http://schemas.microsoft.com/office/word/2010/wordprocessingInk">
                    <w14:contentPart bwMode="auto" r:id="rId64">
                      <w14:nvContentPartPr>
                        <w14:cNvContentPartPr/>
                      </w14:nvContentPartPr>
                      <w14:xfrm>
                        <a:off x="0" y="0"/>
                        <a:ext cx="286920" cy="6120"/>
                      </w14:xfrm>
                    </w14:contentPart>
                  </a:graphicData>
                </a:graphic>
              </wp:anchor>
            </w:drawing>
          </mc:Choice>
          <mc:Fallback>
            <w:pict>
              <v:shape w14:anchorId="36FA2CDF" id="Ink 29" o:spid="_x0000_s1026" type="#_x0000_t75" style="position:absolute;margin-left:156.15pt;margin-top:126.3pt;width:31.1pt;height:17.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">
                <v:imagedata r:id="rId65" o:title=""/>
              </v:shape>
            </w:pict>
          </mc:Fallback>
        </mc:AlternateContent>
      </w:r>
      <w:r>
        <w:rPr>
          <w:noProof/>
        </w:rPr>
        <mc:AlternateContent>
          <mc:Choice Requires="wpi">
            <w:drawing>
              <wp:anchor distT="0" distB="0" distL="114300" distR="114300" simplePos="0" relativeHeight="251666944" behindDoc="0" locked="0" layoutInCell="1" allowOverlap="1" wp14:anchorId="5EA8F7F2" wp14:editId="133CDF80">
                <wp:simplePos x="0" y="0"/>
                <wp:positionH relativeFrom="column">
                  <wp:posOffset>4050620</wp:posOffset>
                </wp:positionH>
                <wp:positionV relativeFrom="paragraph">
                  <wp:posOffset>1543259</wp:posOffset>
                </wp:positionV>
                <wp:extent cx="263520" cy="6120"/>
                <wp:effectExtent l="95250" t="152400" r="99060" b="165735"/>
                <wp:wrapNone/>
                <wp:docPr id="28" name="Ink 28"/>
                <wp:cNvGraphicFramePr/>
                <a:graphic xmlns:a="http://schemas.openxmlformats.org/drawingml/2006/main">
                  <a:graphicData uri="http://schemas.microsoft.com/office/word/2010/wordprocessingInk">
                    <w14:contentPart bwMode="auto" r:id="rId66">
                      <w14:nvContentPartPr>
                        <w14:cNvContentPartPr/>
                      </w14:nvContentPartPr>
                      <w14:xfrm>
                        <a:off x="0" y="0"/>
                        <a:ext cx="263520" cy="6120"/>
                      </w14:xfrm>
                    </w14:contentPart>
                  </a:graphicData>
                </a:graphic>
              </wp:anchor>
            </w:drawing>
          </mc:Choice>
          <mc:Fallback>
            <w:pict>
              <v:shape w14:anchorId="5B068811" id="Ink 28" o:spid="_x0000_s1026" type="#_x0000_t75" style="position:absolute;margin-left:314.7pt;margin-top:113pt;width:29.3pt;height:17.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">
                <v:imagedata r:id="rId67" o:title=""/>
              </v:shape>
            </w:pict>
          </mc:Fallback>
        </mc:AlternateContent>
      </w:r>
      <w:r>
        <w:rPr>
          <w:noProof/>
        </w:rPr>
        <mc:AlternateContent>
          <mc:Choice Requires="wpi">
            <w:drawing>
              <wp:anchor distT="0" distB="0" distL="114300" distR="114300" simplePos="0" relativeHeight="251665920" behindDoc="0" locked="0" layoutInCell="1" allowOverlap="1" wp14:anchorId="2156EA26" wp14:editId="1E617392">
                <wp:simplePos x="0" y="0"/>
                <wp:positionH relativeFrom="column">
                  <wp:posOffset>1671740</wp:posOffset>
                </wp:positionH>
                <wp:positionV relativeFrom="paragraph">
                  <wp:posOffset>1537139</wp:posOffset>
                </wp:positionV>
                <wp:extent cx="319680" cy="28800"/>
                <wp:effectExtent l="76200" t="133350" r="42545" b="180975"/>
                <wp:wrapNone/>
                <wp:docPr id="27" name="Ink 27"/>
                <wp:cNvGraphicFramePr/>
                <a:graphic xmlns:a="http://schemas.openxmlformats.org/drawingml/2006/main">
                  <a:graphicData uri="http://schemas.microsoft.com/office/word/2010/wordprocessingInk">
                    <w14:contentPart bwMode="auto" r:id="rId68">
                      <w14:nvContentPartPr>
                        <w14:cNvContentPartPr/>
                      </w14:nvContentPartPr>
                      <w14:xfrm>
                        <a:off x="0" y="0"/>
                        <a:ext cx="319680" cy="28800"/>
                      </w14:xfrm>
                    </w14:contentPart>
                  </a:graphicData>
                </a:graphic>
              </wp:anchor>
            </w:drawing>
          </mc:Choice>
          <mc:Fallback>
            <w:pict>
              <v:shape w14:anchorId="4C8856F9" id="Ink 27" o:spid="_x0000_s1026" type="#_x0000_t75" style="position:absolute;margin-left:127.4pt;margin-top:112.65pt;width:33.65pt;height:19.0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">
                <v:imagedata r:id="rId69" o:title=""/>
              </v:shape>
            </w:pict>
          </mc:Fallback>
        </mc:AlternateContent>
      </w:r>
      <w:r>
        <w:rPr>
          <w:noProof/>
        </w:rPr>
        <mc:AlternateContent>
          <mc:Choice Requires="wpi">
            <w:drawing>
              <wp:anchor distT="0" distB="0" distL="114300" distR="114300" simplePos="0" relativeHeight="251664896" behindDoc="0" locked="0" layoutInCell="1" allowOverlap="1" wp14:anchorId="1B9B719F" wp14:editId="3562A27A">
                <wp:simplePos x="0" y="0"/>
                <wp:positionH relativeFrom="column">
                  <wp:posOffset>4689980</wp:posOffset>
                </wp:positionH>
                <wp:positionV relativeFrom="paragraph">
                  <wp:posOffset>1290539</wp:posOffset>
                </wp:positionV>
                <wp:extent cx="325080" cy="360"/>
                <wp:effectExtent l="76200" t="152400" r="113665" b="152400"/>
                <wp:wrapNone/>
                <wp:docPr id="26" name="Ink 26"/>
                <wp:cNvGraphicFramePr/>
                <a:graphic xmlns:a="http://schemas.openxmlformats.org/drawingml/2006/main">
                  <a:graphicData uri="http://schemas.microsoft.com/office/word/2010/wordprocessingInk">
                    <w14:contentPart bwMode="auto" r:id="rId70">
                      <w14:nvContentPartPr>
                        <w14:cNvContentPartPr/>
                      </w14:nvContentPartPr>
                      <w14:xfrm>
                        <a:off x="0" y="0"/>
                        <a:ext cx="325080" cy="360"/>
                      </w14:xfrm>
                    </w14:contentPart>
                  </a:graphicData>
                </a:graphic>
              </wp:anchor>
            </w:drawing>
          </mc:Choice>
          <mc:Fallback>
            <w:pict>
              <v:shape w14:anchorId="2EE44DB0" id="Ink 26" o:spid="_x0000_s1026" type="#_x0000_t75" style="position:absolute;margin-left:365.05pt;margin-top:93.1pt;width:34.1pt;height:17.0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">
                <v:imagedata r:id="rId71" o:title=""/>
              </v:shape>
            </w:pict>
          </mc:Fallback>
        </mc:AlternateContent>
      </w:r>
      <w:r>
        <w:rPr>
          <w:noProof/>
        </w:rPr>
        <mc:AlternateContent>
          <mc:Choice Requires="wpi">
            <w:drawing>
              <wp:anchor distT="0" distB="0" distL="114300" distR="114300" simplePos="0" relativeHeight="251663872" behindDoc="0" locked="0" layoutInCell="1" allowOverlap="1" wp14:anchorId="23FFE143" wp14:editId="2A7190FF">
                <wp:simplePos x="0" y="0"/>
                <wp:positionH relativeFrom="column">
                  <wp:posOffset>510740</wp:posOffset>
                </wp:positionH>
                <wp:positionV relativeFrom="paragraph">
                  <wp:posOffset>1262459</wp:posOffset>
                </wp:positionV>
                <wp:extent cx="291600" cy="17280"/>
                <wp:effectExtent l="76200" t="133350" r="127635" b="173355"/>
                <wp:wrapNone/>
                <wp:docPr id="25" name="Ink 25"/>
                <wp:cNvGraphicFramePr/>
                <a:graphic xmlns:a="http://schemas.openxmlformats.org/drawingml/2006/main">
                  <a:graphicData uri="http://schemas.microsoft.com/office/word/2010/wordprocessingInk">
                    <w14:contentPart bwMode="auto" r:id="rId72">
                      <w14:nvContentPartPr>
                        <w14:cNvContentPartPr/>
                      </w14:nvContentPartPr>
                      <w14:xfrm>
                        <a:off x="0" y="0"/>
                        <a:ext cx="291600" cy="17280"/>
                      </w14:xfrm>
                    </w14:contentPart>
                  </a:graphicData>
                </a:graphic>
              </wp:anchor>
            </w:drawing>
          </mc:Choice>
          <mc:Fallback>
            <w:pict>
              <v:shape w14:anchorId="66E1379E" id="Ink 25" o:spid="_x0000_s1026" type="#_x0000_t75" style="position:absolute;margin-left:35.95pt;margin-top:90.9pt;width:31.45pt;height:18.3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">
                <v:imagedata r:id="rId73" o:title=""/>
              </v:shape>
            </w:pict>
          </mc:Fallback>
        </mc:AlternateContent>
      </w:r>
      <w:r w:rsidRPr="00757D45">
        <w:rPr>
          <w:noProof/>
        </w:rPr>
        <w:drawing>
          <wp:inline distT="0" distB="0" distL="0" distR="0" wp14:anchorId="61D44F51" wp14:editId="28F3B79C">
            <wp:extent cx="5555785" cy="6574704"/>
            <wp:effectExtent l="57150" t="57150" r="178435" b="1695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65199" cy="6585844"/>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51C008" w14:textId="77777777" w:rsidR="00BD40C4" w:rsidRPr="00757D45" w:rsidRDefault="00BD40C4" w:rsidP="00BD40C4"/>
    <w:p w14:paraId="0540B3B9" w14:textId="77777777" w:rsidR="00BD40C4" w:rsidRDefault="00BD40C4" w:rsidP="00BD40C4">
      <w:r w:rsidRPr="00757D45">
        <w:lastRenderedPageBreak/>
        <w:t xml:space="preserve">The first </w:t>
      </w:r>
      <w:r>
        <w:t>references to the sync protocol units uses “packet”, but starting in the third paragraph, the usage changes to “frame” more often.  The inconsistent usage is confusing and appears to have no meaning/intention.</w:t>
      </w:r>
    </w:p>
    <w:p w14:paraId="1E3B7841" w14:textId="77777777" w:rsidR="00BD40C4" w:rsidRDefault="00BD40C4" w:rsidP="00BD40C4"/>
    <w:p w14:paraId="6A812A5B" w14:textId="77777777" w:rsidR="00BD40C4" w:rsidRDefault="00BD40C4" w:rsidP="00BD40C4">
      <w:r>
        <w:t xml:space="preserve">Agree with the commenter that this use of “frame” is at best confusing, since clause 3.1 lists “MAC frame” as a synonym for MPDU, and “PHY frame” as a synonym for PPDU, and those are the common uses in the Draft.  As this subclause is discussing a higher layer protocol, these are not MPDUs or PPDUs, and it </w:t>
      </w:r>
      <w:proofErr w:type="gramStart"/>
      <w:r>
        <w:t>more clear</w:t>
      </w:r>
      <w:proofErr w:type="gramEnd"/>
      <w:r>
        <w:t xml:space="preserve"> to say “packet” to help disambiguate.</w:t>
      </w:r>
    </w:p>
    <w:p w14:paraId="7842CF9A" w14:textId="77777777" w:rsidR="00BD40C4" w:rsidRDefault="00BD40C4" w:rsidP="00BD40C4"/>
    <w:p w14:paraId="36235263" w14:textId="77777777" w:rsidR="00BD40C4" w:rsidRDefault="00BD40C4" w:rsidP="00BD40C4">
      <w:r w:rsidRPr="00D34B28">
        <w:rPr>
          <w:highlight w:val="green"/>
          <w:u w:val="single"/>
        </w:rPr>
        <w:t>Proposed Resolution:</w:t>
      </w:r>
    </w:p>
    <w:p w14:paraId="041C7B28" w14:textId="77777777" w:rsidR="00BD40C4" w:rsidRDefault="00BD40C4" w:rsidP="00BD40C4"/>
    <w:p w14:paraId="53AD632E" w14:textId="77777777" w:rsidR="00BD40C4" w:rsidRPr="00757D45" w:rsidRDefault="00BD40C4" w:rsidP="00BD40C4">
      <w:r>
        <w:t>Accepted.</w:t>
      </w:r>
    </w:p>
    <w:p w14:paraId="3DC2B7A6" w14:textId="77777777" w:rsidR="00BD40C4" w:rsidRDefault="00BD40C4" w:rsidP="00BD40C4">
      <w:r>
        <w:br w:type="page"/>
      </w:r>
    </w:p>
    <w:p w14:paraId="720C3045" w14:textId="77777777"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8C75631" w14:textId="77777777" w:rsidTr="000565A0">
        <w:trPr>
          <w:trHeight w:val="524"/>
        </w:trPr>
        <w:tc>
          <w:tcPr>
            <w:tcW w:w="738" w:type="dxa"/>
            <w:hideMark/>
          </w:tcPr>
          <w:p w14:paraId="58A4C685"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460B51B"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10B003"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3D4FD0"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2BA78C"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50271B28" w14:textId="77777777" w:rsidTr="000565A0">
        <w:trPr>
          <w:trHeight w:val="1275"/>
        </w:trPr>
        <w:tc>
          <w:tcPr>
            <w:tcW w:w="738" w:type="dxa"/>
            <w:hideMark/>
          </w:tcPr>
          <w:p w14:paraId="32424F59"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2428</w:t>
            </w:r>
          </w:p>
        </w:tc>
        <w:tc>
          <w:tcPr>
            <w:tcW w:w="990" w:type="dxa"/>
            <w:hideMark/>
          </w:tcPr>
          <w:p w14:paraId="34EACFFE"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1532.</w:t>
            </w:r>
            <w:r>
              <w:rPr>
                <w:rFonts w:ascii="Arial" w:eastAsia="Times New Roman" w:hAnsi="Arial" w:cs="Arial"/>
                <w:sz w:val="20"/>
                <w:lang w:val="en-US"/>
              </w:rPr>
              <w:t>19</w:t>
            </w:r>
          </w:p>
        </w:tc>
        <w:tc>
          <w:tcPr>
            <w:tcW w:w="1080" w:type="dxa"/>
            <w:hideMark/>
          </w:tcPr>
          <w:p w14:paraId="2F3A01C4"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5F628269"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b14 and b15 of the FILS Discovery Frame Control subfield are used by an industry-wide proprietary specification</w:t>
            </w:r>
          </w:p>
        </w:tc>
        <w:tc>
          <w:tcPr>
            <w:tcW w:w="3600" w:type="dxa"/>
            <w:hideMark/>
          </w:tcPr>
          <w:p w14:paraId="6131D78D"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Mark b14 and b15 of the FILS Discovery Frame Control subfield as "Reserved (used by the Wi-Fi Alliance)"</w:t>
            </w:r>
          </w:p>
        </w:tc>
      </w:tr>
    </w:tbl>
    <w:p w14:paraId="0749ACB2" w14:textId="77777777" w:rsidR="00BD40C4" w:rsidRDefault="00BD40C4" w:rsidP="00BD40C4"/>
    <w:p w14:paraId="3072D001" w14:textId="77777777" w:rsidR="00BD40C4" w:rsidRPr="004E7EF7" w:rsidRDefault="00BD40C4" w:rsidP="00BD40C4">
      <w:pPr>
        <w:rPr>
          <w:u w:val="single"/>
        </w:rPr>
      </w:pPr>
      <w:r w:rsidRPr="004E7EF7">
        <w:rPr>
          <w:u w:val="single"/>
        </w:rPr>
        <w:t>Discussion:</w:t>
      </w:r>
    </w:p>
    <w:p w14:paraId="3FA277B3" w14:textId="77777777" w:rsidR="00BD40C4" w:rsidRDefault="00BD40C4" w:rsidP="00BD40C4"/>
    <w:p w14:paraId="56D6F6DA" w14:textId="77777777" w:rsidR="00BD40C4" w:rsidRDefault="00BD40C4" w:rsidP="00BD40C4">
      <w:pPr>
        <w:ind w:left="-180"/>
      </w:pPr>
      <w:r>
        <w:rPr>
          <w:noProof/>
        </w:rPr>
        <w:drawing>
          <wp:inline distT="0" distB="0" distL="0" distR="0" wp14:anchorId="28D7A5B4" wp14:editId="73FCAF8C">
            <wp:extent cx="6400800" cy="2950845"/>
            <wp:effectExtent l="57150" t="57150" r="171450" b="135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2950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C8E775" w14:textId="77777777" w:rsidR="00BD40C4" w:rsidRDefault="00BD40C4" w:rsidP="00BD40C4"/>
    <w:p w14:paraId="29643A50" w14:textId="77777777" w:rsidR="00BD40C4" w:rsidRDefault="00BD40C4" w:rsidP="00BD40C4">
      <w:r>
        <w:t xml:space="preserve">Per the liaison exchange in 11-19/0185 and 11-19/0277, it has been confirmed that the Wi-Fi Alliance does use these </w:t>
      </w:r>
      <w:proofErr w:type="gramStart"/>
      <w:r>
        <w:t>bits, and</w:t>
      </w:r>
      <w:proofErr w:type="gramEnd"/>
      <w:r>
        <w:t xml:space="preserve"> has requested that the bits be reserved for their use.</w:t>
      </w:r>
    </w:p>
    <w:p w14:paraId="051DDB7E" w14:textId="77777777" w:rsidR="00BD40C4" w:rsidRDefault="00BD40C4" w:rsidP="00BD40C4"/>
    <w:p w14:paraId="657A2EBD" w14:textId="77777777" w:rsidR="00BD40C4" w:rsidRDefault="00BD40C4" w:rsidP="00BD40C4">
      <w:r>
        <w:t>Propose to indicate these bits as not only “Reserved”, but that they are used by the Wi-Fi Alliance, in the same manner as Category value 17 (Table 9-53 and Table 11-17).</w:t>
      </w:r>
    </w:p>
    <w:p w14:paraId="1B5FEAD2" w14:textId="77777777" w:rsidR="00BD40C4" w:rsidRDefault="00BD40C4" w:rsidP="00BD40C4"/>
    <w:p w14:paraId="49C02BD1" w14:textId="77777777" w:rsidR="00BD40C4" w:rsidRDefault="00BD40C4" w:rsidP="00BD40C4">
      <w:r w:rsidRPr="00D34B28">
        <w:rPr>
          <w:highlight w:val="green"/>
          <w:u w:val="single"/>
        </w:rPr>
        <w:t>Proposed Resolution:</w:t>
      </w:r>
    </w:p>
    <w:p w14:paraId="6C5DCD3C" w14:textId="77777777" w:rsidR="00BD40C4" w:rsidRDefault="00BD40C4" w:rsidP="00BD40C4"/>
    <w:p w14:paraId="65976E9B" w14:textId="77777777" w:rsidR="00BD40C4" w:rsidRDefault="00BD40C4" w:rsidP="00BD40C4">
      <w:r>
        <w:t>Revised.</w:t>
      </w:r>
    </w:p>
    <w:p w14:paraId="7D7B1B3A" w14:textId="77777777" w:rsidR="00BD40C4" w:rsidRDefault="00BD40C4" w:rsidP="00BD40C4"/>
    <w:p w14:paraId="76D087FD" w14:textId="77777777" w:rsidR="00BD40C4" w:rsidRPr="00DF7B0D" w:rsidRDefault="00BD40C4" w:rsidP="00BD40C4">
      <w:r>
        <w:t>In Figure 9-881 (P1532.19) change the indication for bits B14 and B15 from “Reserved” to “Reserved (used by the Wi-Fi Alliance *)” and add a footnote “* See http://www.wi-fi.org</w:t>
      </w:r>
      <w:r w:rsidRPr="00245FCE">
        <w:rPr>
          <w:highlight w:val="cyan"/>
        </w:rPr>
        <w:t>.</w:t>
      </w:r>
      <w:r>
        <w:t>”.</w:t>
      </w:r>
    </w:p>
    <w:p w14:paraId="38FDE1EE" w14:textId="77777777" w:rsidR="00BD40C4" w:rsidRDefault="00BD40C4" w:rsidP="00BD40C4"/>
    <w:p w14:paraId="7ED14C63"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192BE5E" w14:textId="77777777" w:rsidTr="000565A0">
        <w:trPr>
          <w:trHeight w:val="524"/>
        </w:trPr>
        <w:tc>
          <w:tcPr>
            <w:tcW w:w="738" w:type="dxa"/>
            <w:hideMark/>
          </w:tcPr>
          <w:p w14:paraId="3E6C6581"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EE34C"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E2C7DB"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19EFF5"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1743D9"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8597F5" w14:textId="77777777" w:rsidTr="000565A0">
        <w:trPr>
          <w:trHeight w:val="3315"/>
        </w:trPr>
        <w:tc>
          <w:tcPr>
            <w:tcW w:w="738" w:type="dxa"/>
            <w:hideMark/>
          </w:tcPr>
          <w:p w14:paraId="459DCA28"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2453</w:t>
            </w:r>
          </w:p>
        </w:tc>
        <w:tc>
          <w:tcPr>
            <w:tcW w:w="990" w:type="dxa"/>
            <w:hideMark/>
          </w:tcPr>
          <w:p w14:paraId="5161283D"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1874.</w:t>
            </w:r>
            <w:r>
              <w:rPr>
                <w:rFonts w:ascii="Arial" w:eastAsia="Times New Roman" w:hAnsi="Arial" w:cs="Arial"/>
                <w:sz w:val="20"/>
                <w:lang w:val="en-US"/>
              </w:rPr>
              <w:t>58</w:t>
            </w:r>
          </w:p>
        </w:tc>
        <w:tc>
          <w:tcPr>
            <w:tcW w:w="1080" w:type="dxa"/>
            <w:hideMark/>
          </w:tcPr>
          <w:p w14:paraId="17517F7C"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10.28.4</w:t>
            </w:r>
          </w:p>
        </w:tc>
        <w:tc>
          <w:tcPr>
            <w:tcW w:w="3600" w:type="dxa"/>
            <w:hideMark/>
          </w:tcPr>
          <w:p w14:paraId="2C946AED"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"NOTE  2---</w:t>
            </w:r>
            <w:proofErr w:type="gramStart"/>
            <w:r w:rsidRPr="00DC0730">
              <w:rPr>
                <w:rFonts w:ascii="Arial" w:eastAsia="Times New Roman" w:hAnsi="Arial" w:cs="Arial"/>
                <w:sz w:val="20"/>
                <w:lang w:val="en-US"/>
              </w:rPr>
              <w:t>For  a</w:t>
            </w:r>
            <w:proofErr w:type="gramEnd"/>
            <w:r w:rsidRPr="00DC0730">
              <w:rPr>
                <w:rFonts w:ascii="Arial" w:eastAsia="Times New Roman" w:hAnsi="Arial" w:cs="Arial"/>
                <w:sz w:val="20"/>
                <w:lang w:val="en-US"/>
              </w:rPr>
              <w:t xml:space="preserve">  Clause 19  (High-throughput  (HT)  PHY  specification)  PHY,  this  equation  simplifies  to" this equation is only used for HT PPDUs ("A STA that is transmitting a PPDU with the FORMAT parameter of the TXVECTOR equal to HT_MF(#67) shall set the value of the L_LENGTH parameter to" above) so this qualification is confusing</w:t>
            </w:r>
          </w:p>
        </w:tc>
        <w:tc>
          <w:tcPr>
            <w:tcW w:w="3600" w:type="dxa"/>
            <w:hideMark/>
          </w:tcPr>
          <w:p w14:paraId="54D6C663"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Just say "NOTE 2---This equation simplifies to"</w:t>
            </w:r>
          </w:p>
        </w:tc>
      </w:tr>
    </w:tbl>
    <w:p w14:paraId="76238398" w14:textId="77777777" w:rsidR="00BD40C4" w:rsidRDefault="00BD40C4" w:rsidP="00BD40C4"/>
    <w:p w14:paraId="4B7C4625" w14:textId="77777777" w:rsidR="00BD40C4" w:rsidRDefault="00BD40C4" w:rsidP="00BD40C4">
      <w:r>
        <w:rPr>
          <w:u w:val="single"/>
        </w:rPr>
        <w:t>Discussion:</w:t>
      </w:r>
    </w:p>
    <w:p w14:paraId="799BD0E1" w14:textId="77777777" w:rsidR="00BD40C4" w:rsidRDefault="00BD40C4" w:rsidP="00BD40C4"/>
    <w:p w14:paraId="69A946F7" w14:textId="77777777" w:rsidR="00BD40C4" w:rsidRPr="00A35DC9" w:rsidRDefault="00BD40C4" w:rsidP="00BD40C4">
      <w:r>
        <w:rPr>
          <w:noProof/>
        </w:rPr>
        <w:drawing>
          <wp:inline distT="0" distB="0" distL="0" distR="0" wp14:anchorId="3FE780CD" wp14:editId="2F450487">
            <wp:extent cx="6400800" cy="1492250"/>
            <wp:effectExtent l="57150" t="57150" r="171450" b="1079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1492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145C0E" w14:textId="77777777" w:rsidR="00BD40C4" w:rsidRDefault="00BD40C4" w:rsidP="00BD40C4">
      <w:r>
        <w:rPr>
          <w:noProof/>
        </w:rPr>
        <w:drawing>
          <wp:inline distT="0" distB="0" distL="0" distR="0" wp14:anchorId="05CB7089" wp14:editId="68A8E1CD">
            <wp:extent cx="6400800" cy="555625"/>
            <wp:effectExtent l="57150" t="57150" r="171450" b="1111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555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C5543" w14:textId="77777777" w:rsidR="00BD40C4" w:rsidRDefault="00BD40C4" w:rsidP="00BD40C4"/>
    <w:p w14:paraId="6FFFAC73" w14:textId="77777777" w:rsidR="00BD40C4" w:rsidRDefault="00BD40C4" w:rsidP="00BD40C4">
      <w:r>
        <w:t>This is the only reference to Equation 10-16, so it does seem correct that this is intended only for transmitters that have set the TXVECTOR FORMAT to HT_MF.  Since Note 2 is filling in variables and simplifying, based on HT PHY parameters, it would appear to the be equivalent equation.</w:t>
      </w:r>
    </w:p>
    <w:p w14:paraId="3E87B210" w14:textId="77777777" w:rsidR="00BD40C4" w:rsidRDefault="00BD40C4" w:rsidP="00BD40C4"/>
    <w:p w14:paraId="76C6D412" w14:textId="77777777" w:rsidR="00BD40C4" w:rsidRDefault="00BD40C4" w:rsidP="00BD40C4">
      <w:r>
        <w:t>Can just replace NOTE 2.</w:t>
      </w:r>
    </w:p>
    <w:p w14:paraId="44C2A296" w14:textId="77777777" w:rsidR="00BD40C4" w:rsidRDefault="00BD40C4" w:rsidP="00BD40C4"/>
    <w:p w14:paraId="79E42BA1" w14:textId="77777777" w:rsidR="00BD40C4" w:rsidRPr="00F44156" w:rsidRDefault="00BD40C4" w:rsidP="00BD40C4">
      <w:pPr>
        <w:rPr>
          <w:u w:val="single"/>
        </w:rPr>
      </w:pPr>
      <w:r w:rsidRPr="00F44156">
        <w:rPr>
          <w:u w:val="single"/>
        </w:rPr>
        <w:t>Proposed changes:</w:t>
      </w:r>
    </w:p>
    <w:p w14:paraId="416AC935" w14:textId="77777777" w:rsidR="00BD40C4" w:rsidRDefault="00BD40C4" w:rsidP="00BD40C4"/>
    <w:p w14:paraId="38B5CAB3" w14:textId="77777777" w:rsidR="00BD40C4" w:rsidRDefault="00BD40C4" w:rsidP="00BD40C4">
      <w:r>
        <w:t>Replace NOTE 2 (P1874.58) with the following:</w:t>
      </w:r>
    </w:p>
    <w:p w14:paraId="312E03B4" w14:textId="77777777" w:rsidR="00BD40C4" w:rsidRDefault="00BD40C4" w:rsidP="00BD40C4"/>
    <w:p w14:paraId="4D50DF97" w14:textId="77777777" w:rsidR="00BD40C4" w:rsidRDefault="00BD40C4" w:rsidP="00BD40C4">
      <w:pPr>
        <w:ind w:left="720"/>
      </w:pPr>
      <w:r>
        <w:t>Equation (10-16) can be simplified to Equation (10-16a)</w:t>
      </w:r>
    </w:p>
    <w:p w14:paraId="329E7D79" w14:textId="77777777" w:rsidR="00BD40C4" w:rsidRDefault="00BD40C4" w:rsidP="00BD40C4">
      <w:pPr>
        <w:ind w:left="720"/>
      </w:pPr>
    </w:p>
    <w:p w14:paraId="054047BA" w14:textId="77777777" w:rsidR="00BD40C4" w:rsidRDefault="00BD40C4" w:rsidP="00BD40C4">
      <w:pPr>
        <w:ind w:left="1440"/>
      </w:pPr>
      <w:r>
        <w:rPr>
          <w:noProof/>
        </w:rPr>
        <w:drawing>
          <wp:inline distT="0" distB="0" distL="0" distR="0" wp14:anchorId="31EB71DB" wp14:editId="307BA61E">
            <wp:extent cx="3360420" cy="364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60420" cy="364490"/>
                    </a:xfrm>
                    <a:prstGeom prst="rect">
                      <a:avLst/>
                    </a:prstGeom>
                    <a:noFill/>
                    <a:ln>
                      <a:noFill/>
                    </a:ln>
                  </pic:spPr>
                </pic:pic>
              </a:graphicData>
            </a:graphic>
          </wp:inline>
        </w:drawing>
      </w:r>
      <w:r>
        <w:tab/>
      </w:r>
      <w:r>
        <w:tab/>
        <w:t>(10-16a)</w:t>
      </w:r>
    </w:p>
    <w:p w14:paraId="0E0C69F7" w14:textId="77777777" w:rsidR="00BD40C4" w:rsidRDefault="00BD40C4" w:rsidP="00BD40C4"/>
    <w:p w14:paraId="0D49CF79" w14:textId="77777777" w:rsidR="00BD40C4" w:rsidRDefault="00BD40C4" w:rsidP="00BD40C4"/>
    <w:p w14:paraId="63A904E9" w14:textId="77777777" w:rsidR="00BD40C4" w:rsidRPr="006273D0" w:rsidRDefault="00BD40C4" w:rsidP="00BD40C4">
      <w:pPr>
        <w:rPr>
          <w:u w:val="single"/>
        </w:rPr>
      </w:pPr>
      <w:r w:rsidRPr="00F44156">
        <w:rPr>
          <w:highlight w:val="green"/>
          <w:u w:val="single"/>
        </w:rPr>
        <w:t>Proposed Resolution:</w:t>
      </w:r>
    </w:p>
    <w:p w14:paraId="662E4213" w14:textId="77777777" w:rsidR="00BD40C4" w:rsidRDefault="00BD40C4" w:rsidP="00BD40C4"/>
    <w:p w14:paraId="17A9AE2B" w14:textId="77777777" w:rsidR="00BD40C4" w:rsidRDefault="00BD40C4" w:rsidP="00BD40C4">
      <w:r w:rsidRPr="00D34B28">
        <w:lastRenderedPageBreak/>
        <w:t xml:space="preserve">Revised; Incorporate the proposed </w:t>
      </w:r>
      <w:r>
        <w:t>changes</w:t>
      </w:r>
      <w:r w:rsidRPr="00D34B28">
        <w:t xml:space="preserve"> in doc 11-19/551r3: </w:t>
      </w:r>
      <w:hyperlink r:id="rId79" w:history="1">
        <w:r w:rsidRPr="00D76077">
          <w:rPr>
            <w:rStyle w:val="Hyperlink"/>
          </w:rPr>
          <w:t>https://mentor.ieee.org/802.11/dcn/19/11-19-0551-03-000m-revmd-lb236-comments-assigned-to-hamilton.docx</w:t>
        </w:r>
      </w:hyperlink>
      <w:r>
        <w:t>, for CID 2453</w:t>
      </w:r>
      <w:r w:rsidRPr="00D34B28">
        <w:t xml:space="preserve"> which replaces the note with an equation.</w:t>
      </w:r>
    </w:p>
    <w:p w14:paraId="638B643C" w14:textId="77777777" w:rsidR="00BD40C4" w:rsidRDefault="00BD40C4" w:rsidP="00BD40C4"/>
    <w:p w14:paraId="75914FF9"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BA1713A" w14:textId="77777777" w:rsidTr="000565A0">
        <w:trPr>
          <w:trHeight w:val="524"/>
        </w:trPr>
        <w:tc>
          <w:tcPr>
            <w:tcW w:w="738" w:type="dxa"/>
            <w:hideMark/>
          </w:tcPr>
          <w:p w14:paraId="62B5FF29"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B0AC3E6"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70A3FFE"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F45F3C7"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9A5E07A"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7E51EFF" w14:textId="77777777" w:rsidTr="000565A0">
        <w:trPr>
          <w:trHeight w:val="765"/>
        </w:trPr>
        <w:tc>
          <w:tcPr>
            <w:tcW w:w="738" w:type="dxa"/>
            <w:hideMark/>
          </w:tcPr>
          <w:p w14:paraId="3B818DCB"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2458</w:t>
            </w:r>
          </w:p>
        </w:tc>
        <w:tc>
          <w:tcPr>
            <w:tcW w:w="990" w:type="dxa"/>
            <w:hideMark/>
          </w:tcPr>
          <w:p w14:paraId="742988C6"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1152.</w:t>
            </w:r>
            <w:r>
              <w:rPr>
                <w:rFonts w:ascii="Arial" w:eastAsia="Times New Roman" w:hAnsi="Arial" w:cs="Arial"/>
                <w:sz w:val="20"/>
                <w:lang w:val="en-US"/>
              </w:rPr>
              <w:t>16</w:t>
            </w:r>
          </w:p>
        </w:tc>
        <w:tc>
          <w:tcPr>
            <w:tcW w:w="1080" w:type="dxa"/>
            <w:hideMark/>
          </w:tcPr>
          <w:p w14:paraId="78710093"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9.4.2.53</w:t>
            </w:r>
          </w:p>
        </w:tc>
        <w:tc>
          <w:tcPr>
            <w:tcW w:w="3600" w:type="dxa"/>
            <w:hideMark/>
          </w:tcPr>
          <w:p w14:paraId="222FEFEE"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"in this country" -- it's not clear which country is being referred to</w:t>
            </w:r>
          </w:p>
        </w:tc>
        <w:tc>
          <w:tcPr>
            <w:tcW w:w="3600" w:type="dxa"/>
            <w:hideMark/>
          </w:tcPr>
          <w:p w14:paraId="24143FED"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Delete "in this country" throughout the referenced subclause</w:t>
            </w:r>
          </w:p>
        </w:tc>
      </w:tr>
    </w:tbl>
    <w:p w14:paraId="6BE2E371" w14:textId="77777777" w:rsidR="00BD40C4" w:rsidRDefault="00BD40C4" w:rsidP="00BD40C4"/>
    <w:p w14:paraId="7A3C58D6" w14:textId="77777777" w:rsidR="00BD40C4" w:rsidRPr="004C25F1" w:rsidRDefault="00BD40C4" w:rsidP="00BD40C4">
      <w:pPr>
        <w:rPr>
          <w:u w:val="single"/>
        </w:rPr>
      </w:pPr>
      <w:r>
        <w:rPr>
          <w:u w:val="single"/>
        </w:rPr>
        <w:t>Discussion:</w:t>
      </w:r>
    </w:p>
    <w:p w14:paraId="7829146E" w14:textId="77777777" w:rsidR="00BD40C4" w:rsidRDefault="00BD40C4" w:rsidP="00BD40C4"/>
    <w:p w14:paraId="5B01C88E" w14:textId="77777777" w:rsidR="00BD40C4" w:rsidRDefault="00BD40C4" w:rsidP="00BD40C4">
      <w:r>
        <w:t>There are 4 occurrences of “in this country” in subclause 9.4.2.53.  All are of the form, “operating</w:t>
      </w:r>
      <w:r>
        <w:rPr>
          <w:rFonts w:ascii="TimesNewRomanPSMT" w:eastAsia="TimesNewRomanPSMT" w:cs="TimesNewRomanPSMT"/>
          <w:sz w:val="20"/>
          <w:lang w:val="en-US" w:eastAsia="ja-JP"/>
        </w:rPr>
        <w:t xml:space="preserve"> classes that [the STA | it] is capable of operating with in this country</w:t>
      </w:r>
      <w:r>
        <w:t>”.  For example:</w:t>
      </w:r>
    </w:p>
    <w:p w14:paraId="6E77CE84" w14:textId="77777777" w:rsidR="00BD40C4" w:rsidRDefault="00BD40C4" w:rsidP="00BD40C4"/>
    <w:p w14:paraId="053AA37B" w14:textId="77777777" w:rsidR="00BD40C4" w:rsidRDefault="00BD40C4" w:rsidP="00BD40C4">
      <w:r>
        <w:rPr>
          <w:noProof/>
        </w:rPr>
        <w:drawing>
          <wp:inline distT="0" distB="0" distL="0" distR="0" wp14:anchorId="12A09249" wp14:editId="3518B5A4">
            <wp:extent cx="6400800" cy="829945"/>
            <wp:effectExtent l="57150" t="57150" r="171450" b="1225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8299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9E4D2C" w14:textId="77777777" w:rsidR="00BD40C4" w:rsidRDefault="00BD40C4" w:rsidP="00BD40C4"/>
    <w:p w14:paraId="15036043" w14:textId="77777777" w:rsidR="00BD40C4" w:rsidRDefault="00BD40C4" w:rsidP="00BD40C4">
      <w:pPr>
        <w:autoSpaceDE w:val="0"/>
        <w:autoSpaceDN w:val="0"/>
        <w:adjustRightInd w:val="0"/>
      </w:pPr>
      <w:r>
        <w:t xml:space="preserve">Agree with the </w:t>
      </w:r>
      <w:proofErr w:type="spellStart"/>
      <w:r>
        <w:t>commenter</w:t>
      </w:r>
      <w:proofErr w:type="spellEnd"/>
      <w:r>
        <w:t xml:space="preserve"> that “this country” is not clear.  The point of the phrase is that these are operating classes within which the STA is currently configured to operate.  </w:t>
      </w:r>
    </w:p>
    <w:p w14:paraId="3D90A48F" w14:textId="77777777" w:rsidR="00BD40C4" w:rsidRDefault="00BD40C4" w:rsidP="00BD40C4">
      <w:pPr>
        <w:autoSpaceDE w:val="0"/>
        <w:autoSpaceDN w:val="0"/>
        <w:adjustRightInd w:val="0"/>
      </w:pPr>
    </w:p>
    <w:p w14:paraId="7105E0F5" w14:textId="77777777" w:rsidR="00BD40C4" w:rsidRPr="00947752" w:rsidRDefault="00BD40C4" w:rsidP="00BD40C4">
      <w:pPr>
        <w:autoSpaceDE w:val="0"/>
        <w:autoSpaceDN w:val="0"/>
        <w:adjustRightInd w:val="0"/>
        <w:rPr>
          <w:u w:val="single"/>
        </w:rPr>
      </w:pPr>
      <w:r w:rsidRPr="00F44156">
        <w:rPr>
          <w:highlight w:val="green"/>
          <w:u w:val="single"/>
        </w:rPr>
        <w:t>Proposed Resolution:</w:t>
      </w:r>
    </w:p>
    <w:p w14:paraId="0993FD23" w14:textId="77777777" w:rsidR="00BD40C4" w:rsidRDefault="00BD40C4" w:rsidP="00BD40C4">
      <w:pPr>
        <w:autoSpaceDE w:val="0"/>
        <w:autoSpaceDN w:val="0"/>
        <w:adjustRightInd w:val="0"/>
      </w:pPr>
    </w:p>
    <w:p w14:paraId="0D62CB02" w14:textId="77777777" w:rsidR="00BD40C4" w:rsidRDefault="00BD40C4" w:rsidP="00BD40C4">
      <w:pPr>
        <w:autoSpaceDE w:val="0"/>
        <w:autoSpaceDN w:val="0"/>
        <w:adjustRightInd w:val="0"/>
      </w:pPr>
      <w:r>
        <w:t>Revised.</w:t>
      </w:r>
    </w:p>
    <w:p w14:paraId="2212D469" w14:textId="77777777" w:rsidR="00BD40C4" w:rsidRDefault="00BD40C4" w:rsidP="00BD40C4">
      <w:pPr>
        <w:autoSpaceDE w:val="0"/>
        <w:autoSpaceDN w:val="0"/>
        <w:adjustRightInd w:val="0"/>
      </w:pPr>
    </w:p>
    <w:p w14:paraId="476B7AF7" w14:textId="77777777" w:rsidR="00BD40C4" w:rsidRDefault="00BD40C4" w:rsidP="00BD40C4">
      <w:pPr>
        <w:autoSpaceDE w:val="0"/>
        <w:autoSpaceDN w:val="0"/>
        <w:adjustRightInd w:val="0"/>
      </w:pPr>
      <w:r>
        <w:t xml:space="preserve">Change all four occurrences as shown: </w:t>
      </w:r>
    </w:p>
    <w:p w14:paraId="01591FC4" w14:textId="77777777" w:rsidR="00BD40C4" w:rsidRDefault="00BD40C4" w:rsidP="00BD40C4">
      <w:pPr>
        <w:autoSpaceDE w:val="0"/>
        <w:autoSpaceDN w:val="0"/>
        <w:adjustRightInd w:val="0"/>
        <w:ind w:left="720"/>
      </w:pPr>
      <w:r>
        <w:t xml:space="preserve">“operating classes </w:t>
      </w:r>
      <w:r w:rsidRPr="00947752">
        <w:rPr>
          <w:strike/>
        </w:rPr>
        <w:t>that</w:t>
      </w:r>
      <w:r>
        <w:t xml:space="preserve"> </w:t>
      </w:r>
      <w:r w:rsidRPr="00947752">
        <w:rPr>
          <w:u w:val="single"/>
        </w:rPr>
        <w:t>within which</w:t>
      </w:r>
      <w:r>
        <w:t xml:space="preserve"> [the STA | it] is </w:t>
      </w:r>
      <w:r w:rsidRPr="00947752">
        <w:rPr>
          <w:strike/>
        </w:rPr>
        <w:t>capable of operating with in this country</w:t>
      </w:r>
      <w:r w:rsidRPr="00947752">
        <w:t xml:space="preserve"> </w:t>
      </w:r>
      <w:r w:rsidRPr="00947752">
        <w:rPr>
          <w:u w:val="single"/>
        </w:rPr>
        <w:t>currently configured to operate</w:t>
      </w:r>
      <w:r>
        <w:t>”</w:t>
      </w:r>
    </w:p>
    <w:p w14:paraId="532440FF" w14:textId="77777777" w:rsidR="00BD40C4" w:rsidRDefault="00BD40C4" w:rsidP="00BD40C4"/>
    <w:p w14:paraId="30DE699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F937496" w14:textId="77777777" w:rsidTr="000565A0">
        <w:trPr>
          <w:trHeight w:val="524"/>
        </w:trPr>
        <w:tc>
          <w:tcPr>
            <w:tcW w:w="738" w:type="dxa"/>
            <w:hideMark/>
          </w:tcPr>
          <w:p w14:paraId="5F852A21"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AE2C40"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EE45B2E"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98ADBEF"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245310"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2A7666C9" w14:textId="77777777" w:rsidTr="000565A0">
        <w:trPr>
          <w:trHeight w:val="510"/>
        </w:trPr>
        <w:tc>
          <w:tcPr>
            <w:tcW w:w="738" w:type="dxa"/>
            <w:hideMark/>
          </w:tcPr>
          <w:p w14:paraId="06EC8E4A"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2460</w:t>
            </w:r>
          </w:p>
        </w:tc>
        <w:tc>
          <w:tcPr>
            <w:tcW w:w="990" w:type="dxa"/>
            <w:hideMark/>
          </w:tcPr>
          <w:p w14:paraId="3C1B60A9"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2497.</w:t>
            </w:r>
            <w:r>
              <w:rPr>
                <w:rFonts w:ascii="Arial" w:eastAsia="Times New Roman" w:hAnsi="Arial" w:cs="Arial"/>
                <w:sz w:val="20"/>
                <w:lang w:val="en-US"/>
              </w:rPr>
              <w:t>64</w:t>
            </w:r>
          </w:p>
        </w:tc>
        <w:tc>
          <w:tcPr>
            <w:tcW w:w="1080" w:type="dxa"/>
            <w:hideMark/>
          </w:tcPr>
          <w:p w14:paraId="0157FA95"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11.46.3.2</w:t>
            </w:r>
          </w:p>
        </w:tc>
        <w:tc>
          <w:tcPr>
            <w:tcW w:w="3600" w:type="dxa"/>
            <w:hideMark/>
          </w:tcPr>
          <w:p w14:paraId="2734C8AC"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"MA-</w:t>
            </w:r>
            <w:proofErr w:type="spellStart"/>
            <w:r w:rsidRPr="00DC0730">
              <w:rPr>
                <w:rFonts w:ascii="Arial" w:eastAsia="Times New Roman" w:hAnsi="Arial" w:cs="Arial"/>
                <w:sz w:val="20"/>
                <w:lang w:val="en-US"/>
              </w:rPr>
              <w:t>UNITDATA.indicate</w:t>
            </w:r>
            <w:proofErr w:type="spellEnd"/>
            <w:r w:rsidRPr="00DC0730">
              <w:rPr>
                <w:rFonts w:ascii="Arial" w:eastAsia="Times New Roman" w:hAnsi="Arial" w:cs="Arial"/>
                <w:sz w:val="20"/>
                <w:lang w:val="en-US"/>
              </w:rPr>
              <w:t>" -- no such primitive</w:t>
            </w:r>
          </w:p>
        </w:tc>
        <w:tc>
          <w:tcPr>
            <w:tcW w:w="3600" w:type="dxa"/>
            <w:hideMark/>
          </w:tcPr>
          <w:p w14:paraId="2F033E36"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Change to "MA-</w:t>
            </w:r>
            <w:proofErr w:type="spellStart"/>
            <w:r w:rsidRPr="00DC0730">
              <w:rPr>
                <w:rFonts w:ascii="Arial" w:eastAsia="Times New Roman" w:hAnsi="Arial" w:cs="Arial"/>
                <w:sz w:val="20"/>
                <w:lang w:val="en-US"/>
              </w:rPr>
              <w:t>UNITDATA.indication</w:t>
            </w:r>
            <w:proofErr w:type="spellEnd"/>
            <w:r w:rsidRPr="00DC0730">
              <w:rPr>
                <w:rFonts w:ascii="Arial" w:eastAsia="Times New Roman" w:hAnsi="Arial" w:cs="Arial"/>
                <w:sz w:val="20"/>
                <w:lang w:val="en-US"/>
              </w:rPr>
              <w:t>"</w:t>
            </w:r>
          </w:p>
        </w:tc>
      </w:tr>
    </w:tbl>
    <w:p w14:paraId="1B5201F4" w14:textId="77777777" w:rsidR="00BD40C4" w:rsidRDefault="00BD40C4" w:rsidP="00BD40C4"/>
    <w:p w14:paraId="3421B011" w14:textId="77777777" w:rsidR="00BD40C4" w:rsidRDefault="00BD40C4" w:rsidP="00BD40C4">
      <w:r>
        <w:rPr>
          <w:u w:val="single"/>
        </w:rPr>
        <w:t>Discussion:</w:t>
      </w:r>
    </w:p>
    <w:p w14:paraId="0B6C43C6" w14:textId="77777777" w:rsidR="00BD40C4" w:rsidRDefault="00BD40C4" w:rsidP="00BD40C4"/>
    <w:p w14:paraId="5370B89D" w14:textId="77777777" w:rsidR="00BD40C4" w:rsidRDefault="00BD40C4" w:rsidP="00BD40C4">
      <w:r>
        <w:t xml:space="preserve">Agree with the comment.  Based on a search, this is the only occurrence of </w:t>
      </w:r>
      <w:proofErr w:type="gramStart"/>
      <w:r>
        <w:t>“.indicate</w:t>
      </w:r>
      <w:proofErr w:type="gramEnd"/>
      <w:r>
        <w:t>” in the Draft.</w:t>
      </w:r>
    </w:p>
    <w:p w14:paraId="266751A4" w14:textId="77777777" w:rsidR="00BD40C4" w:rsidRDefault="00BD40C4" w:rsidP="00BD40C4"/>
    <w:p w14:paraId="64B3C044" w14:textId="77777777" w:rsidR="00BD40C4" w:rsidRPr="00F10351" w:rsidRDefault="00BD40C4" w:rsidP="00BD40C4">
      <w:pPr>
        <w:rPr>
          <w:u w:val="single"/>
        </w:rPr>
      </w:pPr>
      <w:r w:rsidRPr="00F44156">
        <w:rPr>
          <w:highlight w:val="green"/>
          <w:u w:val="single"/>
        </w:rPr>
        <w:t>Proposed Resolution:</w:t>
      </w:r>
    </w:p>
    <w:p w14:paraId="5EE3D9AD" w14:textId="77777777" w:rsidR="00BD40C4" w:rsidRDefault="00BD40C4" w:rsidP="00BD40C4"/>
    <w:p w14:paraId="6622AE0B" w14:textId="77777777" w:rsidR="00BD40C4" w:rsidRPr="00204E18" w:rsidRDefault="00BD40C4" w:rsidP="00BD40C4">
      <w:r>
        <w:t>Accepted.</w:t>
      </w:r>
    </w:p>
    <w:p w14:paraId="5B7BC0EC" w14:textId="77777777" w:rsidR="00BD40C4" w:rsidRDefault="00BD40C4" w:rsidP="00BD40C4"/>
    <w:p w14:paraId="35A511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E431A95" w14:textId="77777777" w:rsidTr="000565A0">
        <w:trPr>
          <w:trHeight w:val="524"/>
        </w:trPr>
        <w:tc>
          <w:tcPr>
            <w:tcW w:w="738" w:type="dxa"/>
            <w:hideMark/>
          </w:tcPr>
          <w:p w14:paraId="189487B8"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2756CB"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395F06"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0FF2247"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D2C101"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048DCEA" w14:textId="77777777" w:rsidTr="000565A0">
        <w:trPr>
          <w:trHeight w:val="2295"/>
        </w:trPr>
        <w:tc>
          <w:tcPr>
            <w:tcW w:w="738" w:type="dxa"/>
            <w:hideMark/>
          </w:tcPr>
          <w:p w14:paraId="0F5F8A18"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2461</w:t>
            </w:r>
          </w:p>
        </w:tc>
        <w:tc>
          <w:tcPr>
            <w:tcW w:w="990" w:type="dxa"/>
            <w:hideMark/>
          </w:tcPr>
          <w:p w14:paraId="5F416487"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2363.</w:t>
            </w:r>
            <w:r>
              <w:rPr>
                <w:rFonts w:ascii="Arial" w:eastAsia="Times New Roman" w:hAnsi="Arial" w:cs="Arial"/>
                <w:sz w:val="20"/>
                <w:lang w:val="en-US"/>
              </w:rPr>
              <w:t>37</w:t>
            </w:r>
          </w:p>
        </w:tc>
        <w:tc>
          <w:tcPr>
            <w:tcW w:w="1080" w:type="dxa"/>
            <w:hideMark/>
          </w:tcPr>
          <w:p w14:paraId="6ABA7684"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0E61A03D"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 dot11DMGOptionImplemented shall be true for a DMG STA.</w:t>
            </w:r>
            <w:r w:rsidRPr="00DC0730">
              <w:rPr>
                <w:rFonts w:ascii="Arial" w:eastAsia="Times New Roman" w:hAnsi="Arial" w:cs="Arial"/>
                <w:sz w:val="20"/>
                <w:lang w:val="en-US"/>
              </w:rPr>
              <w:br/>
              <w:t xml:space="preserve">- dot11S1GOptionImplemented shall be true for an S1G STA." -- </w:t>
            </w:r>
            <w:proofErr w:type="gramStart"/>
            <w:r w:rsidRPr="00DC0730">
              <w:rPr>
                <w:rFonts w:ascii="Arial" w:eastAsia="Times New Roman" w:hAnsi="Arial" w:cs="Arial"/>
                <w:sz w:val="20"/>
                <w:lang w:val="en-US"/>
              </w:rPr>
              <w:t>both of these</w:t>
            </w:r>
            <w:proofErr w:type="gramEnd"/>
            <w:r w:rsidRPr="00DC0730">
              <w:rPr>
                <w:rFonts w:ascii="Arial" w:eastAsia="Times New Roman" w:hAnsi="Arial" w:cs="Arial"/>
                <w:sz w:val="20"/>
                <w:lang w:val="en-US"/>
              </w:rPr>
              <w:t xml:space="preserve"> are always true, by definition</w:t>
            </w:r>
          </w:p>
        </w:tc>
        <w:tc>
          <w:tcPr>
            <w:tcW w:w="3600" w:type="dxa"/>
            <w:hideMark/>
          </w:tcPr>
          <w:p w14:paraId="524D086B"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364FFA5D" w14:textId="77777777" w:rsidR="00BD40C4" w:rsidRDefault="00BD40C4" w:rsidP="00BD40C4"/>
    <w:p w14:paraId="35449748" w14:textId="77777777" w:rsidR="00BD40C4" w:rsidRDefault="00BD40C4" w:rsidP="00BD40C4">
      <w:r>
        <w:rPr>
          <w:u w:val="single"/>
        </w:rPr>
        <w:t>Discussion:</w:t>
      </w:r>
    </w:p>
    <w:p w14:paraId="236C624D" w14:textId="77777777" w:rsidR="00BD40C4" w:rsidRDefault="00BD40C4" w:rsidP="00BD40C4"/>
    <w:p w14:paraId="1003DFD8" w14:textId="77777777" w:rsidR="00BD40C4" w:rsidRDefault="00BD40C4" w:rsidP="00BD40C4">
      <w:r>
        <w:t>The fourth paragraph of 11.22.16.2:</w:t>
      </w:r>
    </w:p>
    <w:p w14:paraId="7FAF19F6" w14:textId="77777777" w:rsidR="00BD40C4" w:rsidRPr="00F10351" w:rsidRDefault="00BD40C4" w:rsidP="00BD40C4">
      <w:r>
        <w:rPr>
          <w:noProof/>
        </w:rPr>
        <w:drawing>
          <wp:inline distT="0" distB="0" distL="0" distR="0" wp14:anchorId="0FFD141F" wp14:editId="7AF99DEF">
            <wp:extent cx="6395085" cy="1694180"/>
            <wp:effectExtent l="57150" t="57150" r="177165" b="1155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95085" cy="16941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3F0EB" w14:textId="77777777" w:rsidR="00BD40C4" w:rsidRDefault="00BD40C4" w:rsidP="00BD40C4"/>
    <w:p w14:paraId="0FBE5FA2" w14:textId="77777777" w:rsidR="00BD40C4" w:rsidRDefault="00BD40C4" w:rsidP="00BD40C4">
      <w:r>
        <w:t>It is correct that stating these requirements here, in the subclause about DMS procedures, should be redundant.  However, there is no statement that a DMG STA is a STA with dot11DMGOptionImplemented equal to true.  There is such a statement for an S1G STA, however:</w:t>
      </w:r>
    </w:p>
    <w:p w14:paraId="156791DC" w14:textId="77777777" w:rsidR="00BD40C4" w:rsidRDefault="00BD40C4" w:rsidP="00BD40C4"/>
    <w:p w14:paraId="41536DC1" w14:textId="77777777" w:rsidR="00BD40C4" w:rsidRDefault="00BD40C4" w:rsidP="00BD40C4">
      <w:r>
        <w:rPr>
          <w:noProof/>
        </w:rPr>
        <w:drawing>
          <wp:inline distT="0" distB="0" distL="0" distR="0" wp14:anchorId="552CCE43" wp14:editId="32F1C4AC">
            <wp:extent cx="6406515" cy="948055"/>
            <wp:effectExtent l="57150" t="57150" r="16573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651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8A64DDF" w14:textId="77777777" w:rsidR="00BD40C4" w:rsidRDefault="00BD40C4" w:rsidP="00BD40C4"/>
    <w:p w14:paraId="5F0625CC" w14:textId="77777777" w:rsidR="00BD40C4" w:rsidRPr="00A84233" w:rsidRDefault="00BD40C4" w:rsidP="00BD40C4">
      <w:pPr>
        <w:rPr>
          <w:u w:val="single"/>
        </w:rPr>
      </w:pPr>
      <w:r w:rsidRPr="00F44156">
        <w:rPr>
          <w:highlight w:val="green"/>
          <w:u w:val="single"/>
        </w:rPr>
        <w:t>Proposed Resolution:</w:t>
      </w:r>
    </w:p>
    <w:p w14:paraId="09E4EF62" w14:textId="77777777" w:rsidR="00BD40C4" w:rsidRDefault="00BD40C4" w:rsidP="00BD40C4"/>
    <w:p w14:paraId="2EC04823" w14:textId="77777777" w:rsidR="00BD40C4" w:rsidRDefault="00BD40C4" w:rsidP="00BD40C4">
      <w:r>
        <w:t>Revised.</w:t>
      </w:r>
    </w:p>
    <w:p w14:paraId="219C2FC6" w14:textId="77777777" w:rsidR="00BD40C4" w:rsidRDefault="00BD40C4" w:rsidP="00BD40C4"/>
    <w:p w14:paraId="7FE17639" w14:textId="77777777" w:rsidR="00BD40C4" w:rsidRDefault="00BD40C4" w:rsidP="00BD40C4">
      <w:r w:rsidRPr="00F44156">
        <w:t>Delete the last two bullets of the fourth paragraph of 11.22.16.2, as proposed by the commenter.</w:t>
      </w:r>
    </w:p>
    <w:p w14:paraId="07816ADC" w14:textId="77777777" w:rsidR="00BD40C4" w:rsidRDefault="00BD40C4" w:rsidP="00BD40C4"/>
    <w:p w14:paraId="0AED4108" w14:textId="77777777" w:rsidR="00BD40C4" w:rsidRDefault="00BD40C4" w:rsidP="00BD40C4">
      <w:r>
        <w:t>Add a new first paragraph to 11.38 (</w:t>
      </w:r>
      <w:r w:rsidRPr="00811A65">
        <w:t>DMG MAC sublayer attributes</w:t>
      </w:r>
      <w:r>
        <w:t>):</w:t>
      </w:r>
    </w:p>
    <w:p w14:paraId="4AE491D8" w14:textId="77777777" w:rsidR="00BD40C4" w:rsidRDefault="00BD40C4" w:rsidP="00BD40C4">
      <w:pPr>
        <w:ind w:left="720"/>
      </w:pPr>
      <w:r>
        <w:rPr>
          <w:rFonts w:ascii="TimesNewRomanPSMT" w:eastAsia="TimesNewRomanPSMT" w:cs="TimesNewRomanPSMT"/>
          <w:sz w:val="20"/>
          <w:lang w:val="en-US" w:eastAsia="ja-JP"/>
        </w:rPr>
        <w:t>A DMG STA has dot11DMGOptionImplemented equal to true.</w:t>
      </w:r>
    </w:p>
    <w:p w14:paraId="3DBBDF50"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0057F7D0" w14:textId="77777777" w:rsidTr="000565A0">
        <w:trPr>
          <w:trHeight w:val="524"/>
        </w:trPr>
        <w:tc>
          <w:tcPr>
            <w:tcW w:w="738" w:type="dxa"/>
            <w:hideMark/>
          </w:tcPr>
          <w:p w14:paraId="6B72E3B7"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96D3A6"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425E00"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1CDF8B"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9B8C485"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52899E9" w14:textId="77777777" w:rsidTr="000565A0">
        <w:trPr>
          <w:trHeight w:val="2040"/>
        </w:trPr>
        <w:tc>
          <w:tcPr>
            <w:tcW w:w="738" w:type="dxa"/>
            <w:hideMark/>
          </w:tcPr>
          <w:p w14:paraId="49CAA3B4"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2468</w:t>
            </w:r>
          </w:p>
        </w:tc>
        <w:tc>
          <w:tcPr>
            <w:tcW w:w="990" w:type="dxa"/>
            <w:hideMark/>
          </w:tcPr>
          <w:p w14:paraId="7DF7129F" w14:textId="77777777" w:rsidR="00BD40C4" w:rsidRPr="00DC0730" w:rsidRDefault="00BD40C4" w:rsidP="000565A0">
            <w:pPr>
              <w:jc w:val="right"/>
              <w:rPr>
                <w:rFonts w:ascii="Arial" w:eastAsia="Times New Roman" w:hAnsi="Arial" w:cs="Arial"/>
                <w:sz w:val="20"/>
                <w:lang w:val="en-US"/>
              </w:rPr>
            </w:pPr>
            <w:r w:rsidRPr="00DC0730">
              <w:rPr>
                <w:rFonts w:ascii="Arial" w:eastAsia="Times New Roman" w:hAnsi="Arial" w:cs="Arial"/>
                <w:sz w:val="20"/>
                <w:lang w:val="en-US"/>
              </w:rPr>
              <w:t>1655.00</w:t>
            </w:r>
          </w:p>
        </w:tc>
        <w:tc>
          <w:tcPr>
            <w:tcW w:w="1080" w:type="dxa"/>
            <w:hideMark/>
          </w:tcPr>
          <w:p w14:paraId="0A924B03"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9.7.3</w:t>
            </w:r>
          </w:p>
        </w:tc>
        <w:tc>
          <w:tcPr>
            <w:tcW w:w="3600" w:type="dxa"/>
            <w:hideMark/>
          </w:tcPr>
          <w:p w14:paraId="29545F46"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 xml:space="preserve">"at most one of the following is present: x, y, z" is not clear.  Does it mean that only what is specified in x or y or z can be present, or can e.g. you have stuff in x plus other stuff </w:t>
            </w:r>
            <w:proofErr w:type="gramStart"/>
            <w:r w:rsidRPr="00DC0730">
              <w:rPr>
                <w:rFonts w:ascii="Arial" w:eastAsia="Times New Roman" w:hAnsi="Arial" w:cs="Arial"/>
                <w:sz w:val="20"/>
                <w:lang w:val="en-US"/>
              </w:rPr>
              <w:t>as long as</w:t>
            </w:r>
            <w:proofErr w:type="gramEnd"/>
            <w:r w:rsidRPr="00DC0730">
              <w:rPr>
                <w:rFonts w:ascii="Arial" w:eastAsia="Times New Roman" w:hAnsi="Arial" w:cs="Arial"/>
                <w:sz w:val="20"/>
                <w:lang w:val="en-US"/>
              </w:rPr>
              <w:t xml:space="preserve"> it is not in y or z?</w:t>
            </w:r>
          </w:p>
        </w:tc>
        <w:tc>
          <w:tcPr>
            <w:tcW w:w="3600" w:type="dxa"/>
            <w:hideMark/>
          </w:tcPr>
          <w:p w14:paraId="24D7C837" w14:textId="77777777" w:rsidR="00BD40C4" w:rsidRPr="00DC0730" w:rsidRDefault="00BD40C4" w:rsidP="000565A0">
            <w:pPr>
              <w:rPr>
                <w:rFonts w:ascii="Arial" w:eastAsia="Times New Roman" w:hAnsi="Arial" w:cs="Arial"/>
                <w:sz w:val="20"/>
                <w:lang w:val="en-US"/>
              </w:rPr>
            </w:pPr>
            <w:r w:rsidRPr="00DC0730">
              <w:rPr>
                <w:rFonts w:ascii="Arial" w:eastAsia="Times New Roman" w:hAnsi="Arial" w:cs="Arial"/>
                <w:sz w:val="20"/>
                <w:lang w:val="en-US"/>
              </w:rPr>
              <w:t>Add ", and no other frames" before the colon in each case</w:t>
            </w:r>
          </w:p>
        </w:tc>
      </w:tr>
    </w:tbl>
    <w:p w14:paraId="01A52E67" w14:textId="77777777" w:rsidR="00BD40C4" w:rsidRDefault="00BD40C4" w:rsidP="00BD40C4"/>
    <w:p w14:paraId="38F1E615" w14:textId="77777777" w:rsidR="00BD40C4" w:rsidRPr="00811A65" w:rsidRDefault="00BD40C4" w:rsidP="00BD40C4">
      <w:pPr>
        <w:rPr>
          <w:u w:val="single"/>
        </w:rPr>
      </w:pPr>
      <w:r>
        <w:rPr>
          <w:u w:val="single"/>
        </w:rPr>
        <w:t>Discussion:</w:t>
      </w:r>
    </w:p>
    <w:p w14:paraId="3314841B" w14:textId="77777777" w:rsidR="00BD40C4" w:rsidRDefault="00BD40C4" w:rsidP="00BD40C4"/>
    <w:p w14:paraId="351CC1E5" w14:textId="77777777" w:rsidR="00BD40C4" w:rsidRDefault="00BD40C4" w:rsidP="00BD40C4">
      <w:r>
        <w:t>This phrase occurs within Table 9-528:</w:t>
      </w:r>
    </w:p>
    <w:p w14:paraId="2B474FF9" w14:textId="77777777" w:rsidR="00BD40C4" w:rsidRDefault="00BD40C4" w:rsidP="00BD40C4">
      <w:r>
        <w:rPr>
          <w:noProof/>
        </w:rPr>
        <mc:AlternateContent>
          <mc:Choice Requires="wpi">
            <w:drawing>
              <wp:anchor distT="0" distB="0" distL="114300" distR="114300" simplePos="0" relativeHeight="251689472" behindDoc="0" locked="0" layoutInCell="1" allowOverlap="1" wp14:anchorId="0012B648" wp14:editId="68E799AF">
                <wp:simplePos x="0" y="0"/>
                <wp:positionH relativeFrom="column">
                  <wp:posOffset>3528980</wp:posOffset>
                </wp:positionH>
                <wp:positionV relativeFrom="paragraph">
                  <wp:posOffset>4699962</wp:posOffset>
                </wp:positionV>
                <wp:extent cx="336240" cy="17280"/>
                <wp:effectExtent l="95250" t="133350" r="102235" b="173355"/>
                <wp:wrapNone/>
                <wp:docPr id="60" name="Ink 60"/>
                <wp:cNvGraphicFramePr/>
                <a:graphic xmlns:a="http://schemas.openxmlformats.org/drawingml/2006/main">
                  <a:graphicData uri="http://schemas.microsoft.com/office/word/2010/wordprocessingInk">
                    <w14:contentPart bwMode="auto" r:id="rId83">
                      <w14:nvContentPartPr>
                        <w14:cNvContentPartPr/>
                      </w14:nvContentPartPr>
                      <w14:xfrm>
                        <a:off x="0" y="0"/>
                        <a:ext cx="336240" cy="17280"/>
                      </w14:xfrm>
                    </w14:contentPart>
                  </a:graphicData>
                </a:graphic>
              </wp:anchor>
            </w:drawing>
          </mc:Choice>
          <mc:Fallback>
            <w:pict>
              <v:shape w14:anchorId="2D7E14D1" id="Ink 60" o:spid="_x0000_s1026" type="#_x0000_t75" style="position:absolute;margin-left:273.6pt;margin-top:361.6pt;width:35pt;height:18.3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">
                <v:imagedata r:id="rId84" o:title=""/>
              </v:shape>
            </w:pict>
          </mc:Fallback>
        </mc:AlternateContent>
      </w:r>
      <w:r>
        <w:rPr>
          <w:noProof/>
        </w:rPr>
        <mc:AlternateContent>
          <mc:Choice Requires="wpi">
            <w:drawing>
              <wp:anchor distT="0" distB="0" distL="114300" distR="114300" simplePos="0" relativeHeight="251688448" behindDoc="0" locked="0" layoutInCell="1" allowOverlap="1" wp14:anchorId="17FFAAE4" wp14:editId="464BA58C">
                <wp:simplePos x="0" y="0"/>
                <wp:positionH relativeFrom="column">
                  <wp:posOffset>3915980</wp:posOffset>
                </wp:positionH>
                <wp:positionV relativeFrom="paragraph">
                  <wp:posOffset>4599162</wp:posOffset>
                </wp:positionV>
                <wp:extent cx="1071720" cy="22680"/>
                <wp:effectExtent l="95250" t="133350" r="109855" b="168275"/>
                <wp:wrapNone/>
                <wp:docPr id="59" name="Ink 59"/>
                <wp:cNvGraphicFramePr/>
                <a:graphic xmlns:a="http://schemas.openxmlformats.org/drawingml/2006/main">
                  <a:graphicData uri="http://schemas.microsoft.com/office/word/2010/wordprocessingInk">
                    <w14:contentPart bwMode="auto" r:id="rId85">
                      <w14:nvContentPartPr>
                        <w14:cNvContentPartPr/>
                      </w14:nvContentPartPr>
                      <w14:xfrm>
                        <a:off x="0" y="0"/>
                        <a:ext cx="1071720" cy="22680"/>
                      </w14:xfrm>
                    </w14:contentPart>
                  </a:graphicData>
                </a:graphic>
              </wp:anchor>
            </w:drawing>
          </mc:Choice>
          <mc:Fallback>
            <w:pict>
              <v:shape w14:anchorId="206ECB71" id="Ink 59" o:spid="_x0000_s1026" type="#_x0000_t75" style="position:absolute;margin-left:304.1pt;margin-top:353.8pt;width:92.9pt;height:18.5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">
                <v:imagedata r:id="rId86" o:title=""/>
              </v:shape>
            </w:pict>
          </mc:Fallback>
        </mc:AlternateContent>
      </w:r>
      <w:r>
        <w:rPr>
          <w:noProof/>
        </w:rPr>
        <mc:AlternateContent>
          <mc:Choice Requires="wpi">
            <w:drawing>
              <wp:anchor distT="0" distB="0" distL="114300" distR="114300" simplePos="0" relativeHeight="251687424" behindDoc="0" locked="0" layoutInCell="1" allowOverlap="1" wp14:anchorId="5F1AD8F4" wp14:editId="2401F477">
                <wp:simplePos x="0" y="0"/>
                <wp:positionH relativeFrom="column">
                  <wp:posOffset>3512060</wp:posOffset>
                </wp:positionH>
                <wp:positionV relativeFrom="paragraph">
                  <wp:posOffset>3830922</wp:posOffset>
                </wp:positionV>
                <wp:extent cx="350280" cy="9360"/>
                <wp:effectExtent l="95250" t="152400" r="107315" b="162560"/>
                <wp:wrapNone/>
                <wp:docPr id="58" name="Ink 58"/>
                <wp:cNvGraphicFramePr/>
                <a:graphic xmlns:a="http://schemas.openxmlformats.org/drawingml/2006/main">
                  <a:graphicData uri="http://schemas.microsoft.com/office/word/2010/wordprocessingInk">
                    <w14:contentPart bwMode="auto" r:id="rId87">
                      <w14:nvContentPartPr>
                        <w14:cNvContentPartPr/>
                      </w14:nvContentPartPr>
                      <w14:xfrm>
                        <a:off x="0" y="0"/>
                        <a:ext cx="350280" cy="9360"/>
                      </w14:xfrm>
                    </w14:contentPart>
                  </a:graphicData>
                </a:graphic>
              </wp:anchor>
            </w:drawing>
          </mc:Choice>
          <mc:Fallback>
            <w:pict>
              <v:shape w14:anchorId="2A1F58CE" id="Ink 58" o:spid="_x0000_s1026" type="#_x0000_t75" style="position:absolute;margin-left:272.3pt;margin-top:293.15pt;width:36.1pt;height:17.7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">
                <v:imagedata r:id="rId88" o:title=""/>
              </v:shape>
            </w:pict>
          </mc:Fallback>
        </mc:AlternateContent>
      </w:r>
      <w:r>
        <w:rPr>
          <w:noProof/>
        </w:rPr>
        <mc:AlternateContent>
          <mc:Choice Requires="wpi">
            <w:drawing>
              <wp:anchor distT="0" distB="0" distL="114300" distR="114300" simplePos="0" relativeHeight="251686400" behindDoc="0" locked="0" layoutInCell="1" allowOverlap="1" wp14:anchorId="7A0C3B50" wp14:editId="424C7435">
                <wp:simplePos x="0" y="0"/>
                <wp:positionH relativeFrom="column">
                  <wp:posOffset>3927140</wp:posOffset>
                </wp:positionH>
                <wp:positionV relativeFrom="paragraph">
                  <wp:posOffset>3684762</wp:posOffset>
                </wp:positionV>
                <wp:extent cx="1026360" cy="69120"/>
                <wp:effectExtent l="95250" t="133350" r="59690" b="179070"/>
                <wp:wrapNone/>
                <wp:docPr id="57" name="Ink 57"/>
                <wp:cNvGraphicFramePr/>
                <a:graphic xmlns:a="http://schemas.openxmlformats.org/drawingml/2006/main">
                  <a:graphicData uri="http://schemas.microsoft.com/office/word/2010/wordprocessingInk">
                    <w14:contentPart bwMode="auto" r:id="rId89">
                      <w14:nvContentPartPr>
                        <w14:cNvContentPartPr/>
                      </w14:nvContentPartPr>
                      <w14:xfrm>
                        <a:off x="0" y="0"/>
                        <a:ext cx="1026360" cy="69120"/>
                      </w14:xfrm>
                    </w14:contentPart>
                  </a:graphicData>
                </a:graphic>
              </wp:anchor>
            </w:drawing>
          </mc:Choice>
          <mc:Fallback>
            <w:pict>
              <v:shape w14:anchorId="56EF69C1" id="Ink 57" o:spid="_x0000_s1026" type="#_x0000_t75" style="position:absolute;margin-left:304.95pt;margin-top:281.65pt;width:89.3pt;height:22.4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">
                <v:imagedata r:id="rId90" o:title=""/>
              </v:shape>
            </w:pict>
          </mc:Fallback>
        </mc:AlternateContent>
      </w:r>
      <w:r>
        <w:rPr>
          <w:noProof/>
        </w:rPr>
        <w:drawing>
          <wp:inline distT="0" distB="0" distL="0" distR="0" wp14:anchorId="0A12F0BF" wp14:editId="13AA7A8C">
            <wp:extent cx="5182461" cy="6103479"/>
            <wp:effectExtent l="57150" t="57150" r="151765" b="164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88522" cy="6110618"/>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9D3DEDE" w14:textId="77777777" w:rsidR="00BD40C4" w:rsidRDefault="00BD40C4" w:rsidP="00BD40C4">
      <w:r>
        <w:lastRenderedPageBreak/>
        <w:t>From the context, it appears that the intention is to include either none of the items in the following list, or only one of them.  The suggestion to say “and no other frames” is confusing, because it seems to go beyond this list and say no other frames can be included in the A-MPDU.</w:t>
      </w:r>
    </w:p>
    <w:p w14:paraId="0019DB92" w14:textId="77777777" w:rsidR="00BD40C4" w:rsidRDefault="00BD40C4" w:rsidP="00BD40C4"/>
    <w:p w14:paraId="7B09193F" w14:textId="77777777" w:rsidR="00BD40C4" w:rsidRPr="00C165C5" w:rsidRDefault="00BD40C4" w:rsidP="00BD40C4">
      <w:r w:rsidRPr="00C165C5">
        <w:t>From off-line email discussion:</w:t>
      </w:r>
    </w:p>
    <w:p w14:paraId="271A8259" w14:textId="77777777" w:rsidR="00BD40C4" w:rsidRPr="00C165C5" w:rsidRDefault="00BD40C4" w:rsidP="00BD40C4">
      <w:r w:rsidRPr="00C165C5">
        <w:t>Proposed: Replace “at most one of the following is present” with “either none or only one of the following is present” in Table 9-528.</w:t>
      </w:r>
    </w:p>
    <w:p w14:paraId="3F074635" w14:textId="77777777" w:rsidR="00BD40C4" w:rsidRPr="00C165C5" w:rsidRDefault="00BD40C4" w:rsidP="00BD40C4"/>
    <w:p w14:paraId="151D29BC" w14:textId="77777777" w:rsidR="00BD40C4" w:rsidRPr="00C165C5" w:rsidRDefault="00BD40C4" w:rsidP="00BD40C4">
      <w:r w:rsidRPr="00C165C5">
        <w:t>It seems that the commenter does not think these occurrences are the ones that are not clear.  So, this change is not necessary.  Does anyone else think they are necessary/useful?</w:t>
      </w:r>
    </w:p>
    <w:p w14:paraId="1AD6D9E8" w14:textId="77777777" w:rsidR="00BD40C4" w:rsidRPr="00C165C5" w:rsidRDefault="00BD40C4" w:rsidP="00BD40C4"/>
    <w:p w14:paraId="3F724D22" w14:textId="77777777" w:rsidR="00BD40C4" w:rsidRPr="00C165C5" w:rsidRDefault="00BD40C4" w:rsidP="00BD40C4">
      <w:r w:rsidRPr="00C165C5">
        <w:t>Rather, it is the usage in the first row(s) that is causing the concern:</w:t>
      </w:r>
    </w:p>
    <w:p w14:paraId="1F05DF81"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non-DMG STA: at</w:t>
      </w:r>
    </w:p>
    <w:p w14:paraId="3F5C1CA6"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most one of these</w:t>
      </w:r>
    </w:p>
    <w:p w14:paraId="4BC3DC6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MPDUs is present.</w:t>
      </w:r>
    </w:p>
    <w:p w14:paraId="33EB3BED"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
    <w:p w14:paraId="6266CB23"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DMG STA: at most</w:t>
      </w:r>
    </w:p>
    <w:p w14:paraId="1C8BE7F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one Ack frame is</w:t>
      </w:r>
    </w:p>
    <w:p w14:paraId="3E4EB7F0"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 and zero or</w:t>
      </w:r>
    </w:p>
    <w:p w14:paraId="6CF3376B"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more HT-immediate</w:t>
      </w:r>
    </w:p>
    <w:p w14:paraId="49A1FDC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roofErr w:type="spellStart"/>
      <w:r w:rsidRPr="00C165C5">
        <w:rPr>
          <w:rFonts w:ascii="TimesNewRomanPSMT" w:eastAsia="TimesNewRomanPSMT" w:cs="TimesNewRomanPSMT"/>
          <w:sz w:val="18"/>
          <w:szCs w:val="18"/>
          <w:lang w:val="en-US" w:eastAsia="ja-JP"/>
        </w:rPr>
        <w:t>BlockAck</w:t>
      </w:r>
      <w:proofErr w:type="spellEnd"/>
      <w:r w:rsidRPr="00C165C5">
        <w:rPr>
          <w:rFonts w:ascii="TimesNewRomanPSMT" w:eastAsia="TimesNewRomanPSMT" w:cs="TimesNewRomanPSMT"/>
          <w:sz w:val="18"/>
          <w:szCs w:val="18"/>
          <w:lang w:val="en-US" w:eastAsia="ja-JP"/>
        </w:rPr>
        <w:t xml:space="preserve"> frames are</w:t>
      </w:r>
    </w:p>
    <w:p w14:paraId="6691A983" w14:textId="77777777" w:rsidR="00BD40C4" w:rsidRPr="00C165C5" w:rsidRDefault="00BD40C4" w:rsidP="00BD40C4">
      <w:pPr>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w:t>
      </w:r>
    </w:p>
    <w:p w14:paraId="7D20E7D8" w14:textId="77777777" w:rsidR="00BD40C4" w:rsidRPr="00C165C5" w:rsidRDefault="00BD40C4" w:rsidP="00BD40C4"/>
    <w:p w14:paraId="726B40D4" w14:textId="77777777" w:rsidR="00BD40C4" w:rsidRDefault="00BD40C4" w:rsidP="00BD40C4">
      <w:r w:rsidRPr="00C165C5">
        <w:t>To address this, the proposal is to add “of these” to the second phrase.  (It’s already in the first phrase.)</w:t>
      </w:r>
    </w:p>
    <w:p w14:paraId="17A2EC7F" w14:textId="77777777" w:rsidR="00BD40C4" w:rsidRDefault="00BD40C4" w:rsidP="00BD40C4"/>
    <w:p w14:paraId="605771C4" w14:textId="77777777" w:rsidR="00BD40C4" w:rsidRPr="004D3E12" w:rsidRDefault="00BD40C4" w:rsidP="00BD40C4">
      <w:pPr>
        <w:rPr>
          <w:u w:val="single"/>
        </w:rPr>
      </w:pPr>
      <w:r w:rsidRPr="008921D2">
        <w:rPr>
          <w:highlight w:val="green"/>
          <w:u w:val="single"/>
        </w:rPr>
        <w:t>Proposed Resolution:</w:t>
      </w:r>
    </w:p>
    <w:p w14:paraId="15B45DCC" w14:textId="77777777" w:rsidR="00BD40C4" w:rsidRDefault="00BD40C4" w:rsidP="00BD40C4"/>
    <w:p w14:paraId="437F1CAC" w14:textId="77777777" w:rsidR="00BD40C4" w:rsidRDefault="00BD40C4" w:rsidP="00BD40C4">
      <w:r w:rsidRPr="00C165C5">
        <w:t>Revised.  Replace “In a non-DMG STA: at most one” with “</w:t>
      </w:r>
      <w:r w:rsidRPr="00C165C5">
        <w:rPr>
          <w:u w:val="single"/>
        </w:rPr>
        <w:t>Of these,</w:t>
      </w:r>
      <w:r w:rsidRPr="00C165C5">
        <w:t xml:space="preserve"> in a non-DMG STA: at most one” in Table 9-528. Replace “In a DMG STA: at most one” with “</w:t>
      </w:r>
      <w:r w:rsidRPr="00C165C5">
        <w:rPr>
          <w:u w:val="single"/>
        </w:rPr>
        <w:t>Of these,</w:t>
      </w:r>
      <w:r w:rsidRPr="00C165C5">
        <w:t xml:space="preserve"> in a DMG STA: at most one” in Table 9-528. </w:t>
      </w:r>
    </w:p>
    <w:p w14:paraId="43B6E42A" w14:textId="7E7BC9D9"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431390D8" w14:textId="77777777" w:rsidTr="000565A0">
        <w:trPr>
          <w:trHeight w:val="524"/>
        </w:trPr>
        <w:tc>
          <w:tcPr>
            <w:tcW w:w="738" w:type="dxa"/>
            <w:hideMark/>
          </w:tcPr>
          <w:p w14:paraId="005AAB9E"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767FBA"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0EC64F"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3DA8E5B"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9401BD" w14:textId="77777777" w:rsidR="00BD40C4" w:rsidRPr="007837C2" w:rsidRDefault="00BD40C4"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6F3FA66" w14:textId="77777777" w:rsidTr="000565A0">
        <w:trPr>
          <w:trHeight w:val="1530"/>
        </w:trPr>
        <w:tc>
          <w:tcPr>
            <w:tcW w:w="738" w:type="dxa"/>
            <w:hideMark/>
          </w:tcPr>
          <w:p w14:paraId="60A8787F" w14:textId="77777777" w:rsidR="00BD40C4" w:rsidRPr="00DC0730" w:rsidRDefault="00BD40C4" w:rsidP="000565A0">
            <w:pPr>
              <w:jc w:val="right"/>
              <w:rPr>
                <w:rFonts w:ascii="Arial" w:eastAsia="Times New Roman" w:hAnsi="Arial" w:cs="Arial"/>
                <w:sz w:val="20"/>
                <w:lang w:val="en-US"/>
              </w:rPr>
            </w:pPr>
            <w:r>
              <w:rPr>
                <w:rFonts w:ascii="Arial" w:eastAsia="Times New Roman" w:hAnsi="Arial" w:cs="Arial"/>
                <w:sz w:val="20"/>
                <w:lang w:val="en-US"/>
              </w:rPr>
              <w:t>2391</w:t>
            </w:r>
          </w:p>
        </w:tc>
        <w:tc>
          <w:tcPr>
            <w:tcW w:w="990" w:type="dxa"/>
            <w:hideMark/>
          </w:tcPr>
          <w:p w14:paraId="3A238BA9" w14:textId="77777777" w:rsidR="00BD40C4" w:rsidRPr="00DC0730" w:rsidRDefault="00BD40C4" w:rsidP="000565A0">
            <w:pPr>
              <w:jc w:val="right"/>
              <w:rPr>
                <w:rFonts w:ascii="Arial" w:eastAsia="Times New Roman" w:hAnsi="Arial" w:cs="Arial"/>
                <w:sz w:val="20"/>
                <w:lang w:val="en-US"/>
              </w:rPr>
            </w:pPr>
            <w:r>
              <w:rPr>
                <w:rFonts w:ascii="Arial" w:eastAsia="Times New Roman" w:hAnsi="Arial" w:cs="Arial"/>
                <w:sz w:val="20"/>
                <w:lang w:val="en-US"/>
              </w:rPr>
              <w:t>2285.55</w:t>
            </w:r>
          </w:p>
        </w:tc>
        <w:tc>
          <w:tcPr>
            <w:tcW w:w="1080" w:type="dxa"/>
            <w:hideMark/>
          </w:tcPr>
          <w:p w14:paraId="00B19EFA" w14:textId="77777777" w:rsidR="00BD40C4" w:rsidRPr="00DC0730" w:rsidRDefault="00BD40C4" w:rsidP="000565A0">
            <w:pPr>
              <w:rPr>
                <w:rFonts w:ascii="Arial" w:eastAsia="Times New Roman" w:hAnsi="Arial" w:cs="Arial"/>
                <w:sz w:val="20"/>
                <w:lang w:val="en-US"/>
              </w:rPr>
            </w:pPr>
            <w:r>
              <w:rPr>
                <w:rFonts w:ascii="Arial" w:eastAsia="Times New Roman" w:hAnsi="Arial" w:cs="Arial"/>
                <w:sz w:val="20"/>
                <w:lang w:val="en-US"/>
              </w:rPr>
              <w:t>11.10.14</w:t>
            </w:r>
          </w:p>
        </w:tc>
        <w:tc>
          <w:tcPr>
            <w:tcW w:w="3600" w:type="dxa"/>
            <w:hideMark/>
          </w:tcPr>
          <w:p w14:paraId="392C825C" w14:textId="77777777" w:rsidR="00BD40C4" w:rsidRPr="001122DC" w:rsidRDefault="00BD40C4" w:rsidP="000565A0">
            <w:pPr>
              <w:rPr>
                <w:rFonts w:ascii="Arial" w:eastAsia="Times New Roman" w:hAnsi="Arial" w:cs="Arial"/>
                <w:sz w:val="20"/>
                <w:lang w:val="en-US"/>
              </w:rPr>
            </w:pPr>
            <w:r w:rsidRPr="001122DC">
              <w:rPr>
                <w:rFonts w:ascii="Arial" w:eastAsia="Times New Roman" w:hAnsi="Arial" w:cs="Arial"/>
                <w:sz w:val="20"/>
                <w:lang w:val="en-US"/>
              </w:rPr>
              <w:t>"A multiple BSSID set is characterized as follows:</w:t>
            </w:r>
          </w:p>
          <w:p w14:paraId="7B91DD55" w14:textId="77777777" w:rsidR="00BD40C4" w:rsidRPr="001122DC" w:rsidRDefault="00BD40C4" w:rsidP="000565A0">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25E51059" w14:textId="77777777" w:rsidR="00BD40C4" w:rsidRPr="00DC0730" w:rsidRDefault="00BD40C4" w:rsidP="000565A0">
            <w:pPr>
              <w:rPr>
                <w:rFonts w:ascii="Arial" w:eastAsia="Times New Roman" w:hAnsi="Arial" w:cs="Arial"/>
                <w:sz w:val="20"/>
                <w:lang w:val="en-US"/>
              </w:rPr>
            </w:pPr>
            <w:r w:rsidRPr="001122DC">
              <w:rPr>
                <w:rFonts w:ascii="Arial" w:eastAsia="Times New Roman" w:hAnsi="Arial" w:cs="Arial"/>
                <w:sz w:val="20"/>
                <w:lang w:val="en-US"/>
              </w:rPr>
              <w:t>antenna connector. " -- sounds as if they can't do MIMO</w:t>
            </w:r>
          </w:p>
        </w:tc>
        <w:tc>
          <w:tcPr>
            <w:tcW w:w="3600" w:type="dxa"/>
            <w:hideMark/>
          </w:tcPr>
          <w:p w14:paraId="5FB0F395" w14:textId="77777777" w:rsidR="00BD40C4" w:rsidRPr="001122DC" w:rsidRDefault="00BD40C4" w:rsidP="000565A0">
            <w:pPr>
              <w:rPr>
                <w:rFonts w:ascii="Arial" w:eastAsia="Times New Roman" w:hAnsi="Arial" w:cs="Arial"/>
                <w:sz w:val="20"/>
                <w:lang w:val="en-US"/>
              </w:rPr>
            </w:pPr>
            <w:r w:rsidRPr="001122DC">
              <w:rPr>
                <w:rFonts w:ascii="Arial" w:eastAsia="Times New Roman" w:hAnsi="Arial" w:cs="Arial"/>
                <w:sz w:val="20"/>
                <w:lang w:val="en-US"/>
              </w:rPr>
              <w:t>Change the cited text at the referenced location to "A multiple BSSID set is characterized as follows:</w:t>
            </w:r>
          </w:p>
          <w:p w14:paraId="227D7F63" w14:textId="77777777" w:rsidR="00BD40C4" w:rsidRPr="001122DC" w:rsidRDefault="00BD40C4" w:rsidP="000565A0">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438CADCA" w14:textId="77777777" w:rsidR="00BD40C4" w:rsidRPr="00DC0730" w:rsidRDefault="00BD40C4" w:rsidP="000565A0">
            <w:pPr>
              <w:rPr>
                <w:rFonts w:ascii="Arial" w:eastAsia="Times New Roman" w:hAnsi="Arial" w:cs="Arial"/>
                <w:sz w:val="20"/>
                <w:lang w:val="en-US"/>
              </w:rPr>
            </w:pPr>
            <w:r w:rsidRPr="001122DC">
              <w:rPr>
                <w:rFonts w:ascii="Arial" w:eastAsia="Times New Roman" w:hAnsi="Arial" w:cs="Arial"/>
                <w:sz w:val="20"/>
                <w:lang w:val="en-US"/>
              </w:rPr>
              <w:t>(set of) antenna connector(s). "</w:t>
            </w:r>
          </w:p>
        </w:tc>
      </w:tr>
    </w:tbl>
    <w:p w14:paraId="58D9D0A1" w14:textId="77777777" w:rsidR="00BD40C4" w:rsidRDefault="00BD40C4" w:rsidP="00BD40C4"/>
    <w:p w14:paraId="37258575" w14:textId="77777777" w:rsidR="00BD40C4" w:rsidRDefault="00BD40C4" w:rsidP="00BD40C4">
      <w:pPr>
        <w:rPr>
          <w:u w:val="single"/>
        </w:rPr>
      </w:pPr>
      <w:r>
        <w:rPr>
          <w:u w:val="single"/>
        </w:rPr>
        <w:t>Discussion:</w:t>
      </w:r>
    </w:p>
    <w:p w14:paraId="357DB298" w14:textId="77777777" w:rsidR="00BD40C4" w:rsidRPr="001122DC" w:rsidRDefault="00BD40C4" w:rsidP="00BD40C4"/>
    <w:p w14:paraId="323949EF" w14:textId="77777777" w:rsidR="00BD40C4" w:rsidRDefault="00BD40C4" w:rsidP="00BD40C4">
      <w:r w:rsidRPr="001122DC">
        <w:t xml:space="preserve">As discussed </w:t>
      </w:r>
      <w:r>
        <w:t>on the June 24 teleconference, there is a definition of “antenna connector” already in the baseline, which includes these plural situations within the singular term:</w:t>
      </w:r>
    </w:p>
    <w:p w14:paraId="5AD6320F" w14:textId="77777777" w:rsidR="00BD40C4" w:rsidRDefault="00BD40C4" w:rsidP="00BD40C4">
      <w:r>
        <w:rPr>
          <w:noProof/>
        </w:rPr>
        <w:drawing>
          <wp:inline distT="0" distB="0" distL="0" distR="0" wp14:anchorId="483CC3D3" wp14:editId="5E314C0B">
            <wp:extent cx="6400800" cy="1280160"/>
            <wp:effectExtent l="57150" t="57150" r="17145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12801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4B5A4A" w14:textId="77777777" w:rsidR="00BD40C4" w:rsidRDefault="00BD40C4" w:rsidP="00BD40C4"/>
    <w:p w14:paraId="73D3B7D9" w14:textId="77777777" w:rsidR="00BD40C4" w:rsidRDefault="00BD40C4" w:rsidP="00BD40C4">
      <w:r>
        <w:t>After discussion agreed that the singular is correct, given this definition.  However:</w:t>
      </w:r>
    </w:p>
    <w:p w14:paraId="1C410069" w14:textId="77777777" w:rsidR="00BD40C4" w:rsidRDefault="00BD40C4" w:rsidP="00BD40C4">
      <w:pPr>
        <w:pStyle w:val="ListParagraph"/>
        <w:numPr>
          <w:ilvl w:val="0"/>
          <w:numId w:val="33"/>
        </w:numPr>
      </w:pPr>
      <w:r>
        <w:t>We still want to keep one capitalization correction in the 11.10.14 context (shown in the Proposed Resolution below)</w:t>
      </w:r>
    </w:p>
    <w:p w14:paraId="04B98A4C" w14:textId="77777777" w:rsidR="00BD40C4" w:rsidRDefault="00BD40C4" w:rsidP="00BD40C4">
      <w:pPr>
        <w:ind w:left="720"/>
      </w:pPr>
      <w:r>
        <w:rPr>
          <w:noProof/>
        </w:rPr>
        <w:drawing>
          <wp:inline distT="0" distB="0" distL="0" distR="0" wp14:anchorId="243F2C65" wp14:editId="2696F5D6">
            <wp:extent cx="5244999" cy="851272"/>
            <wp:effectExtent l="57150" t="57150" r="146685" b="1206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77866" cy="856606"/>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FB4A64" w14:textId="77777777" w:rsidR="00BD40C4" w:rsidRDefault="00BD40C4" w:rsidP="00BD40C4">
      <w:pPr>
        <w:pStyle w:val="ListParagraph"/>
        <w:numPr>
          <w:ilvl w:val="0"/>
          <w:numId w:val="33"/>
        </w:numPr>
      </w:pPr>
      <w:r>
        <w:t>We still want to keep the addition of the word “same” in the 11.10.14 context (also shown below)</w:t>
      </w:r>
    </w:p>
    <w:p w14:paraId="2F61D4CB" w14:textId="77777777" w:rsidR="00BD40C4" w:rsidRDefault="00BD40C4" w:rsidP="00BD40C4">
      <w:pPr>
        <w:ind w:left="720"/>
      </w:pPr>
      <w:r>
        <w:rPr>
          <w:noProof/>
        </w:rPr>
        <w:drawing>
          <wp:inline distT="0" distB="0" distL="0" distR="0" wp14:anchorId="0861CFBD" wp14:editId="2B6B3398">
            <wp:extent cx="5325466" cy="760781"/>
            <wp:effectExtent l="57150" t="57150" r="161290" b="1155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92958" cy="770423"/>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72D29E4" w14:textId="77777777" w:rsidR="00BD40C4" w:rsidRDefault="00BD40C4" w:rsidP="00BD40C4">
      <w:pPr>
        <w:pStyle w:val="ListParagraph"/>
        <w:numPr>
          <w:ilvl w:val="0"/>
          <w:numId w:val="33"/>
        </w:numPr>
      </w:pPr>
      <w:r>
        <w:t>We want to fix any existing uses of antenna connector that are (optionally) plural, to use the agreed singular style (these are also listed below).</w:t>
      </w:r>
    </w:p>
    <w:p w14:paraId="7AACE7DE" w14:textId="77777777" w:rsidR="00BD40C4" w:rsidRDefault="00BD40C4" w:rsidP="00BD40C4">
      <w:pPr>
        <w:ind w:left="720"/>
      </w:pPr>
      <w:r>
        <w:rPr>
          <w:noProof/>
        </w:rPr>
        <w:drawing>
          <wp:inline distT="0" distB="0" distL="0" distR="0" wp14:anchorId="4AA70EF5" wp14:editId="05F5A473">
            <wp:extent cx="5303520" cy="521408"/>
            <wp:effectExtent l="57150" t="57150" r="144780" b="107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81363" cy="529061"/>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4819E5" w14:textId="77777777" w:rsidR="00BD40C4" w:rsidRDefault="00BD40C4" w:rsidP="00BD40C4">
      <w:pPr>
        <w:ind w:left="720"/>
      </w:pPr>
      <w:r>
        <w:t>This same text appears in 16.3.6.11, 17.3.8.7 and 19.3.17.</w:t>
      </w:r>
    </w:p>
    <w:p w14:paraId="271655E9" w14:textId="77777777" w:rsidR="00BD40C4" w:rsidRDefault="00BD40C4" w:rsidP="00BD40C4"/>
    <w:p w14:paraId="1EEA9ED1" w14:textId="77777777" w:rsidR="00BD40C4" w:rsidRDefault="00BD40C4" w:rsidP="00BD40C4">
      <w:pPr>
        <w:rPr>
          <w:u w:val="single"/>
        </w:rPr>
      </w:pPr>
      <w:r w:rsidRPr="002A23E9">
        <w:rPr>
          <w:highlight w:val="green"/>
          <w:u w:val="single"/>
        </w:rPr>
        <w:t>Proposed Resolution:</w:t>
      </w:r>
    </w:p>
    <w:p w14:paraId="29DB833B" w14:textId="77777777" w:rsidR="00BD40C4" w:rsidRPr="001122DC" w:rsidRDefault="00BD40C4" w:rsidP="00BD40C4"/>
    <w:p w14:paraId="654636F6" w14:textId="77777777" w:rsidR="00BD40C4" w:rsidRDefault="00BD40C4" w:rsidP="00BD40C4">
      <w:r>
        <w:t>Revised.</w:t>
      </w:r>
    </w:p>
    <w:p w14:paraId="51B774FA" w14:textId="77777777" w:rsidR="00BD40C4" w:rsidRDefault="00BD40C4" w:rsidP="00BD40C4"/>
    <w:p w14:paraId="060F6D18" w14:textId="77777777" w:rsidR="00BD40C4" w:rsidRDefault="00BD40C4" w:rsidP="00BD40C4">
      <w:r w:rsidRPr="001122DC">
        <w:t xml:space="preserve">In the </w:t>
      </w:r>
      <w:r>
        <w:t>first bullet of 11.10.14, replace “Channel Access Functions” with “channel access functions”</w:t>
      </w:r>
    </w:p>
    <w:p w14:paraId="18D8F622" w14:textId="77777777" w:rsidR="00BD40C4" w:rsidRDefault="00BD40C4" w:rsidP="00BD40C4"/>
    <w:p w14:paraId="5667239B" w14:textId="77777777" w:rsidR="00BD40C4" w:rsidRDefault="00BD40C4" w:rsidP="00BD40C4">
      <w:r>
        <w:lastRenderedPageBreak/>
        <w:t xml:space="preserve">In the first line of the NOTE in 11.10.14, insert the word “same”, to be: “share the </w:t>
      </w:r>
      <w:r>
        <w:rPr>
          <w:u w:val="single"/>
        </w:rPr>
        <w:t>same</w:t>
      </w:r>
      <w:r>
        <w:t xml:space="preserve"> operating class, channel, …”</w:t>
      </w:r>
    </w:p>
    <w:p w14:paraId="4DCDE66C" w14:textId="77777777" w:rsidR="00BD40C4" w:rsidRDefault="00BD40C4" w:rsidP="00BD40C4"/>
    <w:p w14:paraId="6F0D9366" w14:textId="77777777" w:rsidR="00BD40C4" w:rsidRDefault="00BD40C4" w:rsidP="00BD40C4">
      <w:r>
        <w:t>In 15.4.4.10, 16.3.6.11, 17.3.8.7 and 19.3.17, change “transmit and receive antenna connector(s)” to “transmit antenna connector and receive antenna connector”.  Change “</w:t>
      </w:r>
      <w:r>
        <w:rPr>
          <w:rFonts w:ascii="TimesNewRoman" w:hAnsi="TimesNewRoman" w:cs="TimesNewRoman"/>
          <w:sz w:val="20"/>
          <w:lang w:val="en-US" w:eastAsia="ja-JP"/>
        </w:rPr>
        <w:t>if the connector</w:t>
      </w:r>
      <w:r>
        <w:t>” to “</w:t>
      </w:r>
      <w:r>
        <w:rPr>
          <w:rFonts w:ascii="TimesNewRoman" w:hAnsi="TimesNewRoman" w:cs="TimesNewRoman"/>
          <w:sz w:val="20"/>
          <w:lang w:val="en-US" w:eastAsia="ja-JP"/>
        </w:rPr>
        <w:t>if that connector</w:t>
      </w:r>
      <w:r>
        <w:t>”.</w:t>
      </w:r>
    </w:p>
    <w:p w14:paraId="76DCABE8" w14:textId="77777777" w:rsidR="00BD40C4" w:rsidRDefault="00BD40C4" w:rsidP="00BD40C4"/>
    <w:p w14:paraId="0ABBED3A" w14:textId="77777777" w:rsidR="00BD40C4" w:rsidRDefault="00BD40C4" w:rsidP="00BD40C4">
      <w:r>
        <w:t>In Table 19-1, RSSI entry, change “the power observed at the antenna connectors” to “the power observed at the antenna connector”.</w:t>
      </w:r>
    </w:p>
    <w:p w14:paraId="66888CFB" w14:textId="77777777" w:rsidR="00BD40C4" w:rsidRDefault="00BD40C4" w:rsidP="00BD40C4"/>
    <w:p w14:paraId="1F955AE4" w14:textId="77777777" w:rsidR="00BD40C4" w:rsidRDefault="00BD40C4" w:rsidP="00BD40C4">
      <w:r>
        <w:t>In 19.3.19.1 and 21.3.18, change “input levels are measured at the antenna connectors” to “input levels are measured at the antenna connector”.</w:t>
      </w:r>
    </w:p>
    <w:p w14:paraId="3FCCB146" w14:textId="77777777" w:rsidR="00BD40C4" w:rsidRDefault="00BD40C4" w:rsidP="00BD40C4"/>
    <w:p w14:paraId="2AB9991B" w14:textId="77777777" w:rsidR="00BD40C4" w:rsidRDefault="00BD40C4" w:rsidP="00BD40C4">
      <w:r>
        <w:t>In 20.3.3.8 and 24.3.3.8 (two occurrences), change “defined at the antenna connector(s)” to “defined at the antenna connector”.</w:t>
      </w:r>
    </w:p>
    <w:p w14:paraId="2D337002" w14:textId="77777777" w:rsidR="00BD40C4" w:rsidRDefault="00BD40C4" w:rsidP="00BD40C4"/>
    <w:p w14:paraId="295CD658" w14:textId="77777777" w:rsidR="00BD40C4" w:rsidRDefault="00BD40C4" w:rsidP="00BD40C4">
      <w:r>
        <w:t>In Tables 21-1, 22-1 and 23-1, RSSI entry for FORMAT is VHT, change “power observed at the antenna connectors” to “power observed at the antenna connector”.</w:t>
      </w:r>
    </w:p>
    <w:p w14:paraId="6997AABC" w14:textId="77777777" w:rsidR="00BD40C4" w:rsidRPr="001B264E" w:rsidRDefault="00BD40C4" w:rsidP="00BD40C4"/>
    <w:p w14:paraId="7A7DD40C" w14:textId="77777777" w:rsidR="00BD40C4" w:rsidRDefault="00BD40C4" w:rsidP="00BD40C4">
      <w:r>
        <w:br w:type="page"/>
      </w:r>
    </w:p>
    <w:p w14:paraId="092EF560" w14:textId="575B502B" w:rsidR="00620AC3" w:rsidRDefault="00620AC3" w:rsidP="00620AC3"/>
    <w:sectPr w:rsidR="00620AC3" w:rsidSect="009E579C">
      <w:headerReference w:type="default" r:id="rId96"/>
      <w:footerReference w:type="default" r:id="rId97"/>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Hamilton, Mark" w:date="2019-06-28T15:25:00Z" w:initials="HM">
    <w:p w14:paraId="519B3392" w14:textId="7890F4FB" w:rsidR="000F25F3" w:rsidRDefault="000F25F3">
      <w:pPr>
        <w:pStyle w:val="CommentText"/>
      </w:pPr>
      <w:r>
        <w:rPr>
          <w:rStyle w:val="CommentReference"/>
        </w:rPr>
        <w:annotationRef/>
      </w:r>
      <w:r>
        <w:t>Per Ad Hoc Notes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19B339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9B3392" w16cid:durableId="20C0AF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5875D" w14:textId="77777777" w:rsidR="007B1E53" w:rsidRDefault="007B1E53">
      <w:r>
        <w:separator/>
      </w:r>
    </w:p>
  </w:endnote>
  <w:endnote w:type="continuationSeparator" w:id="0">
    <w:p w14:paraId="11AE884D" w14:textId="77777777" w:rsidR="007B1E53" w:rsidRDefault="007B1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
    <w:altName w:val="Cambria"/>
    <w:panose1 w:val="00000000000000000000"/>
    <w:charset w:val="00"/>
    <w:family w:val="roman"/>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843EF78" w:rsidR="000F25F3" w:rsidRDefault="000F25F3"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0F25F3" w:rsidRDefault="000F25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233EB" w14:textId="77777777" w:rsidR="007B1E53" w:rsidRDefault="007B1E53">
      <w:r>
        <w:separator/>
      </w:r>
    </w:p>
  </w:footnote>
  <w:footnote w:type="continuationSeparator" w:id="0">
    <w:p w14:paraId="4684C6FF" w14:textId="77777777" w:rsidR="007B1E53" w:rsidRDefault="007B1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2F785EFC" w:rsidR="000F25F3" w:rsidRDefault="000F25F3" w:rsidP="005942A6">
    <w:pPr>
      <w:pStyle w:val="Header"/>
      <w:tabs>
        <w:tab w:val="clear" w:pos="6480"/>
        <w:tab w:val="center" w:pos="4680"/>
        <w:tab w:val="right" w:pos="9360"/>
      </w:tabs>
    </w:pPr>
    <w:r>
      <w:t>June 2019</w:t>
    </w:r>
    <w:r>
      <w:tab/>
    </w:r>
    <w:r>
      <w:tab/>
    </w:r>
    <w:fldSimple w:instr=" TITLE  \* MERGEFORMAT ">
      <w:r>
        <w:t>doc.: IEEE 802.11-19/0551r</w:t>
      </w:r>
    </w:fldSimple>
    <w: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8"/>
  </w:num>
  <w:num w:numId="3">
    <w:abstractNumId w:val="13"/>
  </w:num>
  <w:num w:numId="4">
    <w:abstractNumId w:val="2"/>
  </w:num>
  <w:num w:numId="5">
    <w:abstractNumId w:val="27"/>
  </w:num>
  <w:num w:numId="6">
    <w:abstractNumId w:val="26"/>
  </w:num>
  <w:num w:numId="7">
    <w:abstractNumId w:val="5"/>
  </w:num>
  <w:num w:numId="8">
    <w:abstractNumId w:val="9"/>
  </w:num>
  <w:num w:numId="9">
    <w:abstractNumId w:val="12"/>
  </w:num>
  <w:num w:numId="10">
    <w:abstractNumId w:val="16"/>
  </w:num>
  <w:num w:numId="11">
    <w:abstractNumId w:val="32"/>
  </w:num>
  <w:num w:numId="12">
    <w:abstractNumId w:val="17"/>
  </w:num>
  <w:num w:numId="13">
    <w:abstractNumId w:val="7"/>
  </w:num>
  <w:num w:numId="14">
    <w:abstractNumId w:val="22"/>
  </w:num>
  <w:num w:numId="15">
    <w:abstractNumId w:val="6"/>
  </w:num>
  <w:num w:numId="16">
    <w:abstractNumId w:val="0"/>
  </w:num>
  <w:num w:numId="17">
    <w:abstractNumId w:val="24"/>
  </w:num>
  <w:num w:numId="18">
    <w:abstractNumId w:val="15"/>
  </w:num>
  <w:num w:numId="19">
    <w:abstractNumId w:val="25"/>
  </w:num>
  <w:num w:numId="20">
    <w:abstractNumId w:val="3"/>
  </w:num>
  <w:num w:numId="21">
    <w:abstractNumId w:val="1"/>
  </w:num>
  <w:num w:numId="22">
    <w:abstractNumId w:val="18"/>
  </w:num>
  <w:num w:numId="23">
    <w:abstractNumId w:val="4"/>
  </w:num>
  <w:num w:numId="24">
    <w:abstractNumId w:val="11"/>
  </w:num>
  <w:num w:numId="25">
    <w:abstractNumId w:val="23"/>
  </w:num>
  <w:num w:numId="26">
    <w:abstractNumId w:val="19"/>
  </w:num>
  <w:num w:numId="27">
    <w:abstractNumId w:val="10"/>
  </w:num>
  <w:num w:numId="28">
    <w:abstractNumId w:val="28"/>
  </w:num>
  <w:num w:numId="29">
    <w:abstractNumId w:val="29"/>
  </w:num>
  <w:num w:numId="30">
    <w:abstractNumId w:val="20"/>
  </w:num>
  <w:num w:numId="31">
    <w:abstractNumId w:val="21"/>
  </w:num>
  <w:num w:numId="32">
    <w:abstractNumId w:val="14"/>
  </w:num>
  <w:num w:numId="33">
    <w:abstractNumId w:val="30"/>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milton, Mark">
    <w15:presenceInfo w15:providerId="AD" w15:userId="S-1-5-21-1830819319-1975652134-394877016-2033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85"/>
    <w:rsid w:val="00016F04"/>
    <w:rsid w:val="00017769"/>
    <w:rsid w:val="00017925"/>
    <w:rsid w:val="00020D5F"/>
    <w:rsid w:val="000214BB"/>
    <w:rsid w:val="00022C73"/>
    <w:rsid w:val="000231A8"/>
    <w:rsid w:val="00025050"/>
    <w:rsid w:val="00025487"/>
    <w:rsid w:val="000265DF"/>
    <w:rsid w:val="00026723"/>
    <w:rsid w:val="00027371"/>
    <w:rsid w:val="00027E34"/>
    <w:rsid w:val="000306AC"/>
    <w:rsid w:val="00032C91"/>
    <w:rsid w:val="00033670"/>
    <w:rsid w:val="00034627"/>
    <w:rsid w:val="00034B66"/>
    <w:rsid w:val="00035626"/>
    <w:rsid w:val="00035DE4"/>
    <w:rsid w:val="000362C7"/>
    <w:rsid w:val="0003707D"/>
    <w:rsid w:val="000371E1"/>
    <w:rsid w:val="0003791B"/>
    <w:rsid w:val="00041166"/>
    <w:rsid w:val="000454AF"/>
    <w:rsid w:val="000460A0"/>
    <w:rsid w:val="000478FF"/>
    <w:rsid w:val="00047AB1"/>
    <w:rsid w:val="000507CE"/>
    <w:rsid w:val="000516ED"/>
    <w:rsid w:val="00051A8F"/>
    <w:rsid w:val="000520D6"/>
    <w:rsid w:val="00054337"/>
    <w:rsid w:val="00054806"/>
    <w:rsid w:val="00054DF0"/>
    <w:rsid w:val="00055862"/>
    <w:rsid w:val="000560E2"/>
    <w:rsid w:val="00056A24"/>
    <w:rsid w:val="00060927"/>
    <w:rsid w:val="00061F9D"/>
    <w:rsid w:val="0006302E"/>
    <w:rsid w:val="000640AE"/>
    <w:rsid w:val="00064B82"/>
    <w:rsid w:val="000660FC"/>
    <w:rsid w:val="00066C64"/>
    <w:rsid w:val="00070BC5"/>
    <w:rsid w:val="00070C53"/>
    <w:rsid w:val="0007105F"/>
    <w:rsid w:val="000717F8"/>
    <w:rsid w:val="00071A03"/>
    <w:rsid w:val="00071C12"/>
    <w:rsid w:val="00071D71"/>
    <w:rsid w:val="000724F5"/>
    <w:rsid w:val="00072E1B"/>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42BC"/>
    <w:rsid w:val="000858EB"/>
    <w:rsid w:val="00086D47"/>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703"/>
    <w:rsid w:val="00097264"/>
    <w:rsid w:val="000978E7"/>
    <w:rsid w:val="000A1BC6"/>
    <w:rsid w:val="000A2C86"/>
    <w:rsid w:val="000A2EC5"/>
    <w:rsid w:val="000A6653"/>
    <w:rsid w:val="000A6728"/>
    <w:rsid w:val="000A7069"/>
    <w:rsid w:val="000A7983"/>
    <w:rsid w:val="000B236F"/>
    <w:rsid w:val="000B5131"/>
    <w:rsid w:val="000B535F"/>
    <w:rsid w:val="000B57A8"/>
    <w:rsid w:val="000B5C4C"/>
    <w:rsid w:val="000C0F6F"/>
    <w:rsid w:val="000C3891"/>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9FD"/>
    <w:rsid w:val="000E5305"/>
    <w:rsid w:val="000E5AB7"/>
    <w:rsid w:val="000E5E26"/>
    <w:rsid w:val="000E5E5A"/>
    <w:rsid w:val="000E683D"/>
    <w:rsid w:val="000E68F8"/>
    <w:rsid w:val="000F0F65"/>
    <w:rsid w:val="000F2320"/>
    <w:rsid w:val="000F25F3"/>
    <w:rsid w:val="000F3724"/>
    <w:rsid w:val="000F430A"/>
    <w:rsid w:val="000F5627"/>
    <w:rsid w:val="000F5E0A"/>
    <w:rsid w:val="000F66F3"/>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34C2"/>
    <w:rsid w:val="00124928"/>
    <w:rsid w:val="001258FE"/>
    <w:rsid w:val="0012607C"/>
    <w:rsid w:val="00127BC6"/>
    <w:rsid w:val="00130070"/>
    <w:rsid w:val="001300A2"/>
    <w:rsid w:val="001306E6"/>
    <w:rsid w:val="001313D5"/>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631EA"/>
    <w:rsid w:val="001640EF"/>
    <w:rsid w:val="001641E4"/>
    <w:rsid w:val="00164628"/>
    <w:rsid w:val="001651E8"/>
    <w:rsid w:val="001658A9"/>
    <w:rsid w:val="00165A10"/>
    <w:rsid w:val="001668A6"/>
    <w:rsid w:val="00166AFB"/>
    <w:rsid w:val="001670D8"/>
    <w:rsid w:val="00167858"/>
    <w:rsid w:val="001678C2"/>
    <w:rsid w:val="00167931"/>
    <w:rsid w:val="001701F5"/>
    <w:rsid w:val="0017056B"/>
    <w:rsid w:val="0017281E"/>
    <w:rsid w:val="00175711"/>
    <w:rsid w:val="001768A2"/>
    <w:rsid w:val="00177BBB"/>
    <w:rsid w:val="00180334"/>
    <w:rsid w:val="00180818"/>
    <w:rsid w:val="001819C3"/>
    <w:rsid w:val="00182A6B"/>
    <w:rsid w:val="00183B75"/>
    <w:rsid w:val="00184584"/>
    <w:rsid w:val="00184F25"/>
    <w:rsid w:val="001861B8"/>
    <w:rsid w:val="00190C49"/>
    <w:rsid w:val="00192BC9"/>
    <w:rsid w:val="00194FBD"/>
    <w:rsid w:val="00195336"/>
    <w:rsid w:val="0019534C"/>
    <w:rsid w:val="00195354"/>
    <w:rsid w:val="00195ED7"/>
    <w:rsid w:val="00197BBD"/>
    <w:rsid w:val="001A09C8"/>
    <w:rsid w:val="001A0CA3"/>
    <w:rsid w:val="001A0FF2"/>
    <w:rsid w:val="001A1D16"/>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6CA9"/>
    <w:rsid w:val="001B741F"/>
    <w:rsid w:val="001B7760"/>
    <w:rsid w:val="001C12A6"/>
    <w:rsid w:val="001C1344"/>
    <w:rsid w:val="001C16A0"/>
    <w:rsid w:val="001C243C"/>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6635"/>
    <w:rsid w:val="001D66B4"/>
    <w:rsid w:val="001D723B"/>
    <w:rsid w:val="001D74A0"/>
    <w:rsid w:val="001D7520"/>
    <w:rsid w:val="001D7865"/>
    <w:rsid w:val="001D78EE"/>
    <w:rsid w:val="001E0BDA"/>
    <w:rsid w:val="001E1F3F"/>
    <w:rsid w:val="001E2B50"/>
    <w:rsid w:val="001E5A63"/>
    <w:rsid w:val="001E612A"/>
    <w:rsid w:val="001E6443"/>
    <w:rsid w:val="001E6957"/>
    <w:rsid w:val="001E7789"/>
    <w:rsid w:val="001E7D05"/>
    <w:rsid w:val="001F00EA"/>
    <w:rsid w:val="001F25DB"/>
    <w:rsid w:val="001F31E4"/>
    <w:rsid w:val="001F4985"/>
    <w:rsid w:val="001F51A6"/>
    <w:rsid w:val="001F568E"/>
    <w:rsid w:val="001F6660"/>
    <w:rsid w:val="001F729B"/>
    <w:rsid w:val="00200D4B"/>
    <w:rsid w:val="00200EB8"/>
    <w:rsid w:val="0020138A"/>
    <w:rsid w:val="00201D7E"/>
    <w:rsid w:val="0020254A"/>
    <w:rsid w:val="002043E4"/>
    <w:rsid w:val="00204E18"/>
    <w:rsid w:val="0020599D"/>
    <w:rsid w:val="002065F2"/>
    <w:rsid w:val="00206618"/>
    <w:rsid w:val="00206A9B"/>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4702"/>
    <w:rsid w:val="0025536B"/>
    <w:rsid w:val="002558FF"/>
    <w:rsid w:val="00255BCA"/>
    <w:rsid w:val="00256B72"/>
    <w:rsid w:val="00256E50"/>
    <w:rsid w:val="00257727"/>
    <w:rsid w:val="00257CD4"/>
    <w:rsid w:val="002600B6"/>
    <w:rsid w:val="00260223"/>
    <w:rsid w:val="00260B6B"/>
    <w:rsid w:val="00260ED3"/>
    <w:rsid w:val="00261EB2"/>
    <w:rsid w:val="00263BE5"/>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D9C"/>
    <w:rsid w:val="002775D0"/>
    <w:rsid w:val="00277834"/>
    <w:rsid w:val="00280BFB"/>
    <w:rsid w:val="00283805"/>
    <w:rsid w:val="002850F5"/>
    <w:rsid w:val="0028626F"/>
    <w:rsid w:val="002864E8"/>
    <w:rsid w:val="0028659D"/>
    <w:rsid w:val="002865C2"/>
    <w:rsid w:val="002866A4"/>
    <w:rsid w:val="0029020B"/>
    <w:rsid w:val="0029241F"/>
    <w:rsid w:val="00294526"/>
    <w:rsid w:val="002946AD"/>
    <w:rsid w:val="00295BFC"/>
    <w:rsid w:val="002960C1"/>
    <w:rsid w:val="00297F97"/>
    <w:rsid w:val="002A0621"/>
    <w:rsid w:val="002A0A4A"/>
    <w:rsid w:val="002A23E9"/>
    <w:rsid w:val="002A3058"/>
    <w:rsid w:val="002A3D66"/>
    <w:rsid w:val="002A4AF5"/>
    <w:rsid w:val="002A5845"/>
    <w:rsid w:val="002A64AB"/>
    <w:rsid w:val="002A690B"/>
    <w:rsid w:val="002A778A"/>
    <w:rsid w:val="002B1C16"/>
    <w:rsid w:val="002B2D6F"/>
    <w:rsid w:val="002B2F4D"/>
    <w:rsid w:val="002B428F"/>
    <w:rsid w:val="002B434A"/>
    <w:rsid w:val="002B4DF9"/>
    <w:rsid w:val="002B588E"/>
    <w:rsid w:val="002B6321"/>
    <w:rsid w:val="002B6E65"/>
    <w:rsid w:val="002C0809"/>
    <w:rsid w:val="002C086C"/>
    <w:rsid w:val="002C1619"/>
    <w:rsid w:val="002C1C40"/>
    <w:rsid w:val="002C1F67"/>
    <w:rsid w:val="002C20C9"/>
    <w:rsid w:val="002C220C"/>
    <w:rsid w:val="002C28D7"/>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3E7C"/>
    <w:rsid w:val="002D3ED9"/>
    <w:rsid w:val="002D44BE"/>
    <w:rsid w:val="002D477A"/>
    <w:rsid w:val="002D4C7D"/>
    <w:rsid w:val="002D4DCB"/>
    <w:rsid w:val="002D6819"/>
    <w:rsid w:val="002D7F02"/>
    <w:rsid w:val="002E0570"/>
    <w:rsid w:val="002E06F0"/>
    <w:rsid w:val="002E08E8"/>
    <w:rsid w:val="002E3CBC"/>
    <w:rsid w:val="002E4744"/>
    <w:rsid w:val="002E4AAF"/>
    <w:rsid w:val="002E55E7"/>
    <w:rsid w:val="002E6C57"/>
    <w:rsid w:val="002E76BE"/>
    <w:rsid w:val="002F1A31"/>
    <w:rsid w:val="002F1F8F"/>
    <w:rsid w:val="002F214F"/>
    <w:rsid w:val="002F2842"/>
    <w:rsid w:val="002F2A5B"/>
    <w:rsid w:val="002F2C45"/>
    <w:rsid w:val="002F3634"/>
    <w:rsid w:val="002F3849"/>
    <w:rsid w:val="002F3996"/>
    <w:rsid w:val="002F3B06"/>
    <w:rsid w:val="002F3CE8"/>
    <w:rsid w:val="002F6CBA"/>
    <w:rsid w:val="002F783F"/>
    <w:rsid w:val="00300F23"/>
    <w:rsid w:val="00301084"/>
    <w:rsid w:val="00302C53"/>
    <w:rsid w:val="0030322B"/>
    <w:rsid w:val="003040F6"/>
    <w:rsid w:val="00304C9C"/>
    <w:rsid w:val="00304F04"/>
    <w:rsid w:val="00305344"/>
    <w:rsid w:val="00311DA6"/>
    <w:rsid w:val="00312CD6"/>
    <w:rsid w:val="00312FE9"/>
    <w:rsid w:val="00313998"/>
    <w:rsid w:val="00313DC6"/>
    <w:rsid w:val="00313DDD"/>
    <w:rsid w:val="00313FFB"/>
    <w:rsid w:val="003159D9"/>
    <w:rsid w:val="003160BC"/>
    <w:rsid w:val="00316787"/>
    <w:rsid w:val="003208AF"/>
    <w:rsid w:val="00320BA5"/>
    <w:rsid w:val="00320C7F"/>
    <w:rsid w:val="003230FB"/>
    <w:rsid w:val="00325000"/>
    <w:rsid w:val="00325B21"/>
    <w:rsid w:val="00325D8E"/>
    <w:rsid w:val="00327A82"/>
    <w:rsid w:val="00327D61"/>
    <w:rsid w:val="00327E9C"/>
    <w:rsid w:val="00330662"/>
    <w:rsid w:val="00330883"/>
    <w:rsid w:val="003312A6"/>
    <w:rsid w:val="00332E9A"/>
    <w:rsid w:val="00333641"/>
    <w:rsid w:val="00333E50"/>
    <w:rsid w:val="00334D3A"/>
    <w:rsid w:val="003357B8"/>
    <w:rsid w:val="00335822"/>
    <w:rsid w:val="00336086"/>
    <w:rsid w:val="00336A40"/>
    <w:rsid w:val="00342441"/>
    <w:rsid w:val="00343D18"/>
    <w:rsid w:val="0034412B"/>
    <w:rsid w:val="00346828"/>
    <w:rsid w:val="00346A6C"/>
    <w:rsid w:val="003507C5"/>
    <w:rsid w:val="00351580"/>
    <w:rsid w:val="00351C11"/>
    <w:rsid w:val="00352422"/>
    <w:rsid w:val="003534BC"/>
    <w:rsid w:val="00353B91"/>
    <w:rsid w:val="003550D2"/>
    <w:rsid w:val="00363A7B"/>
    <w:rsid w:val="00363BD7"/>
    <w:rsid w:val="00364632"/>
    <w:rsid w:val="00364917"/>
    <w:rsid w:val="00364D00"/>
    <w:rsid w:val="003651D2"/>
    <w:rsid w:val="00365635"/>
    <w:rsid w:val="003701C5"/>
    <w:rsid w:val="00370802"/>
    <w:rsid w:val="00370CA2"/>
    <w:rsid w:val="00370D07"/>
    <w:rsid w:val="003721EC"/>
    <w:rsid w:val="00372F0B"/>
    <w:rsid w:val="003739D0"/>
    <w:rsid w:val="00374309"/>
    <w:rsid w:val="003752A1"/>
    <w:rsid w:val="00377940"/>
    <w:rsid w:val="00382211"/>
    <w:rsid w:val="00382603"/>
    <w:rsid w:val="00382B03"/>
    <w:rsid w:val="00382F77"/>
    <w:rsid w:val="00383525"/>
    <w:rsid w:val="0038355C"/>
    <w:rsid w:val="00385189"/>
    <w:rsid w:val="0038543B"/>
    <w:rsid w:val="00385B13"/>
    <w:rsid w:val="00385BD3"/>
    <w:rsid w:val="003873F3"/>
    <w:rsid w:val="00391686"/>
    <w:rsid w:val="00391AEC"/>
    <w:rsid w:val="00392802"/>
    <w:rsid w:val="00393367"/>
    <w:rsid w:val="003933C7"/>
    <w:rsid w:val="00393F3A"/>
    <w:rsid w:val="00394949"/>
    <w:rsid w:val="00395110"/>
    <w:rsid w:val="00395876"/>
    <w:rsid w:val="003979D0"/>
    <w:rsid w:val="003A03AA"/>
    <w:rsid w:val="003A0B8B"/>
    <w:rsid w:val="003A15E1"/>
    <w:rsid w:val="003A1FC7"/>
    <w:rsid w:val="003A283A"/>
    <w:rsid w:val="003A2A87"/>
    <w:rsid w:val="003A2CAF"/>
    <w:rsid w:val="003A3EF9"/>
    <w:rsid w:val="003A54C3"/>
    <w:rsid w:val="003A5854"/>
    <w:rsid w:val="003A5A41"/>
    <w:rsid w:val="003A62F2"/>
    <w:rsid w:val="003B1B6B"/>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B2"/>
    <w:rsid w:val="003C7F5B"/>
    <w:rsid w:val="003D0632"/>
    <w:rsid w:val="003D472D"/>
    <w:rsid w:val="003D47D5"/>
    <w:rsid w:val="003D4DE9"/>
    <w:rsid w:val="003D5563"/>
    <w:rsid w:val="003D5CFD"/>
    <w:rsid w:val="003D6689"/>
    <w:rsid w:val="003D673E"/>
    <w:rsid w:val="003D74D3"/>
    <w:rsid w:val="003D75CA"/>
    <w:rsid w:val="003E02CE"/>
    <w:rsid w:val="003E0DBA"/>
    <w:rsid w:val="003E0EAE"/>
    <w:rsid w:val="003E16DE"/>
    <w:rsid w:val="003E1D9A"/>
    <w:rsid w:val="003E20C9"/>
    <w:rsid w:val="003E20CC"/>
    <w:rsid w:val="003E259D"/>
    <w:rsid w:val="003E3194"/>
    <w:rsid w:val="003E5041"/>
    <w:rsid w:val="003E50EA"/>
    <w:rsid w:val="003E555F"/>
    <w:rsid w:val="003E5D07"/>
    <w:rsid w:val="003E692C"/>
    <w:rsid w:val="003E6F6E"/>
    <w:rsid w:val="003E7E62"/>
    <w:rsid w:val="003F0934"/>
    <w:rsid w:val="003F22BC"/>
    <w:rsid w:val="003F26E3"/>
    <w:rsid w:val="003F2A6F"/>
    <w:rsid w:val="003F3E18"/>
    <w:rsid w:val="003F40AD"/>
    <w:rsid w:val="003F45BA"/>
    <w:rsid w:val="003F4B0A"/>
    <w:rsid w:val="003F4E53"/>
    <w:rsid w:val="003F518A"/>
    <w:rsid w:val="003F6908"/>
    <w:rsid w:val="003F75B5"/>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68A"/>
    <w:rsid w:val="00426736"/>
    <w:rsid w:val="00426CE9"/>
    <w:rsid w:val="004278BF"/>
    <w:rsid w:val="00427C32"/>
    <w:rsid w:val="004303FA"/>
    <w:rsid w:val="00432AFC"/>
    <w:rsid w:val="004333F9"/>
    <w:rsid w:val="00433924"/>
    <w:rsid w:val="00434018"/>
    <w:rsid w:val="004349A6"/>
    <w:rsid w:val="00435046"/>
    <w:rsid w:val="00435DAD"/>
    <w:rsid w:val="00436694"/>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65D6"/>
    <w:rsid w:val="00467855"/>
    <w:rsid w:val="00467DD3"/>
    <w:rsid w:val="00470699"/>
    <w:rsid w:val="00471347"/>
    <w:rsid w:val="004738C6"/>
    <w:rsid w:val="00474BC6"/>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87F"/>
    <w:rsid w:val="004940D6"/>
    <w:rsid w:val="00494F31"/>
    <w:rsid w:val="004956B1"/>
    <w:rsid w:val="00495CAC"/>
    <w:rsid w:val="00496291"/>
    <w:rsid w:val="004964AA"/>
    <w:rsid w:val="00496849"/>
    <w:rsid w:val="004A0FFC"/>
    <w:rsid w:val="004A18AB"/>
    <w:rsid w:val="004A29FD"/>
    <w:rsid w:val="004A2E04"/>
    <w:rsid w:val="004A33F0"/>
    <w:rsid w:val="004A3A67"/>
    <w:rsid w:val="004A46C1"/>
    <w:rsid w:val="004A4E87"/>
    <w:rsid w:val="004A5089"/>
    <w:rsid w:val="004A5556"/>
    <w:rsid w:val="004A6CE9"/>
    <w:rsid w:val="004A7A5B"/>
    <w:rsid w:val="004B064B"/>
    <w:rsid w:val="004B0889"/>
    <w:rsid w:val="004B1139"/>
    <w:rsid w:val="004B2702"/>
    <w:rsid w:val="004B49CA"/>
    <w:rsid w:val="004B518B"/>
    <w:rsid w:val="004B5982"/>
    <w:rsid w:val="004B5EB2"/>
    <w:rsid w:val="004B62A3"/>
    <w:rsid w:val="004B6AB6"/>
    <w:rsid w:val="004B7DA2"/>
    <w:rsid w:val="004C0C52"/>
    <w:rsid w:val="004C1A63"/>
    <w:rsid w:val="004C25F1"/>
    <w:rsid w:val="004C2773"/>
    <w:rsid w:val="004C2DB8"/>
    <w:rsid w:val="004C3650"/>
    <w:rsid w:val="004C3A22"/>
    <w:rsid w:val="004C3BCB"/>
    <w:rsid w:val="004C4C3F"/>
    <w:rsid w:val="004C6C0E"/>
    <w:rsid w:val="004D025F"/>
    <w:rsid w:val="004D02A8"/>
    <w:rsid w:val="004D0823"/>
    <w:rsid w:val="004D1D56"/>
    <w:rsid w:val="004D296B"/>
    <w:rsid w:val="004D35B8"/>
    <w:rsid w:val="004D3E12"/>
    <w:rsid w:val="004D4E94"/>
    <w:rsid w:val="004D64AC"/>
    <w:rsid w:val="004D6887"/>
    <w:rsid w:val="004D7B6F"/>
    <w:rsid w:val="004E06C8"/>
    <w:rsid w:val="004E06DD"/>
    <w:rsid w:val="004E0C50"/>
    <w:rsid w:val="004E2CE4"/>
    <w:rsid w:val="004E2D8D"/>
    <w:rsid w:val="004E2FA8"/>
    <w:rsid w:val="004E31B7"/>
    <w:rsid w:val="004E3A6E"/>
    <w:rsid w:val="004E566F"/>
    <w:rsid w:val="004E5CDE"/>
    <w:rsid w:val="004E653C"/>
    <w:rsid w:val="004E6C28"/>
    <w:rsid w:val="004E73C8"/>
    <w:rsid w:val="004E7EF7"/>
    <w:rsid w:val="004F01BE"/>
    <w:rsid w:val="004F01FA"/>
    <w:rsid w:val="004F166D"/>
    <w:rsid w:val="004F362D"/>
    <w:rsid w:val="004F48DA"/>
    <w:rsid w:val="004F76F9"/>
    <w:rsid w:val="004F7908"/>
    <w:rsid w:val="00500859"/>
    <w:rsid w:val="005020F9"/>
    <w:rsid w:val="0050227F"/>
    <w:rsid w:val="005049C3"/>
    <w:rsid w:val="0050594E"/>
    <w:rsid w:val="00505AE4"/>
    <w:rsid w:val="00506833"/>
    <w:rsid w:val="00507CE8"/>
    <w:rsid w:val="00510EB3"/>
    <w:rsid w:val="00511C50"/>
    <w:rsid w:val="00512470"/>
    <w:rsid w:val="00513352"/>
    <w:rsid w:val="0051352E"/>
    <w:rsid w:val="0051424C"/>
    <w:rsid w:val="00515773"/>
    <w:rsid w:val="0051680A"/>
    <w:rsid w:val="00516A3C"/>
    <w:rsid w:val="00516A9F"/>
    <w:rsid w:val="00517A37"/>
    <w:rsid w:val="00520C43"/>
    <w:rsid w:val="005216B6"/>
    <w:rsid w:val="00522288"/>
    <w:rsid w:val="00524067"/>
    <w:rsid w:val="00524859"/>
    <w:rsid w:val="00524CDB"/>
    <w:rsid w:val="00525465"/>
    <w:rsid w:val="00525F3D"/>
    <w:rsid w:val="005260F9"/>
    <w:rsid w:val="00526C57"/>
    <w:rsid w:val="00527B15"/>
    <w:rsid w:val="00530FAF"/>
    <w:rsid w:val="00531363"/>
    <w:rsid w:val="00531427"/>
    <w:rsid w:val="00531706"/>
    <w:rsid w:val="005346E7"/>
    <w:rsid w:val="00534818"/>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DC3"/>
    <w:rsid w:val="00553129"/>
    <w:rsid w:val="0055320E"/>
    <w:rsid w:val="005537CB"/>
    <w:rsid w:val="00554103"/>
    <w:rsid w:val="005541B3"/>
    <w:rsid w:val="00555A24"/>
    <w:rsid w:val="00555E71"/>
    <w:rsid w:val="00556BF6"/>
    <w:rsid w:val="005573C8"/>
    <w:rsid w:val="00557E3E"/>
    <w:rsid w:val="00560D95"/>
    <w:rsid w:val="00562E43"/>
    <w:rsid w:val="0056390D"/>
    <w:rsid w:val="005661FB"/>
    <w:rsid w:val="00566C4F"/>
    <w:rsid w:val="00566FA2"/>
    <w:rsid w:val="00571388"/>
    <w:rsid w:val="005714B1"/>
    <w:rsid w:val="005718D6"/>
    <w:rsid w:val="00571C4B"/>
    <w:rsid w:val="00573B99"/>
    <w:rsid w:val="005741B0"/>
    <w:rsid w:val="005749CB"/>
    <w:rsid w:val="00574D84"/>
    <w:rsid w:val="00575326"/>
    <w:rsid w:val="00575703"/>
    <w:rsid w:val="00575BB3"/>
    <w:rsid w:val="00576862"/>
    <w:rsid w:val="00576DE9"/>
    <w:rsid w:val="00577046"/>
    <w:rsid w:val="00577620"/>
    <w:rsid w:val="0057788B"/>
    <w:rsid w:val="0058024B"/>
    <w:rsid w:val="00580602"/>
    <w:rsid w:val="00583AA3"/>
    <w:rsid w:val="00583C4B"/>
    <w:rsid w:val="005864BD"/>
    <w:rsid w:val="00587626"/>
    <w:rsid w:val="00590768"/>
    <w:rsid w:val="00591279"/>
    <w:rsid w:val="00592899"/>
    <w:rsid w:val="00593D42"/>
    <w:rsid w:val="005942A6"/>
    <w:rsid w:val="00594E50"/>
    <w:rsid w:val="005959FA"/>
    <w:rsid w:val="00595D61"/>
    <w:rsid w:val="005963F5"/>
    <w:rsid w:val="0059650F"/>
    <w:rsid w:val="00596512"/>
    <w:rsid w:val="005978A1"/>
    <w:rsid w:val="00597D09"/>
    <w:rsid w:val="005A0D99"/>
    <w:rsid w:val="005A11F5"/>
    <w:rsid w:val="005A16CC"/>
    <w:rsid w:val="005A187B"/>
    <w:rsid w:val="005A1C25"/>
    <w:rsid w:val="005A1D50"/>
    <w:rsid w:val="005A2264"/>
    <w:rsid w:val="005A2A4B"/>
    <w:rsid w:val="005A604F"/>
    <w:rsid w:val="005A7CC6"/>
    <w:rsid w:val="005B03D0"/>
    <w:rsid w:val="005B0B6E"/>
    <w:rsid w:val="005B1BCD"/>
    <w:rsid w:val="005B2A4E"/>
    <w:rsid w:val="005B390B"/>
    <w:rsid w:val="005B61CD"/>
    <w:rsid w:val="005B7862"/>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5724"/>
    <w:rsid w:val="005D5D54"/>
    <w:rsid w:val="005D7F41"/>
    <w:rsid w:val="005E1FBE"/>
    <w:rsid w:val="005E2611"/>
    <w:rsid w:val="005E27AA"/>
    <w:rsid w:val="005E3825"/>
    <w:rsid w:val="005E41A9"/>
    <w:rsid w:val="005E4332"/>
    <w:rsid w:val="005E43C2"/>
    <w:rsid w:val="005E4CDE"/>
    <w:rsid w:val="005E5562"/>
    <w:rsid w:val="005E5725"/>
    <w:rsid w:val="005E6664"/>
    <w:rsid w:val="005E7908"/>
    <w:rsid w:val="005E7E8E"/>
    <w:rsid w:val="005F0EB1"/>
    <w:rsid w:val="005F1386"/>
    <w:rsid w:val="005F1CA0"/>
    <w:rsid w:val="005F2066"/>
    <w:rsid w:val="005F34E5"/>
    <w:rsid w:val="005F4164"/>
    <w:rsid w:val="005F4CCB"/>
    <w:rsid w:val="005F50AE"/>
    <w:rsid w:val="005F73CB"/>
    <w:rsid w:val="005F750F"/>
    <w:rsid w:val="005F752F"/>
    <w:rsid w:val="006001A6"/>
    <w:rsid w:val="0060078B"/>
    <w:rsid w:val="00601E6A"/>
    <w:rsid w:val="00601FAD"/>
    <w:rsid w:val="00601FED"/>
    <w:rsid w:val="006020E1"/>
    <w:rsid w:val="0060231B"/>
    <w:rsid w:val="00602B39"/>
    <w:rsid w:val="006031A0"/>
    <w:rsid w:val="00603D1B"/>
    <w:rsid w:val="006041D6"/>
    <w:rsid w:val="006047E1"/>
    <w:rsid w:val="00605868"/>
    <w:rsid w:val="00606166"/>
    <w:rsid w:val="00610AF1"/>
    <w:rsid w:val="00610E62"/>
    <w:rsid w:val="00610F71"/>
    <w:rsid w:val="00612A2A"/>
    <w:rsid w:val="00613B83"/>
    <w:rsid w:val="00614370"/>
    <w:rsid w:val="00614AEC"/>
    <w:rsid w:val="00615190"/>
    <w:rsid w:val="00620AC3"/>
    <w:rsid w:val="00620FBE"/>
    <w:rsid w:val="0062111F"/>
    <w:rsid w:val="006219D8"/>
    <w:rsid w:val="00622013"/>
    <w:rsid w:val="00622BF3"/>
    <w:rsid w:val="0062320C"/>
    <w:rsid w:val="006233B4"/>
    <w:rsid w:val="00623F7C"/>
    <w:rsid w:val="00623FBC"/>
    <w:rsid w:val="0062440B"/>
    <w:rsid w:val="00624817"/>
    <w:rsid w:val="006249BC"/>
    <w:rsid w:val="00625AFD"/>
    <w:rsid w:val="00626891"/>
    <w:rsid w:val="006269AA"/>
    <w:rsid w:val="0062700C"/>
    <w:rsid w:val="006273D0"/>
    <w:rsid w:val="0063039B"/>
    <w:rsid w:val="00630533"/>
    <w:rsid w:val="006318C4"/>
    <w:rsid w:val="006320F2"/>
    <w:rsid w:val="006324AD"/>
    <w:rsid w:val="00633A73"/>
    <w:rsid w:val="00634863"/>
    <w:rsid w:val="0063689B"/>
    <w:rsid w:val="00636FD4"/>
    <w:rsid w:val="00637372"/>
    <w:rsid w:val="00637440"/>
    <w:rsid w:val="006374B3"/>
    <w:rsid w:val="00637AB0"/>
    <w:rsid w:val="006409CA"/>
    <w:rsid w:val="006419B5"/>
    <w:rsid w:val="00642E40"/>
    <w:rsid w:val="00643133"/>
    <w:rsid w:val="006434C4"/>
    <w:rsid w:val="00643C84"/>
    <w:rsid w:val="00644CAD"/>
    <w:rsid w:val="00644D38"/>
    <w:rsid w:val="00646D34"/>
    <w:rsid w:val="006470C1"/>
    <w:rsid w:val="006478DE"/>
    <w:rsid w:val="00647C0F"/>
    <w:rsid w:val="0065099A"/>
    <w:rsid w:val="0065177F"/>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5FA0"/>
    <w:rsid w:val="00666A07"/>
    <w:rsid w:val="00666A21"/>
    <w:rsid w:val="00666DDA"/>
    <w:rsid w:val="00667D36"/>
    <w:rsid w:val="00667E7E"/>
    <w:rsid w:val="00670449"/>
    <w:rsid w:val="006705DF"/>
    <w:rsid w:val="00671BB5"/>
    <w:rsid w:val="00672620"/>
    <w:rsid w:val="00674F4E"/>
    <w:rsid w:val="006751FF"/>
    <w:rsid w:val="006757CF"/>
    <w:rsid w:val="00675E47"/>
    <w:rsid w:val="00680482"/>
    <w:rsid w:val="00680F5E"/>
    <w:rsid w:val="00681A75"/>
    <w:rsid w:val="006832AA"/>
    <w:rsid w:val="00684645"/>
    <w:rsid w:val="00684955"/>
    <w:rsid w:val="00684E99"/>
    <w:rsid w:val="00684EC0"/>
    <w:rsid w:val="00686695"/>
    <w:rsid w:val="00686BDA"/>
    <w:rsid w:val="00690A23"/>
    <w:rsid w:val="00690E68"/>
    <w:rsid w:val="006918DA"/>
    <w:rsid w:val="00692C5F"/>
    <w:rsid w:val="0069411F"/>
    <w:rsid w:val="006959C0"/>
    <w:rsid w:val="00696254"/>
    <w:rsid w:val="0069798C"/>
    <w:rsid w:val="006A12B0"/>
    <w:rsid w:val="006A139D"/>
    <w:rsid w:val="006A1429"/>
    <w:rsid w:val="006A1F15"/>
    <w:rsid w:val="006A3791"/>
    <w:rsid w:val="006A3907"/>
    <w:rsid w:val="006A45C7"/>
    <w:rsid w:val="006A4D0A"/>
    <w:rsid w:val="006A5204"/>
    <w:rsid w:val="006A54A7"/>
    <w:rsid w:val="006A5D1A"/>
    <w:rsid w:val="006A624C"/>
    <w:rsid w:val="006A684D"/>
    <w:rsid w:val="006A71B8"/>
    <w:rsid w:val="006B038F"/>
    <w:rsid w:val="006B2183"/>
    <w:rsid w:val="006B3BD4"/>
    <w:rsid w:val="006B3FC4"/>
    <w:rsid w:val="006B45A9"/>
    <w:rsid w:val="006B48A4"/>
    <w:rsid w:val="006B536C"/>
    <w:rsid w:val="006B55A2"/>
    <w:rsid w:val="006B643A"/>
    <w:rsid w:val="006B7EC3"/>
    <w:rsid w:val="006C0727"/>
    <w:rsid w:val="006C0D8E"/>
    <w:rsid w:val="006C20C2"/>
    <w:rsid w:val="006C3C55"/>
    <w:rsid w:val="006C720F"/>
    <w:rsid w:val="006C74BC"/>
    <w:rsid w:val="006C78F5"/>
    <w:rsid w:val="006D0350"/>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7E6"/>
    <w:rsid w:val="0070053C"/>
    <w:rsid w:val="00701E0C"/>
    <w:rsid w:val="00701E88"/>
    <w:rsid w:val="0070202C"/>
    <w:rsid w:val="00703002"/>
    <w:rsid w:val="00704B57"/>
    <w:rsid w:val="00705F3C"/>
    <w:rsid w:val="00706132"/>
    <w:rsid w:val="007064E7"/>
    <w:rsid w:val="00707EA7"/>
    <w:rsid w:val="00710263"/>
    <w:rsid w:val="0071026D"/>
    <w:rsid w:val="0071159D"/>
    <w:rsid w:val="007116E9"/>
    <w:rsid w:val="00711B56"/>
    <w:rsid w:val="007127E2"/>
    <w:rsid w:val="00713D0D"/>
    <w:rsid w:val="00715FE6"/>
    <w:rsid w:val="007164E1"/>
    <w:rsid w:val="0071661E"/>
    <w:rsid w:val="00717B0D"/>
    <w:rsid w:val="00717D24"/>
    <w:rsid w:val="00720830"/>
    <w:rsid w:val="00720FAE"/>
    <w:rsid w:val="00722252"/>
    <w:rsid w:val="00722282"/>
    <w:rsid w:val="00723F92"/>
    <w:rsid w:val="00724AD3"/>
    <w:rsid w:val="00724FA8"/>
    <w:rsid w:val="0072537E"/>
    <w:rsid w:val="00725D0D"/>
    <w:rsid w:val="007262A1"/>
    <w:rsid w:val="007275EA"/>
    <w:rsid w:val="00727815"/>
    <w:rsid w:val="00727884"/>
    <w:rsid w:val="007300A1"/>
    <w:rsid w:val="007306AC"/>
    <w:rsid w:val="00730871"/>
    <w:rsid w:val="00731E82"/>
    <w:rsid w:val="00733155"/>
    <w:rsid w:val="00733377"/>
    <w:rsid w:val="00734781"/>
    <w:rsid w:val="00735926"/>
    <w:rsid w:val="007360E7"/>
    <w:rsid w:val="00737870"/>
    <w:rsid w:val="00737E2B"/>
    <w:rsid w:val="0074016E"/>
    <w:rsid w:val="00740489"/>
    <w:rsid w:val="00743157"/>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71A0"/>
    <w:rsid w:val="00757BB7"/>
    <w:rsid w:val="00757D45"/>
    <w:rsid w:val="007607C8"/>
    <w:rsid w:val="00760E1E"/>
    <w:rsid w:val="00760FD8"/>
    <w:rsid w:val="0076175F"/>
    <w:rsid w:val="00763B19"/>
    <w:rsid w:val="00763CDF"/>
    <w:rsid w:val="0076495B"/>
    <w:rsid w:val="00764EE4"/>
    <w:rsid w:val="00766435"/>
    <w:rsid w:val="00766C52"/>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7C2"/>
    <w:rsid w:val="00783DF0"/>
    <w:rsid w:val="007849AB"/>
    <w:rsid w:val="00784C52"/>
    <w:rsid w:val="0078506D"/>
    <w:rsid w:val="00785281"/>
    <w:rsid w:val="00785D2A"/>
    <w:rsid w:val="00786B14"/>
    <w:rsid w:val="007903E7"/>
    <w:rsid w:val="00790A4B"/>
    <w:rsid w:val="00790B96"/>
    <w:rsid w:val="007912B3"/>
    <w:rsid w:val="007926C9"/>
    <w:rsid w:val="00792B67"/>
    <w:rsid w:val="00794DCE"/>
    <w:rsid w:val="00795BB3"/>
    <w:rsid w:val="00795C65"/>
    <w:rsid w:val="0079721C"/>
    <w:rsid w:val="00797D5C"/>
    <w:rsid w:val="007A0F4C"/>
    <w:rsid w:val="007A15C8"/>
    <w:rsid w:val="007A24D5"/>
    <w:rsid w:val="007A29A7"/>
    <w:rsid w:val="007A38EA"/>
    <w:rsid w:val="007A4E0C"/>
    <w:rsid w:val="007A52B5"/>
    <w:rsid w:val="007A53C9"/>
    <w:rsid w:val="007A55AD"/>
    <w:rsid w:val="007A6701"/>
    <w:rsid w:val="007A686F"/>
    <w:rsid w:val="007A69E5"/>
    <w:rsid w:val="007B0F1A"/>
    <w:rsid w:val="007B1713"/>
    <w:rsid w:val="007B1E53"/>
    <w:rsid w:val="007B256C"/>
    <w:rsid w:val="007B4C46"/>
    <w:rsid w:val="007B5C46"/>
    <w:rsid w:val="007B66AB"/>
    <w:rsid w:val="007B6CCA"/>
    <w:rsid w:val="007C0DFA"/>
    <w:rsid w:val="007C1D02"/>
    <w:rsid w:val="007C2845"/>
    <w:rsid w:val="007C2CEF"/>
    <w:rsid w:val="007C34ED"/>
    <w:rsid w:val="007C561B"/>
    <w:rsid w:val="007C5878"/>
    <w:rsid w:val="007C5EA4"/>
    <w:rsid w:val="007C643C"/>
    <w:rsid w:val="007C69B8"/>
    <w:rsid w:val="007C6FDF"/>
    <w:rsid w:val="007D0007"/>
    <w:rsid w:val="007D03E1"/>
    <w:rsid w:val="007D0B9B"/>
    <w:rsid w:val="007D13F2"/>
    <w:rsid w:val="007D28E2"/>
    <w:rsid w:val="007D2C82"/>
    <w:rsid w:val="007D4B62"/>
    <w:rsid w:val="007D4C55"/>
    <w:rsid w:val="007D58CD"/>
    <w:rsid w:val="007D620F"/>
    <w:rsid w:val="007E0074"/>
    <w:rsid w:val="007E1F37"/>
    <w:rsid w:val="007E23E3"/>
    <w:rsid w:val="007E3C9C"/>
    <w:rsid w:val="007E3FA2"/>
    <w:rsid w:val="007E49E3"/>
    <w:rsid w:val="007E665F"/>
    <w:rsid w:val="007E7338"/>
    <w:rsid w:val="007E75AC"/>
    <w:rsid w:val="007E75BF"/>
    <w:rsid w:val="007E7E75"/>
    <w:rsid w:val="007F072E"/>
    <w:rsid w:val="007F0830"/>
    <w:rsid w:val="007F1876"/>
    <w:rsid w:val="007F1A08"/>
    <w:rsid w:val="007F1A8C"/>
    <w:rsid w:val="007F1CF7"/>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F78"/>
    <w:rsid w:val="008201C3"/>
    <w:rsid w:val="00820D51"/>
    <w:rsid w:val="00822F64"/>
    <w:rsid w:val="00822F9D"/>
    <w:rsid w:val="008231B1"/>
    <w:rsid w:val="008242CC"/>
    <w:rsid w:val="00824D1D"/>
    <w:rsid w:val="008250B2"/>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CBC"/>
    <w:rsid w:val="00836043"/>
    <w:rsid w:val="00836F42"/>
    <w:rsid w:val="008400CD"/>
    <w:rsid w:val="0084094B"/>
    <w:rsid w:val="0084293E"/>
    <w:rsid w:val="00842E84"/>
    <w:rsid w:val="008432D7"/>
    <w:rsid w:val="00843ED2"/>
    <w:rsid w:val="00843FD7"/>
    <w:rsid w:val="00844A9D"/>
    <w:rsid w:val="00845FF2"/>
    <w:rsid w:val="00846267"/>
    <w:rsid w:val="008470DD"/>
    <w:rsid w:val="0084737D"/>
    <w:rsid w:val="00847403"/>
    <w:rsid w:val="0084797F"/>
    <w:rsid w:val="00847D9A"/>
    <w:rsid w:val="008513C3"/>
    <w:rsid w:val="00852902"/>
    <w:rsid w:val="00855123"/>
    <w:rsid w:val="008559EC"/>
    <w:rsid w:val="00860E14"/>
    <w:rsid w:val="00861114"/>
    <w:rsid w:val="008624BD"/>
    <w:rsid w:val="0086448F"/>
    <w:rsid w:val="00864877"/>
    <w:rsid w:val="00865409"/>
    <w:rsid w:val="0086581A"/>
    <w:rsid w:val="00865FE5"/>
    <w:rsid w:val="0086789D"/>
    <w:rsid w:val="008679BB"/>
    <w:rsid w:val="008715E6"/>
    <w:rsid w:val="0087181E"/>
    <w:rsid w:val="00872007"/>
    <w:rsid w:val="008737F5"/>
    <w:rsid w:val="00874924"/>
    <w:rsid w:val="00874978"/>
    <w:rsid w:val="00874EC1"/>
    <w:rsid w:val="00876B8B"/>
    <w:rsid w:val="0087707D"/>
    <w:rsid w:val="0088017E"/>
    <w:rsid w:val="00880A5C"/>
    <w:rsid w:val="00881054"/>
    <w:rsid w:val="00882C64"/>
    <w:rsid w:val="00883EEA"/>
    <w:rsid w:val="00884341"/>
    <w:rsid w:val="00884A78"/>
    <w:rsid w:val="00885132"/>
    <w:rsid w:val="00885434"/>
    <w:rsid w:val="00890FE0"/>
    <w:rsid w:val="0089105B"/>
    <w:rsid w:val="008921D2"/>
    <w:rsid w:val="00893E8B"/>
    <w:rsid w:val="00893FF8"/>
    <w:rsid w:val="0089409C"/>
    <w:rsid w:val="00894852"/>
    <w:rsid w:val="008963B1"/>
    <w:rsid w:val="00896BBF"/>
    <w:rsid w:val="00896CEB"/>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5CB9"/>
    <w:rsid w:val="008C5FD6"/>
    <w:rsid w:val="008D0DF6"/>
    <w:rsid w:val="008D14A2"/>
    <w:rsid w:val="008D2CEC"/>
    <w:rsid w:val="008D2E98"/>
    <w:rsid w:val="008D3B9A"/>
    <w:rsid w:val="008D593B"/>
    <w:rsid w:val="008D69C4"/>
    <w:rsid w:val="008D6B47"/>
    <w:rsid w:val="008D7075"/>
    <w:rsid w:val="008E03A3"/>
    <w:rsid w:val="008E0DE0"/>
    <w:rsid w:val="008E0EB6"/>
    <w:rsid w:val="008E2FEF"/>
    <w:rsid w:val="008E333F"/>
    <w:rsid w:val="008E38D3"/>
    <w:rsid w:val="008E3DD0"/>
    <w:rsid w:val="008E3F49"/>
    <w:rsid w:val="008E3F91"/>
    <w:rsid w:val="008E4764"/>
    <w:rsid w:val="008E48C1"/>
    <w:rsid w:val="008E4C94"/>
    <w:rsid w:val="008E52F9"/>
    <w:rsid w:val="008E553E"/>
    <w:rsid w:val="008E55C9"/>
    <w:rsid w:val="008E580D"/>
    <w:rsid w:val="008E5842"/>
    <w:rsid w:val="008E74C6"/>
    <w:rsid w:val="008E768C"/>
    <w:rsid w:val="008F1204"/>
    <w:rsid w:val="008F1CD8"/>
    <w:rsid w:val="008F35A7"/>
    <w:rsid w:val="008F3CB5"/>
    <w:rsid w:val="008F4031"/>
    <w:rsid w:val="008F4594"/>
    <w:rsid w:val="008F4615"/>
    <w:rsid w:val="008F70F0"/>
    <w:rsid w:val="008F72C1"/>
    <w:rsid w:val="009022EF"/>
    <w:rsid w:val="009046BB"/>
    <w:rsid w:val="00904BA8"/>
    <w:rsid w:val="00904E12"/>
    <w:rsid w:val="00905DF3"/>
    <w:rsid w:val="0090643A"/>
    <w:rsid w:val="00906918"/>
    <w:rsid w:val="00907291"/>
    <w:rsid w:val="009079A6"/>
    <w:rsid w:val="0091008D"/>
    <w:rsid w:val="0091182C"/>
    <w:rsid w:val="009124C8"/>
    <w:rsid w:val="009127AC"/>
    <w:rsid w:val="009138B4"/>
    <w:rsid w:val="009144B2"/>
    <w:rsid w:val="0091559D"/>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30E52"/>
    <w:rsid w:val="0093100C"/>
    <w:rsid w:val="00931B71"/>
    <w:rsid w:val="009327C3"/>
    <w:rsid w:val="00933615"/>
    <w:rsid w:val="009341A7"/>
    <w:rsid w:val="009347FD"/>
    <w:rsid w:val="00942DAD"/>
    <w:rsid w:val="00943FE1"/>
    <w:rsid w:val="00947752"/>
    <w:rsid w:val="009502A3"/>
    <w:rsid w:val="00950569"/>
    <w:rsid w:val="00950D9E"/>
    <w:rsid w:val="009519A2"/>
    <w:rsid w:val="00951B52"/>
    <w:rsid w:val="009525B2"/>
    <w:rsid w:val="00954254"/>
    <w:rsid w:val="00954AA1"/>
    <w:rsid w:val="00956112"/>
    <w:rsid w:val="00956FFF"/>
    <w:rsid w:val="00957611"/>
    <w:rsid w:val="00961224"/>
    <w:rsid w:val="009618CC"/>
    <w:rsid w:val="009621B8"/>
    <w:rsid w:val="009628F4"/>
    <w:rsid w:val="0096396C"/>
    <w:rsid w:val="0096499D"/>
    <w:rsid w:val="00965339"/>
    <w:rsid w:val="009678D6"/>
    <w:rsid w:val="00970446"/>
    <w:rsid w:val="009713FA"/>
    <w:rsid w:val="00971699"/>
    <w:rsid w:val="009719D5"/>
    <w:rsid w:val="00971BF1"/>
    <w:rsid w:val="00972FB9"/>
    <w:rsid w:val="009735DD"/>
    <w:rsid w:val="00973E07"/>
    <w:rsid w:val="00974B9F"/>
    <w:rsid w:val="0097683E"/>
    <w:rsid w:val="00977198"/>
    <w:rsid w:val="009777ED"/>
    <w:rsid w:val="00980B01"/>
    <w:rsid w:val="00980C43"/>
    <w:rsid w:val="00980F1D"/>
    <w:rsid w:val="00983905"/>
    <w:rsid w:val="00984254"/>
    <w:rsid w:val="00984D91"/>
    <w:rsid w:val="009865BA"/>
    <w:rsid w:val="0098669A"/>
    <w:rsid w:val="00987023"/>
    <w:rsid w:val="00987E77"/>
    <w:rsid w:val="00990EC9"/>
    <w:rsid w:val="0099109F"/>
    <w:rsid w:val="0099201D"/>
    <w:rsid w:val="009929C6"/>
    <w:rsid w:val="00993563"/>
    <w:rsid w:val="009939A4"/>
    <w:rsid w:val="00993C48"/>
    <w:rsid w:val="0099484D"/>
    <w:rsid w:val="009965C8"/>
    <w:rsid w:val="00996BE5"/>
    <w:rsid w:val="009A04FA"/>
    <w:rsid w:val="009A2D7C"/>
    <w:rsid w:val="009A3913"/>
    <w:rsid w:val="009A477C"/>
    <w:rsid w:val="009A4C66"/>
    <w:rsid w:val="009A4EC1"/>
    <w:rsid w:val="009A4F34"/>
    <w:rsid w:val="009A5789"/>
    <w:rsid w:val="009A5866"/>
    <w:rsid w:val="009A60BD"/>
    <w:rsid w:val="009A6A3F"/>
    <w:rsid w:val="009A6BC1"/>
    <w:rsid w:val="009A7063"/>
    <w:rsid w:val="009B0C66"/>
    <w:rsid w:val="009B1341"/>
    <w:rsid w:val="009B1D0B"/>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7252"/>
    <w:rsid w:val="009C73A1"/>
    <w:rsid w:val="009D02D8"/>
    <w:rsid w:val="009D2227"/>
    <w:rsid w:val="009D3191"/>
    <w:rsid w:val="009D47AC"/>
    <w:rsid w:val="009D4C0B"/>
    <w:rsid w:val="009D4C85"/>
    <w:rsid w:val="009D6B67"/>
    <w:rsid w:val="009E2D17"/>
    <w:rsid w:val="009E4004"/>
    <w:rsid w:val="009E4007"/>
    <w:rsid w:val="009E5030"/>
    <w:rsid w:val="009E579C"/>
    <w:rsid w:val="009E5A6D"/>
    <w:rsid w:val="009E5AF6"/>
    <w:rsid w:val="009E6973"/>
    <w:rsid w:val="009E6AE9"/>
    <w:rsid w:val="009E6ECA"/>
    <w:rsid w:val="009F0B43"/>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694C"/>
    <w:rsid w:val="00A171DD"/>
    <w:rsid w:val="00A175B0"/>
    <w:rsid w:val="00A215C9"/>
    <w:rsid w:val="00A216DB"/>
    <w:rsid w:val="00A22B29"/>
    <w:rsid w:val="00A22B81"/>
    <w:rsid w:val="00A233ED"/>
    <w:rsid w:val="00A23475"/>
    <w:rsid w:val="00A25670"/>
    <w:rsid w:val="00A25A37"/>
    <w:rsid w:val="00A26284"/>
    <w:rsid w:val="00A26341"/>
    <w:rsid w:val="00A26A60"/>
    <w:rsid w:val="00A27DE8"/>
    <w:rsid w:val="00A27E54"/>
    <w:rsid w:val="00A30407"/>
    <w:rsid w:val="00A317B8"/>
    <w:rsid w:val="00A31B9C"/>
    <w:rsid w:val="00A320B7"/>
    <w:rsid w:val="00A341D5"/>
    <w:rsid w:val="00A352D0"/>
    <w:rsid w:val="00A3546A"/>
    <w:rsid w:val="00A35DC9"/>
    <w:rsid w:val="00A36020"/>
    <w:rsid w:val="00A37D56"/>
    <w:rsid w:val="00A4172F"/>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4741"/>
    <w:rsid w:val="00A64916"/>
    <w:rsid w:val="00A64B25"/>
    <w:rsid w:val="00A64DAE"/>
    <w:rsid w:val="00A65B45"/>
    <w:rsid w:val="00A66785"/>
    <w:rsid w:val="00A66941"/>
    <w:rsid w:val="00A70F57"/>
    <w:rsid w:val="00A732B7"/>
    <w:rsid w:val="00A760BC"/>
    <w:rsid w:val="00A76B79"/>
    <w:rsid w:val="00A76C52"/>
    <w:rsid w:val="00A76D83"/>
    <w:rsid w:val="00A77188"/>
    <w:rsid w:val="00A774A4"/>
    <w:rsid w:val="00A803EC"/>
    <w:rsid w:val="00A82545"/>
    <w:rsid w:val="00A836BE"/>
    <w:rsid w:val="00A83747"/>
    <w:rsid w:val="00A84233"/>
    <w:rsid w:val="00A846F2"/>
    <w:rsid w:val="00A847C7"/>
    <w:rsid w:val="00A84979"/>
    <w:rsid w:val="00A8780A"/>
    <w:rsid w:val="00A87E33"/>
    <w:rsid w:val="00A904B9"/>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874"/>
    <w:rsid w:val="00AA5ACF"/>
    <w:rsid w:val="00AA6174"/>
    <w:rsid w:val="00AA695D"/>
    <w:rsid w:val="00AA71CC"/>
    <w:rsid w:val="00AB069B"/>
    <w:rsid w:val="00AB1BDA"/>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71A6"/>
    <w:rsid w:val="00AC765A"/>
    <w:rsid w:val="00AD0006"/>
    <w:rsid w:val="00AD005F"/>
    <w:rsid w:val="00AD0646"/>
    <w:rsid w:val="00AD0E63"/>
    <w:rsid w:val="00AD1BC5"/>
    <w:rsid w:val="00AD1CE4"/>
    <w:rsid w:val="00AD1E6B"/>
    <w:rsid w:val="00AD276B"/>
    <w:rsid w:val="00AD2E82"/>
    <w:rsid w:val="00AD4178"/>
    <w:rsid w:val="00AD4BDE"/>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16BA8"/>
    <w:rsid w:val="00B20510"/>
    <w:rsid w:val="00B211AC"/>
    <w:rsid w:val="00B21ACD"/>
    <w:rsid w:val="00B22947"/>
    <w:rsid w:val="00B23FCF"/>
    <w:rsid w:val="00B24E59"/>
    <w:rsid w:val="00B257C0"/>
    <w:rsid w:val="00B257C3"/>
    <w:rsid w:val="00B26EF3"/>
    <w:rsid w:val="00B30BCC"/>
    <w:rsid w:val="00B314DE"/>
    <w:rsid w:val="00B34734"/>
    <w:rsid w:val="00B35ADB"/>
    <w:rsid w:val="00B36A92"/>
    <w:rsid w:val="00B3759B"/>
    <w:rsid w:val="00B37F09"/>
    <w:rsid w:val="00B407F8"/>
    <w:rsid w:val="00B40B45"/>
    <w:rsid w:val="00B40FFC"/>
    <w:rsid w:val="00B4120D"/>
    <w:rsid w:val="00B41299"/>
    <w:rsid w:val="00B41C7F"/>
    <w:rsid w:val="00B44896"/>
    <w:rsid w:val="00B459B8"/>
    <w:rsid w:val="00B46AA0"/>
    <w:rsid w:val="00B47DA9"/>
    <w:rsid w:val="00B5008E"/>
    <w:rsid w:val="00B50964"/>
    <w:rsid w:val="00B509E4"/>
    <w:rsid w:val="00B51A39"/>
    <w:rsid w:val="00B527CC"/>
    <w:rsid w:val="00B5334C"/>
    <w:rsid w:val="00B53573"/>
    <w:rsid w:val="00B56746"/>
    <w:rsid w:val="00B57758"/>
    <w:rsid w:val="00B57A3C"/>
    <w:rsid w:val="00B61874"/>
    <w:rsid w:val="00B62B56"/>
    <w:rsid w:val="00B6320F"/>
    <w:rsid w:val="00B63666"/>
    <w:rsid w:val="00B63751"/>
    <w:rsid w:val="00B64417"/>
    <w:rsid w:val="00B648AB"/>
    <w:rsid w:val="00B66045"/>
    <w:rsid w:val="00B674FD"/>
    <w:rsid w:val="00B6765C"/>
    <w:rsid w:val="00B70501"/>
    <w:rsid w:val="00B71846"/>
    <w:rsid w:val="00B733B0"/>
    <w:rsid w:val="00B73EE6"/>
    <w:rsid w:val="00B74B21"/>
    <w:rsid w:val="00B76F52"/>
    <w:rsid w:val="00B77303"/>
    <w:rsid w:val="00B77CA0"/>
    <w:rsid w:val="00B77FEE"/>
    <w:rsid w:val="00B8028D"/>
    <w:rsid w:val="00B80FDD"/>
    <w:rsid w:val="00B817C9"/>
    <w:rsid w:val="00B817DD"/>
    <w:rsid w:val="00B81D43"/>
    <w:rsid w:val="00B826F3"/>
    <w:rsid w:val="00B82C71"/>
    <w:rsid w:val="00B83A6D"/>
    <w:rsid w:val="00B84D93"/>
    <w:rsid w:val="00B84F60"/>
    <w:rsid w:val="00B85269"/>
    <w:rsid w:val="00B85E46"/>
    <w:rsid w:val="00B9068B"/>
    <w:rsid w:val="00B9133A"/>
    <w:rsid w:val="00B9145F"/>
    <w:rsid w:val="00B921FA"/>
    <w:rsid w:val="00B925C8"/>
    <w:rsid w:val="00B93718"/>
    <w:rsid w:val="00B93960"/>
    <w:rsid w:val="00B93D2D"/>
    <w:rsid w:val="00B95072"/>
    <w:rsid w:val="00B97127"/>
    <w:rsid w:val="00B97D88"/>
    <w:rsid w:val="00BA1BA2"/>
    <w:rsid w:val="00BA1DA3"/>
    <w:rsid w:val="00BA2853"/>
    <w:rsid w:val="00BA31EC"/>
    <w:rsid w:val="00BA3E02"/>
    <w:rsid w:val="00BA3F59"/>
    <w:rsid w:val="00BA517F"/>
    <w:rsid w:val="00BA5ECA"/>
    <w:rsid w:val="00BA65E4"/>
    <w:rsid w:val="00BA71CC"/>
    <w:rsid w:val="00BA75F7"/>
    <w:rsid w:val="00BB1833"/>
    <w:rsid w:val="00BB1BDA"/>
    <w:rsid w:val="00BB23CE"/>
    <w:rsid w:val="00BB271D"/>
    <w:rsid w:val="00BB2B0F"/>
    <w:rsid w:val="00BB36D3"/>
    <w:rsid w:val="00BB38B9"/>
    <w:rsid w:val="00BB4DDD"/>
    <w:rsid w:val="00BB4F8A"/>
    <w:rsid w:val="00BB62F7"/>
    <w:rsid w:val="00BB67AB"/>
    <w:rsid w:val="00BB6A55"/>
    <w:rsid w:val="00BB734C"/>
    <w:rsid w:val="00BB7AFF"/>
    <w:rsid w:val="00BC00A6"/>
    <w:rsid w:val="00BC03F8"/>
    <w:rsid w:val="00BC1176"/>
    <w:rsid w:val="00BC20EE"/>
    <w:rsid w:val="00BC2CE8"/>
    <w:rsid w:val="00BC38B4"/>
    <w:rsid w:val="00BC7255"/>
    <w:rsid w:val="00BD18E6"/>
    <w:rsid w:val="00BD30FA"/>
    <w:rsid w:val="00BD32E4"/>
    <w:rsid w:val="00BD35DF"/>
    <w:rsid w:val="00BD3DB3"/>
    <w:rsid w:val="00BD40C4"/>
    <w:rsid w:val="00BD7161"/>
    <w:rsid w:val="00BD772F"/>
    <w:rsid w:val="00BD79DE"/>
    <w:rsid w:val="00BE0507"/>
    <w:rsid w:val="00BE0CF0"/>
    <w:rsid w:val="00BE0E39"/>
    <w:rsid w:val="00BE186E"/>
    <w:rsid w:val="00BE195C"/>
    <w:rsid w:val="00BE1CA1"/>
    <w:rsid w:val="00BE1FB5"/>
    <w:rsid w:val="00BE3105"/>
    <w:rsid w:val="00BE3CD2"/>
    <w:rsid w:val="00BE4644"/>
    <w:rsid w:val="00BE5EF3"/>
    <w:rsid w:val="00BE5F8A"/>
    <w:rsid w:val="00BE68C2"/>
    <w:rsid w:val="00BF0B75"/>
    <w:rsid w:val="00BF1A8A"/>
    <w:rsid w:val="00BF1FF0"/>
    <w:rsid w:val="00BF27AA"/>
    <w:rsid w:val="00BF29B9"/>
    <w:rsid w:val="00BF2C5D"/>
    <w:rsid w:val="00BF3998"/>
    <w:rsid w:val="00BF51F0"/>
    <w:rsid w:val="00BF6F77"/>
    <w:rsid w:val="00BF77A7"/>
    <w:rsid w:val="00BF79AA"/>
    <w:rsid w:val="00C00455"/>
    <w:rsid w:val="00C00746"/>
    <w:rsid w:val="00C0158B"/>
    <w:rsid w:val="00C018C0"/>
    <w:rsid w:val="00C02E0A"/>
    <w:rsid w:val="00C0422C"/>
    <w:rsid w:val="00C048EB"/>
    <w:rsid w:val="00C04C09"/>
    <w:rsid w:val="00C04EE8"/>
    <w:rsid w:val="00C0535A"/>
    <w:rsid w:val="00C075E2"/>
    <w:rsid w:val="00C11597"/>
    <w:rsid w:val="00C1181E"/>
    <w:rsid w:val="00C1183B"/>
    <w:rsid w:val="00C12346"/>
    <w:rsid w:val="00C12C78"/>
    <w:rsid w:val="00C12CAD"/>
    <w:rsid w:val="00C138ED"/>
    <w:rsid w:val="00C147D0"/>
    <w:rsid w:val="00C14AF5"/>
    <w:rsid w:val="00C156BB"/>
    <w:rsid w:val="00C16508"/>
    <w:rsid w:val="00C165C5"/>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303E2"/>
    <w:rsid w:val="00C30802"/>
    <w:rsid w:val="00C309C5"/>
    <w:rsid w:val="00C317DA"/>
    <w:rsid w:val="00C31B00"/>
    <w:rsid w:val="00C32412"/>
    <w:rsid w:val="00C3283B"/>
    <w:rsid w:val="00C33A75"/>
    <w:rsid w:val="00C407F5"/>
    <w:rsid w:val="00C40BDD"/>
    <w:rsid w:val="00C418DB"/>
    <w:rsid w:val="00C4322D"/>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5757"/>
    <w:rsid w:val="00C6589E"/>
    <w:rsid w:val="00C662D4"/>
    <w:rsid w:val="00C67A30"/>
    <w:rsid w:val="00C67A47"/>
    <w:rsid w:val="00C706A0"/>
    <w:rsid w:val="00C70E4A"/>
    <w:rsid w:val="00C716D9"/>
    <w:rsid w:val="00C71AAA"/>
    <w:rsid w:val="00C71B57"/>
    <w:rsid w:val="00C73CD5"/>
    <w:rsid w:val="00C75EF4"/>
    <w:rsid w:val="00C7775E"/>
    <w:rsid w:val="00C80333"/>
    <w:rsid w:val="00C80609"/>
    <w:rsid w:val="00C808FB"/>
    <w:rsid w:val="00C8287B"/>
    <w:rsid w:val="00C836B0"/>
    <w:rsid w:val="00C83F69"/>
    <w:rsid w:val="00C84007"/>
    <w:rsid w:val="00C848CC"/>
    <w:rsid w:val="00C84CC1"/>
    <w:rsid w:val="00C8515B"/>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5122"/>
    <w:rsid w:val="00C9643A"/>
    <w:rsid w:val="00C965AA"/>
    <w:rsid w:val="00C96946"/>
    <w:rsid w:val="00CA09B2"/>
    <w:rsid w:val="00CA0C09"/>
    <w:rsid w:val="00CA1549"/>
    <w:rsid w:val="00CA171A"/>
    <w:rsid w:val="00CA299A"/>
    <w:rsid w:val="00CA3FD7"/>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AF9"/>
    <w:rsid w:val="00CD4EE6"/>
    <w:rsid w:val="00CD4FC0"/>
    <w:rsid w:val="00CD547E"/>
    <w:rsid w:val="00CD7282"/>
    <w:rsid w:val="00CD778F"/>
    <w:rsid w:val="00CE1A33"/>
    <w:rsid w:val="00CE1C80"/>
    <w:rsid w:val="00CE1EF9"/>
    <w:rsid w:val="00CE2E8B"/>
    <w:rsid w:val="00CE412A"/>
    <w:rsid w:val="00CE4420"/>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31A"/>
    <w:rsid w:val="00CF6A8F"/>
    <w:rsid w:val="00CF710C"/>
    <w:rsid w:val="00D001B2"/>
    <w:rsid w:val="00D0030B"/>
    <w:rsid w:val="00D00505"/>
    <w:rsid w:val="00D00D06"/>
    <w:rsid w:val="00D00F13"/>
    <w:rsid w:val="00D0196E"/>
    <w:rsid w:val="00D02A54"/>
    <w:rsid w:val="00D02CB7"/>
    <w:rsid w:val="00D03E87"/>
    <w:rsid w:val="00D04B89"/>
    <w:rsid w:val="00D05655"/>
    <w:rsid w:val="00D05901"/>
    <w:rsid w:val="00D05AA0"/>
    <w:rsid w:val="00D062BB"/>
    <w:rsid w:val="00D07873"/>
    <w:rsid w:val="00D07A65"/>
    <w:rsid w:val="00D07DA1"/>
    <w:rsid w:val="00D118F4"/>
    <w:rsid w:val="00D11DC8"/>
    <w:rsid w:val="00D11DEB"/>
    <w:rsid w:val="00D124EA"/>
    <w:rsid w:val="00D127AD"/>
    <w:rsid w:val="00D127FF"/>
    <w:rsid w:val="00D145BA"/>
    <w:rsid w:val="00D147B2"/>
    <w:rsid w:val="00D14BCD"/>
    <w:rsid w:val="00D14CAA"/>
    <w:rsid w:val="00D14D14"/>
    <w:rsid w:val="00D153C7"/>
    <w:rsid w:val="00D15BC5"/>
    <w:rsid w:val="00D15E09"/>
    <w:rsid w:val="00D163D7"/>
    <w:rsid w:val="00D16679"/>
    <w:rsid w:val="00D16CC8"/>
    <w:rsid w:val="00D2233B"/>
    <w:rsid w:val="00D2261E"/>
    <w:rsid w:val="00D22A1B"/>
    <w:rsid w:val="00D234BC"/>
    <w:rsid w:val="00D25FAB"/>
    <w:rsid w:val="00D27F97"/>
    <w:rsid w:val="00D3207C"/>
    <w:rsid w:val="00D34B28"/>
    <w:rsid w:val="00D35BBF"/>
    <w:rsid w:val="00D42A60"/>
    <w:rsid w:val="00D445BB"/>
    <w:rsid w:val="00D4472F"/>
    <w:rsid w:val="00D44A7C"/>
    <w:rsid w:val="00D44F60"/>
    <w:rsid w:val="00D45412"/>
    <w:rsid w:val="00D4570D"/>
    <w:rsid w:val="00D4575B"/>
    <w:rsid w:val="00D4692C"/>
    <w:rsid w:val="00D46DB8"/>
    <w:rsid w:val="00D50973"/>
    <w:rsid w:val="00D526DA"/>
    <w:rsid w:val="00D5460B"/>
    <w:rsid w:val="00D54924"/>
    <w:rsid w:val="00D55EB2"/>
    <w:rsid w:val="00D566C9"/>
    <w:rsid w:val="00D61644"/>
    <w:rsid w:val="00D62F31"/>
    <w:rsid w:val="00D64025"/>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492C"/>
    <w:rsid w:val="00D777B2"/>
    <w:rsid w:val="00D77C2B"/>
    <w:rsid w:val="00D81AF3"/>
    <w:rsid w:val="00D8300D"/>
    <w:rsid w:val="00D838F0"/>
    <w:rsid w:val="00D84153"/>
    <w:rsid w:val="00D85C90"/>
    <w:rsid w:val="00D8767A"/>
    <w:rsid w:val="00D8783B"/>
    <w:rsid w:val="00D90741"/>
    <w:rsid w:val="00D932F1"/>
    <w:rsid w:val="00D93B9E"/>
    <w:rsid w:val="00D95390"/>
    <w:rsid w:val="00D96459"/>
    <w:rsid w:val="00D9670A"/>
    <w:rsid w:val="00D96EB7"/>
    <w:rsid w:val="00D97A83"/>
    <w:rsid w:val="00D97B00"/>
    <w:rsid w:val="00DA0C75"/>
    <w:rsid w:val="00DA3020"/>
    <w:rsid w:val="00DA3683"/>
    <w:rsid w:val="00DA3DA2"/>
    <w:rsid w:val="00DA4DB7"/>
    <w:rsid w:val="00DA5373"/>
    <w:rsid w:val="00DA5419"/>
    <w:rsid w:val="00DA5431"/>
    <w:rsid w:val="00DA5ABB"/>
    <w:rsid w:val="00DA60AA"/>
    <w:rsid w:val="00DA6337"/>
    <w:rsid w:val="00DA6487"/>
    <w:rsid w:val="00DA71C3"/>
    <w:rsid w:val="00DA7217"/>
    <w:rsid w:val="00DA7F0C"/>
    <w:rsid w:val="00DB0232"/>
    <w:rsid w:val="00DB1DB7"/>
    <w:rsid w:val="00DB1F4C"/>
    <w:rsid w:val="00DB1FF9"/>
    <w:rsid w:val="00DB63FC"/>
    <w:rsid w:val="00DB7A82"/>
    <w:rsid w:val="00DC0730"/>
    <w:rsid w:val="00DC5469"/>
    <w:rsid w:val="00DC5A7B"/>
    <w:rsid w:val="00DD1DFC"/>
    <w:rsid w:val="00DD2545"/>
    <w:rsid w:val="00DD2A1B"/>
    <w:rsid w:val="00DD341F"/>
    <w:rsid w:val="00DD5686"/>
    <w:rsid w:val="00DD5D8B"/>
    <w:rsid w:val="00DD6184"/>
    <w:rsid w:val="00DD621A"/>
    <w:rsid w:val="00DD62D3"/>
    <w:rsid w:val="00DD68AC"/>
    <w:rsid w:val="00DD7024"/>
    <w:rsid w:val="00DD73A1"/>
    <w:rsid w:val="00DD7D2C"/>
    <w:rsid w:val="00DE104F"/>
    <w:rsid w:val="00DE1517"/>
    <w:rsid w:val="00DE170B"/>
    <w:rsid w:val="00DE19AF"/>
    <w:rsid w:val="00DE22F0"/>
    <w:rsid w:val="00DE23AD"/>
    <w:rsid w:val="00DE263D"/>
    <w:rsid w:val="00DE304F"/>
    <w:rsid w:val="00DE32ED"/>
    <w:rsid w:val="00DE4357"/>
    <w:rsid w:val="00DE4EDB"/>
    <w:rsid w:val="00DE500F"/>
    <w:rsid w:val="00DE754E"/>
    <w:rsid w:val="00DF0854"/>
    <w:rsid w:val="00DF3117"/>
    <w:rsid w:val="00DF6BA6"/>
    <w:rsid w:val="00DF6E89"/>
    <w:rsid w:val="00DF6EAD"/>
    <w:rsid w:val="00DF73C7"/>
    <w:rsid w:val="00DF75F2"/>
    <w:rsid w:val="00DF7B0D"/>
    <w:rsid w:val="00DF7C2C"/>
    <w:rsid w:val="00DF7CEB"/>
    <w:rsid w:val="00E000AB"/>
    <w:rsid w:val="00E00259"/>
    <w:rsid w:val="00E01D13"/>
    <w:rsid w:val="00E02E81"/>
    <w:rsid w:val="00E02F24"/>
    <w:rsid w:val="00E04044"/>
    <w:rsid w:val="00E047BC"/>
    <w:rsid w:val="00E0523D"/>
    <w:rsid w:val="00E0529B"/>
    <w:rsid w:val="00E05829"/>
    <w:rsid w:val="00E072EE"/>
    <w:rsid w:val="00E105FF"/>
    <w:rsid w:val="00E116DD"/>
    <w:rsid w:val="00E121F3"/>
    <w:rsid w:val="00E13352"/>
    <w:rsid w:val="00E136B8"/>
    <w:rsid w:val="00E14D18"/>
    <w:rsid w:val="00E14F86"/>
    <w:rsid w:val="00E1651A"/>
    <w:rsid w:val="00E169A5"/>
    <w:rsid w:val="00E17B91"/>
    <w:rsid w:val="00E22DDD"/>
    <w:rsid w:val="00E237E3"/>
    <w:rsid w:val="00E24FB8"/>
    <w:rsid w:val="00E25439"/>
    <w:rsid w:val="00E2633B"/>
    <w:rsid w:val="00E26BA0"/>
    <w:rsid w:val="00E27CCD"/>
    <w:rsid w:val="00E27EDF"/>
    <w:rsid w:val="00E31CF0"/>
    <w:rsid w:val="00E32857"/>
    <w:rsid w:val="00E32AE7"/>
    <w:rsid w:val="00E33C6F"/>
    <w:rsid w:val="00E34CC0"/>
    <w:rsid w:val="00E3508D"/>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5A0"/>
    <w:rsid w:val="00E508E0"/>
    <w:rsid w:val="00E509FA"/>
    <w:rsid w:val="00E50D6A"/>
    <w:rsid w:val="00E51B2D"/>
    <w:rsid w:val="00E525BD"/>
    <w:rsid w:val="00E55335"/>
    <w:rsid w:val="00E5562F"/>
    <w:rsid w:val="00E55C63"/>
    <w:rsid w:val="00E567CC"/>
    <w:rsid w:val="00E56839"/>
    <w:rsid w:val="00E56853"/>
    <w:rsid w:val="00E5691C"/>
    <w:rsid w:val="00E57C38"/>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C82"/>
    <w:rsid w:val="00EA3ECA"/>
    <w:rsid w:val="00EA657E"/>
    <w:rsid w:val="00EA688F"/>
    <w:rsid w:val="00EA78DD"/>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7EA"/>
    <w:rsid w:val="00EB780F"/>
    <w:rsid w:val="00EB7AFB"/>
    <w:rsid w:val="00EC0FFF"/>
    <w:rsid w:val="00EC1F23"/>
    <w:rsid w:val="00EC223F"/>
    <w:rsid w:val="00EC4486"/>
    <w:rsid w:val="00EC7810"/>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DD1"/>
    <w:rsid w:val="00ED7604"/>
    <w:rsid w:val="00EE4A6E"/>
    <w:rsid w:val="00EE4CD1"/>
    <w:rsid w:val="00EE723A"/>
    <w:rsid w:val="00EE75C5"/>
    <w:rsid w:val="00EE7DB5"/>
    <w:rsid w:val="00EF032C"/>
    <w:rsid w:val="00EF174C"/>
    <w:rsid w:val="00EF3968"/>
    <w:rsid w:val="00EF6040"/>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6768"/>
    <w:rsid w:val="00F06E0A"/>
    <w:rsid w:val="00F073F1"/>
    <w:rsid w:val="00F101F1"/>
    <w:rsid w:val="00F10351"/>
    <w:rsid w:val="00F10A1F"/>
    <w:rsid w:val="00F10FD3"/>
    <w:rsid w:val="00F12947"/>
    <w:rsid w:val="00F1367C"/>
    <w:rsid w:val="00F14A2D"/>
    <w:rsid w:val="00F14F25"/>
    <w:rsid w:val="00F15372"/>
    <w:rsid w:val="00F157ED"/>
    <w:rsid w:val="00F167DB"/>
    <w:rsid w:val="00F20232"/>
    <w:rsid w:val="00F21A43"/>
    <w:rsid w:val="00F251B7"/>
    <w:rsid w:val="00F2692D"/>
    <w:rsid w:val="00F26B77"/>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4156"/>
    <w:rsid w:val="00F46E81"/>
    <w:rsid w:val="00F477AF"/>
    <w:rsid w:val="00F47ACF"/>
    <w:rsid w:val="00F507DB"/>
    <w:rsid w:val="00F50817"/>
    <w:rsid w:val="00F51250"/>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F8"/>
    <w:rsid w:val="00F70C97"/>
    <w:rsid w:val="00F711E6"/>
    <w:rsid w:val="00F7185D"/>
    <w:rsid w:val="00F72318"/>
    <w:rsid w:val="00F723B2"/>
    <w:rsid w:val="00F73262"/>
    <w:rsid w:val="00F736A2"/>
    <w:rsid w:val="00F74372"/>
    <w:rsid w:val="00F75133"/>
    <w:rsid w:val="00F7553A"/>
    <w:rsid w:val="00F755C2"/>
    <w:rsid w:val="00F75EDA"/>
    <w:rsid w:val="00F76464"/>
    <w:rsid w:val="00F765A5"/>
    <w:rsid w:val="00F767C0"/>
    <w:rsid w:val="00F77395"/>
    <w:rsid w:val="00F8004E"/>
    <w:rsid w:val="00F802FA"/>
    <w:rsid w:val="00F80568"/>
    <w:rsid w:val="00F808D8"/>
    <w:rsid w:val="00F82418"/>
    <w:rsid w:val="00F825F1"/>
    <w:rsid w:val="00F83357"/>
    <w:rsid w:val="00F83F21"/>
    <w:rsid w:val="00F84867"/>
    <w:rsid w:val="00F84B84"/>
    <w:rsid w:val="00F84FEE"/>
    <w:rsid w:val="00F86361"/>
    <w:rsid w:val="00F87A43"/>
    <w:rsid w:val="00F90616"/>
    <w:rsid w:val="00F91205"/>
    <w:rsid w:val="00F921A2"/>
    <w:rsid w:val="00F950C1"/>
    <w:rsid w:val="00F95411"/>
    <w:rsid w:val="00F96DC6"/>
    <w:rsid w:val="00F97A6D"/>
    <w:rsid w:val="00F97DB5"/>
    <w:rsid w:val="00FA01C2"/>
    <w:rsid w:val="00FA0FC6"/>
    <w:rsid w:val="00FA16A9"/>
    <w:rsid w:val="00FA27AC"/>
    <w:rsid w:val="00FA3C03"/>
    <w:rsid w:val="00FA4281"/>
    <w:rsid w:val="00FA4841"/>
    <w:rsid w:val="00FA48E5"/>
    <w:rsid w:val="00FA4DD5"/>
    <w:rsid w:val="00FA572F"/>
    <w:rsid w:val="00FA6A6D"/>
    <w:rsid w:val="00FA6DE2"/>
    <w:rsid w:val="00FA7157"/>
    <w:rsid w:val="00FA76F2"/>
    <w:rsid w:val="00FB04C7"/>
    <w:rsid w:val="00FB2AB1"/>
    <w:rsid w:val="00FB30AA"/>
    <w:rsid w:val="00FB6677"/>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C9A"/>
    <w:rsid w:val="00FE6383"/>
    <w:rsid w:val="00FE6456"/>
    <w:rsid w:val="00FE69D6"/>
    <w:rsid w:val="00FE79C6"/>
    <w:rsid w:val="00FE7F79"/>
    <w:rsid w:val="00FF0787"/>
    <w:rsid w:val="00FF1A32"/>
    <w:rsid w:val="00FF1BAD"/>
    <w:rsid w:val="00FF2537"/>
    <w:rsid w:val="00FF305B"/>
    <w:rsid w:val="00FF34BB"/>
    <w:rsid w:val="00FF36A9"/>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ana.org/assignments/ipsec-registry/ipsec-registry.xhtml" TargetMode="Externa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5.png"/><Relationship Id="rId47" Type="http://schemas.openxmlformats.org/officeDocument/2006/relationships/customXml" Target="ink/ink9.xml"/><Relationship Id="rId50" Type="http://schemas.openxmlformats.org/officeDocument/2006/relationships/image" Target="media/image29.png"/><Relationship Id="rId55" Type="http://schemas.openxmlformats.org/officeDocument/2006/relationships/customXml" Target="ink/ink13.xml"/><Relationship Id="rId63" Type="http://schemas.openxmlformats.org/officeDocument/2006/relationships/image" Target="media/image35.png"/><Relationship Id="rId68" Type="http://schemas.openxmlformats.org/officeDocument/2006/relationships/customXml" Target="ink/ink20.xml"/><Relationship Id="rId76" Type="http://schemas.openxmlformats.org/officeDocument/2006/relationships/image" Target="media/image43.png"/><Relationship Id="rId84" Type="http://schemas.openxmlformats.org/officeDocument/2006/relationships/image" Target="media/image49.png"/><Relationship Id="rId89" Type="http://schemas.openxmlformats.org/officeDocument/2006/relationships/customXml" Target="ink/ink26.xm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customXml" Target="ink/ink4.xml"/><Relationship Id="rId40" Type="http://schemas.openxmlformats.org/officeDocument/2006/relationships/image" Target="media/image24.png"/><Relationship Id="rId45" Type="http://schemas.openxmlformats.org/officeDocument/2006/relationships/customXml" Target="ink/ink8.xml"/><Relationship Id="rId53" Type="http://schemas.openxmlformats.org/officeDocument/2006/relationships/customXml" Target="ink/ink12.xml"/><Relationship Id="rId58" Type="http://schemas.openxmlformats.org/officeDocument/2006/relationships/image" Target="media/image33.png"/><Relationship Id="rId66" Type="http://schemas.openxmlformats.org/officeDocument/2006/relationships/customXml" Target="ink/ink19.xml"/><Relationship Id="rId74" Type="http://schemas.openxmlformats.org/officeDocument/2006/relationships/image" Target="media/image41.png"/><Relationship Id="rId79" Type="http://schemas.openxmlformats.org/officeDocument/2006/relationships/hyperlink" Target="https://mentor.ieee.org/802.11/dcn/19/11-19-0551-03-000m-revmd-lb236-comments-assigned-to-hamilton.docx" TargetMode="External"/><Relationship Id="rId87" Type="http://schemas.openxmlformats.org/officeDocument/2006/relationships/customXml" Target="ink/ink25.xml"/><Relationship Id="rId5" Type="http://schemas.openxmlformats.org/officeDocument/2006/relationships/webSettings" Target="webSettings.xml"/><Relationship Id="rId61" Type="http://schemas.openxmlformats.org/officeDocument/2006/relationships/customXml" Target="ink/ink16.xml"/><Relationship Id="rId82" Type="http://schemas.openxmlformats.org/officeDocument/2006/relationships/image" Target="media/image48.png"/><Relationship Id="rId90" Type="http://schemas.openxmlformats.org/officeDocument/2006/relationships/image" Target="media/image52.png"/><Relationship Id="rId95" Type="http://schemas.openxmlformats.org/officeDocument/2006/relationships/image" Target="media/image57.png"/><Relationship Id="rId19" Type="http://schemas.openxmlformats.org/officeDocument/2006/relationships/image" Target="media/image9.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customXml" Target="ink/ink3.xml"/><Relationship Id="rId43" Type="http://schemas.openxmlformats.org/officeDocument/2006/relationships/customXml" Target="ink/ink7.xml"/><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customXml" Target="ink/ink18.xml"/><Relationship Id="rId69" Type="http://schemas.openxmlformats.org/officeDocument/2006/relationships/image" Target="media/image38.png"/><Relationship Id="rId77" Type="http://schemas.openxmlformats.org/officeDocument/2006/relationships/image" Target="media/image44.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ustomXml" Target="ink/ink11.xml"/><Relationship Id="rId72" Type="http://schemas.openxmlformats.org/officeDocument/2006/relationships/customXml" Target="ink/ink22.xml"/><Relationship Id="rId80" Type="http://schemas.openxmlformats.org/officeDocument/2006/relationships/image" Target="media/image46.png"/><Relationship Id="rId85" Type="http://schemas.openxmlformats.org/officeDocument/2006/relationships/customXml" Target="ink/ink24.xml"/><Relationship Id="rId93" Type="http://schemas.openxmlformats.org/officeDocument/2006/relationships/image" Target="media/image55.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microsoft.com/office/2011/relationships/commentsExtended" Target="commentsExtended.xml"/><Relationship Id="rId25" Type="http://schemas.openxmlformats.org/officeDocument/2006/relationships/image" Target="media/image15.png"/><Relationship Id="rId33" Type="http://schemas.openxmlformats.org/officeDocument/2006/relationships/customXml" Target="ink/ink2.xml"/><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customXml" Target="ink/ink15.xml"/><Relationship Id="rId67" Type="http://schemas.openxmlformats.org/officeDocument/2006/relationships/image" Target="media/image37.png"/><Relationship Id="rId20" Type="http://schemas.openxmlformats.org/officeDocument/2006/relationships/image" Target="media/image10.png"/><Relationship Id="rId41" Type="http://schemas.openxmlformats.org/officeDocument/2006/relationships/customXml" Target="ink/ink6.xml"/><Relationship Id="rId54" Type="http://schemas.openxmlformats.org/officeDocument/2006/relationships/image" Target="media/image31.png"/><Relationship Id="rId62" Type="http://schemas.openxmlformats.org/officeDocument/2006/relationships/customXml" Target="ink/ink17.xml"/><Relationship Id="rId70" Type="http://schemas.openxmlformats.org/officeDocument/2006/relationships/customXml" Target="ink/ink21.xml"/><Relationship Id="rId75" Type="http://schemas.openxmlformats.org/officeDocument/2006/relationships/image" Target="media/image42.png"/><Relationship Id="rId83" Type="http://schemas.openxmlformats.org/officeDocument/2006/relationships/customXml" Target="ink/ink23.xml"/><Relationship Id="rId88" Type="http://schemas.openxmlformats.org/officeDocument/2006/relationships/image" Target="media/image51.png"/><Relationship Id="rId91" Type="http://schemas.openxmlformats.org/officeDocument/2006/relationships/image" Target="media/image53.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customXml" Target="ink/ink10.xml"/><Relationship Id="rId57" Type="http://schemas.openxmlformats.org/officeDocument/2006/relationships/customXml" Target="ink/ink14.xml"/><Relationship Id="rId10" Type="http://schemas.openxmlformats.org/officeDocument/2006/relationships/image" Target="media/image3.png"/><Relationship Id="rId31" Type="http://schemas.openxmlformats.org/officeDocument/2006/relationships/customXml" Target="ink/ink1.xml"/><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image" Target="media/image34.png"/><Relationship Id="rId65" Type="http://schemas.openxmlformats.org/officeDocument/2006/relationships/image" Target="media/image36.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7.png"/><Relationship Id="rId86" Type="http://schemas.openxmlformats.org/officeDocument/2006/relationships/image" Target="media/image50.png"/><Relationship Id="rId94" Type="http://schemas.openxmlformats.org/officeDocument/2006/relationships/image" Target="media/image56.png"/><Relationship Id="rId9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16/09/relationships/commentsIds" Target="commentsIds.xml"/><Relationship Id="rId39" Type="http://schemas.openxmlformats.org/officeDocument/2006/relationships/customXml" Target="ink/ink5.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57.17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1 109,'33'-2,"-1"0,1-3,-1 0,0-2,11-5,-10 3,0 2,1 1,0 2,33-1,89-39,-144 45,-3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1.6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0,'346'0,"-197"16,90-16,-226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53.5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63,'122'-26,"174"11,-127 0,6 8,-165 7</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46.7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15,'314'-15,"-137"37,19-13,-133-23,-51 13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9.0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14,'641'0,"-547"-12,-81 10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4.4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48,'250'0,"-141"-17,0 2,79 16,-80-17,-95 15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7.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0,'89'34,"-64"-26,1-1,0-2,1-1,-1-1,1-1,8-1,125 14,103-16,-202-14,-53 10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1.5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1,'748'0,"-734"0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05.7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1,'627'0,"-505"31,-13-31,-96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9.5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0,'311'0,"-201"16,255-17,-355 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3.8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16,'235'-1,"-112"-14,236 15,-346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9.22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0,'290'12,"-2"-8,-248-10,-30 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48.3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80,'35'-15,"0"1,1 2,0 2,1 1,24-2,161 2,-138 11,-50-3,66 9,-16 44,25-49,-95-3</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9.44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1,'888'0,"-874"0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1.5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32,'2'2,"-1"-1,0 1,1-1,0 0,-1 0,1 0,0 0,-1 0,1 0,0 0,0 0,0-1,0 1,-1-1,1 0,0 1,0-1,0 0,0 0,0 0,0 0,2-1,-2 1,235 1,-97-33,0 17,-40 25,33-4,-119-6</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4.4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48,'369'-16,"-122"16,-129-16,22 1,-94 15,-33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1.7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63,'590'0,"-197"-32,-278 19,510 11,-127 2,-160-16,64 17,-387-1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6.1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0,'539'0,"-289"15,-80-8,-157-4</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1.9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0 172,'27'-8,"10"-5,0 2,0 1,1 2,1 2,-1 2,28 0,52-10,-1-4,30-15,338 5,-423 21,-51 4,1 1,-1 1,0 0,0 0,1 1,-1 0,0 1,1 1,-1 0,0 0,1 1,199 112,-188-104,1 0,-1-2,2-1,-1-1,1-1,0-1,1-1,-1-1,9-1,314-6,-20-41,-156 44,-65-15,-74 16,-20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4.81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0,'6'4,"0"0,0-1,0 0,0 0,1 0,-1-1,1 0,0 0,-1-1,1 0,0 0,0-1,0 0,3 0,1 1,363 17,-205-18,-156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39.626"/>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1,'655'0,"-642"0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33.2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48,'92'-25,"-49"20,1 1,0 3,43 3,-9 0,144-2,-146-16,-63 16</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6.4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0 158,'198'-31,"-184"27,268-96,-261 94,0 1,1 1,0 0,0 2,0 1,10 1,107 1,-126 1,-3 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0.24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64,'391'-17,"-283"2,-24 6,49-14,-119 24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13.1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1,'748'0,"-734"0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17,'500'0,"-392"-16,-80 16,-18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EC9059-FA06-4469-AE5E-30B89F011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72</TotalTime>
  <Pages>47</Pages>
  <Words>7470</Words>
  <Characters>42580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49951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11</cp:revision>
  <cp:lastPrinted>1901-01-01T04:00:00Z</cp:lastPrinted>
  <dcterms:created xsi:type="dcterms:W3CDTF">2019-06-28T15:22:00Z</dcterms:created>
  <dcterms:modified xsi:type="dcterms:W3CDTF">2019-07-02T01:07:00Z</dcterms:modified>
</cp:coreProperties>
</file>