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 xml:space="preserve">IEEE </w:t>
      </w:r>
      <w:proofErr w:type="spellStart"/>
      <w:r w:rsidRPr="00CD4C78">
        <w:t>P802.11</w:t>
      </w:r>
      <w:proofErr w:type="spellEnd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517CF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Disallowed </w:t>
                  </w:r>
                  <w:proofErr w:type="spellStart"/>
                  <w:r>
                    <w:rPr>
                      <w:lang w:eastAsia="ko-KR"/>
                    </w:rPr>
                    <w:t>Subchannels</w:t>
                  </w:r>
                  <w:proofErr w:type="spellEnd"/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517CF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517CF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517CF8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FC783A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EB2460">
                    <w:rPr>
                      <w:b w:val="0"/>
                      <w:sz w:val="20"/>
                      <w:lang w:eastAsia="ko-KR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AB3792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003426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AF29A0" w:rsidRDefault="003E4403" w:rsidP="00AF29A0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</w:t>
      </w:r>
      <w:r w:rsidR="00AF29A0">
        <w:rPr>
          <w:sz w:val="20"/>
          <w:lang w:eastAsia="ko-KR"/>
        </w:rPr>
        <w:t xml:space="preserve">of comments </w:t>
      </w:r>
    </w:p>
    <w:p w:rsidR="00517CF8" w:rsidRDefault="00F84980" w:rsidP="00AF29A0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20164, 21324</w:t>
      </w:r>
      <w:proofErr w:type="gramStart"/>
      <w:r>
        <w:rPr>
          <w:sz w:val="20"/>
          <w:lang w:eastAsia="ko-KR"/>
        </w:rPr>
        <w:t>,21498</w:t>
      </w:r>
      <w:proofErr w:type="gramEnd"/>
    </w:p>
    <w:p w:rsidR="00517CF8" w:rsidRDefault="00517CF8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517CF8">
        <w:rPr>
          <w:sz w:val="20"/>
          <w:lang w:eastAsia="ko-KR"/>
        </w:rPr>
        <w:t>4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24369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</w:t>
      </w:r>
      <w:r w:rsidR="00517CF8">
        <w:rPr>
          <w:sz w:val="20"/>
          <w:lang w:eastAsia="ko-KR"/>
        </w:rPr>
        <w:t>4</w:t>
      </w:r>
      <w:r>
        <w:rPr>
          <w:sz w:val="20"/>
          <w:lang w:eastAsia="ko-KR"/>
        </w:rPr>
        <w:t>.</w:t>
      </w:r>
      <w:r w:rsidR="00BA27F7">
        <w:rPr>
          <w:sz w:val="20"/>
          <w:lang w:eastAsia="ko-KR"/>
        </w:rPr>
        <w:t>0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C55FCF" w:rsidRDefault="00C55FCF" w:rsidP="00F2637D"/>
    <w:p w:rsidR="009C2DE9" w:rsidRPr="009C2DE9" w:rsidRDefault="009C2DE9" w:rsidP="005B2037">
      <w:pPr>
        <w:rPr>
          <w:b/>
          <w:sz w:val="32"/>
          <w:u w:val="single"/>
        </w:rPr>
      </w:pPr>
    </w:p>
    <w:p w:rsidR="00FF2724" w:rsidRDefault="00FF2724" w:rsidP="005B2037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83"/>
        <w:gridCol w:w="1049"/>
        <w:gridCol w:w="938"/>
        <w:gridCol w:w="2619"/>
        <w:gridCol w:w="2061"/>
        <w:gridCol w:w="1512"/>
      </w:tblGrid>
      <w:tr w:rsidR="007E7D4E" w:rsidTr="00B8781E">
        <w:tc>
          <w:tcPr>
            <w:tcW w:w="918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83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1049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938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2619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61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512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20164</w:t>
            </w: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27.3.16</w:t>
            </w: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611.52</w:t>
            </w: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preamble subcarriers overlapping the 242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corresponding to bits with a value of 0 in the bitmap of</w:t>
            </w:r>
            <w:r>
              <w:rPr>
                <w:rFonts w:ascii="Arial" w:hAnsi="Arial" w:cs="Arial"/>
                <w:sz w:val="20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</w:t>
            </w:r>
            <w:proofErr w:type="spellStart"/>
            <w:r>
              <w:rPr>
                <w:rFonts w:ascii="Arial" w:hAnsi="Arial" w:cs="Arial"/>
                <w:sz w:val="20"/>
              </w:rPr>
              <w:t>INACTIVE_SUBCHANNELS</w:t>
            </w:r>
            <w:proofErr w:type="spellEnd"/>
            <w:proofErr w:type="gramStart"/>
            <w:r>
              <w:rPr>
                <w:rFonts w:ascii="Arial" w:hAnsi="Arial" w:cs="Arial"/>
                <w:sz w:val="20"/>
              </w:rPr>
              <w:t>" ..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" are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punctured." Should be </w:t>
            </w:r>
            <w:proofErr w:type="spellStart"/>
            <w:r>
              <w:rPr>
                <w:rFonts w:ascii="Arial" w:hAnsi="Arial" w:cs="Arial"/>
                <w:sz w:val="20"/>
              </w:rPr>
              <w:t>RU242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value 1 are punctured</w:t>
            </w: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512" w:type="dxa"/>
          </w:tcPr>
          <w:p w:rsidR="00E23449" w:rsidRPr="00B8781E" w:rsidRDefault="00E23449" w:rsidP="00FC783A">
            <w:pPr>
              <w:rPr>
                <w:rFonts w:ascii="Arial" w:hAnsi="Arial" w:cs="Arial"/>
                <w:sz w:val="20"/>
              </w:rPr>
            </w:pPr>
            <w:r w:rsidRPr="00B8781E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21324</w:t>
            </w: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26.11.7</w:t>
            </w: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410.38</w:t>
            </w: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sounding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a frame it's a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 frame is an </w:t>
            </w:r>
            <w:proofErr w:type="spellStart"/>
            <w:r>
              <w:rPr>
                <w:rFonts w:ascii="Arial" w:hAnsi="Arial" w:cs="Arial"/>
                <w:sz w:val="20"/>
              </w:rPr>
              <w:t>MPDU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"a frame that is"</w:t>
            </w:r>
          </w:p>
        </w:tc>
        <w:tc>
          <w:tcPr>
            <w:tcW w:w="1512" w:type="dxa"/>
          </w:tcPr>
          <w:p w:rsidR="00E23449" w:rsidRPr="00B8781E" w:rsidRDefault="004D0724" w:rsidP="005B2037">
            <w:pPr>
              <w:rPr>
                <w:rFonts w:ascii="Arial" w:hAnsi="Arial" w:cs="Arial"/>
                <w:sz w:val="20"/>
              </w:rPr>
            </w:pPr>
            <w:r w:rsidRPr="00B8781E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E23449" w:rsidRPr="00B8781E" w:rsidRDefault="00E23449" w:rsidP="005B2037">
            <w:pPr>
              <w:rPr>
                <w:rFonts w:ascii="Arial" w:hAnsi="Arial" w:cs="Arial"/>
                <w:sz w:val="20"/>
              </w:rPr>
            </w:pP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21498</w:t>
            </w: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Xiaogang Chen</w:t>
            </w: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27.3.16</w:t>
            </w: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611.52</w:t>
            </w: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preamble subcarriers overlapping the 242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corresponding to bits with a value of 0 in the bitmap of</w:t>
            </w:r>
            <w:r>
              <w:rPr>
                <w:rFonts w:ascii="Arial" w:hAnsi="Arial" w:cs="Arial"/>
                <w:sz w:val="20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</w:t>
            </w:r>
            <w:proofErr w:type="spellStart"/>
            <w:r>
              <w:rPr>
                <w:rFonts w:ascii="Arial" w:hAnsi="Arial" w:cs="Arial"/>
                <w:sz w:val="20"/>
              </w:rPr>
              <w:t>INACTIVE_SUBCHANNELS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overlapping a punctured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26-tone RU</w:t>
            </w:r>
            <w:r>
              <w:rPr>
                <w:rFonts w:ascii="Arial" w:hAnsi="Arial" w:cs="Arial"/>
                <w:sz w:val="20"/>
              </w:rPr>
              <w:br/>
              <w:t xml:space="preserve">of an HE sounding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punctured. " bit value 0 should be bit value 1.</w:t>
            </w:r>
            <w:r>
              <w:rPr>
                <w:rFonts w:ascii="Arial" w:hAnsi="Arial" w:cs="Arial"/>
                <w:sz w:val="20"/>
              </w:rPr>
              <w:br/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preamble subcarriers" referring to which portion of preamble?</w:t>
            </w: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only chance that preamble can overlap with punctured </w:t>
            </w:r>
            <w:proofErr w:type="spellStart"/>
            <w:r>
              <w:rPr>
                <w:rFonts w:ascii="Arial" w:hAnsi="Arial" w:cs="Arial"/>
                <w:sz w:val="20"/>
              </w:rPr>
              <w:t>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the HE-</w:t>
            </w:r>
            <w:proofErr w:type="spellStart"/>
            <w:r>
              <w:rPr>
                <w:rFonts w:ascii="Arial" w:hAnsi="Arial" w:cs="Arial"/>
                <w:sz w:val="20"/>
              </w:rPr>
              <w:t>STF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HE-LTF.</w:t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it's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better to explicitly say HE-</w:t>
            </w:r>
            <w:proofErr w:type="spellStart"/>
            <w:r>
              <w:rPr>
                <w:rFonts w:ascii="Arial" w:hAnsi="Arial" w:cs="Arial"/>
                <w:sz w:val="20"/>
              </w:rPr>
              <w:t>STF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HE-LTF instead of preamble.</w:t>
            </w:r>
          </w:p>
        </w:tc>
        <w:tc>
          <w:tcPr>
            <w:tcW w:w="1512" w:type="dxa"/>
          </w:tcPr>
          <w:p w:rsidR="00E23449" w:rsidRDefault="00010DDD" w:rsidP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217144" w:rsidRDefault="00E81F89" w:rsidP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Editor: </w:t>
            </w:r>
          </w:p>
          <w:p w:rsidR="00E81F89" w:rsidRDefault="00217144" w:rsidP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1:</w:t>
            </w:r>
            <w:r w:rsidR="00E81F89">
              <w:rPr>
                <w:rFonts w:ascii="Arial" w:hAnsi="Arial" w:cs="Arial"/>
                <w:sz w:val="20"/>
              </w:rPr>
              <w:t xml:space="preserve"> please change bit 0 to 1. </w:t>
            </w:r>
          </w:p>
          <w:p w:rsidR="00217144" w:rsidRPr="00B8781E" w:rsidRDefault="00217144" w:rsidP="0087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2: replace “the preamble subcarriers” in the comment sentence with :”the HE sounding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</w:p>
        </w:tc>
      </w:tr>
      <w:tr w:rsidR="00E23449" w:rsidTr="00B8781E">
        <w:tc>
          <w:tcPr>
            <w:tcW w:w="91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</w:tcPr>
          <w:p w:rsidR="00E23449" w:rsidRDefault="00E2344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</w:tcPr>
          <w:p w:rsidR="00E23449" w:rsidRDefault="00E234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B8781E" w:rsidRPr="00B8781E" w:rsidRDefault="00B8781E" w:rsidP="005B2037">
            <w:pPr>
              <w:rPr>
                <w:rFonts w:ascii="Arial" w:hAnsi="Arial" w:cs="Arial"/>
                <w:sz w:val="20"/>
              </w:rPr>
            </w:pPr>
          </w:p>
        </w:tc>
      </w:tr>
      <w:tr w:rsidR="004B68F2" w:rsidTr="00B8781E">
        <w:tc>
          <w:tcPr>
            <w:tcW w:w="918" w:type="dxa"/>
          </w:tcPr>
          <w:p w:rsidR="004B68F2" w:rsidRDefault="004B68F2" w:rsidP="00A97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4B68F2" w:rsidRDefault="004B68F2" w:rsidP="00A97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</w:tcPr>
          <w:p w:rsidR="004B68F2" w:rsidRDefault="004B68F2" w:rsidP="00A97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</w:tcPr>
          <w:p w:rsidR="004B68F2" w:rsidRDefault="004B68F2" w:rsidP="00A97D2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</w:tcPr>
          <w:p w:rsidR="004B68F2" w:rsidRDefault="004B68F2" w:rsidP="00A97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</w:tcPr>
          <w:p w:rsidR="004B68F2" w:rsidRDefault="004B68F2" w:rsidP="00A97D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4B68F2" w:rsidRPr="00E549CA" w:rsidRDefault="004B68F2" w:rsidP="00A97D22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20" w:rsidRDefault="00321720" w:rsidP="005B2037">
      <w:pPr>
        <w:rPr>
          <w:sz w:val="24"/>
        </w:rPr>
      </w:pPr>
    </w:p>
    <w:p w:rsidR="00F273A5" w:rsidRDefault="00F273A5" w:rsidP="005B2037">
      <w:pPr>
        <w:rPr>
          <w:sz w:val="24"/>
        </w:rPr>
      </w:pPr>
    </w:p>
    <w:sectPr w:rsidR="00F273A5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92" w:rsidRDefault="00AB3792">
      <w:r>
        <w:separator/>
      </w:r>
    </w:p>
  </w:endnote>
  <w:endnote w:type="continuationSeparator" w:id="0">
    <w:p w:rsidR="00AB3792" w:rsidRDefault="00AB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1" w:rsidRDefault="00061D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C4811">
        <w:t>Submission</w:t>
      </w:r>
    </w:fldSimple>
    <w:r w:rsidR="00BC4811">
      <w:tab/>
      <w:t xml:space="preserve">page </w:t>
    </w:r>
    <w:r w:rsidR="00BC4811">
      <w:fldChar w:fldCharType="begin"/>
    </w:r>
    <w:r w:rsidR="00BC4811">
      <w:instrText xml:space="preserve">page </w:instrText>
    </w:r>
    <w:r w:rsidR="00BC4811">
      <w:fldChar w:fldCharType="separate"/>
    </w:r>
    <w:r w:rsidR="00EB2460">
      <w:rPr>
        <w:noProof/>
      </w:rPr>
      <w:t>2</w:t>
    </w:r>
    <w:r w:rsidR="00BC4811">
      <w:rPr>
        <w:noProof/>
      </w:rPr>
      <w:fldChar w:fldCharType="end"/>
    </w:r>
    <w:r w:rsidR="00BC4811">
      <w:tab/>
    </w:r>
    <w:r w:rsidR="00BC4811">
      <w:rPr>
        <w:rFonts w:eastAsia="SimSun" w:hint="eastAsia"/>
        <w:lang w:eastAsia="zh-CN"/>
      </w:rPr>
      <w:t xml:space="preserve">         </w:t>
    </w:r>
    <w:r w:rsidR="00BC4811">
      <w:rPr>
        <w:rFonts w:eastAsia="SimSun"/>
        <w:lang w:eastAsia="zh-CN"/>
      </w:rPr>
      <w:t>Ron Porat, Broadcom</w:t>
    </w:r>
    <w:r w:rsidR="00BC4811">
      <w:t xml:space="preserve"> </w:t>
    </w:r>
  </w:p>
  <w:p w:rsidR="00BC4811" w:rsidRPr="0013508C" w:rsidRDefault="00BC4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92" w:rsidRDefault="00AB3792">
      <w:r>
        <w:separator/>
      </w:r>
    </w:p>
  </w:footnote>
  <w:footnote w:type="continuationSeparator" w:id="0">
    <w:p w:rsidR="00AB3792" w:rsidRDefault="00AB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1" w:rsidRDefault="00517CF8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BC4811">
      <w:t xml:space="preserve"> 201</w:t>
    </w:r>
    <w:r>
      <w:t>9</w:t>
    </w:r>
    <w:r w:rsidR="00BC4811">
      <w:tab/>
    </w:r>
    <w:r w:rsidR="00BC4811">
      <w:tab/>
    </w:r>
    <w:r w:rsidR="00BC4811">
      <w:fldChar w:fldCharType="begin"/>
    </w:r>
    <w:r w:rsidR="00BC4811">
      <w:instrText xml:space="preserve"> TITLE  \* MERGEFORMAT </w:instrText>
    </w:r>
    <w:r w:rsidR="00BC4811">
      <w:fldChar w:fldCharType="separate"/>
    </w:r>
    <w:r w:rsidR="00BC4811">
      <w:t>doc.: IEEE 802.11-1</w:t>
    </w:r>
    <w:r>
      <w:t>9</w:t>
    </w:r>
    <w:r w:rsidR="00BC4811">
      <w:t>/</w:t>
    </w:r>
    <w:proofErr w:type="spellStart"/>
    <w:r w:rsidR="00F05B44">
      <w:t>0386</w:t>
    </w:r>
    <w:r w:rsidR="00BC4811">
      <w:t>r</w:t>
    </w:r>
    <w:r w:rsidR="00BC4811">
      <w:fldChar w:fldCharType="end"/>
    </w:r>
    <w:r w:rsidR="00EB2460">
      <w:t>1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425C34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20A"/>
    <w:multiLevelType w:val="hybridMultilevel"/>
    <w:tmpl w:val="D6D4420A"/>
    <w:lvl w:ilvl="0" w:tplc="D37A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A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8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4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726238"/>
    <w:multiLevelType w:val="hybridMultilevel"/>
    <w:tmpl w:val="8B4C8DC8"/>
    <w:lvl w:ilvl="0" w:tplc="9BCA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2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19799A"/>
    <w:multiLevelType w:val="hybridMultilevel"/>
    <w:tmpl w:val="C9A43FFE"/>
    <w:lvl w:ilvl="0" w:tplc="49BC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A9DEC">
      <w:start w:val="2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E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A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CF572B"/>
    <w:multiLevelType w:val="hybridMultilevel"/>
    <w:tmpl w:val="907439E6"/>
    <w:lvl w:ilvl="0" w:tplc="98D0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4C0B0">
      <w:start w:val="40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A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0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8F1E09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35FBA"/>
    <w:multiLevelType w:val="hybridMultilevel"/>
    <w:tmpl w:val="546E7B6E"/>
    <w:lvl w:ilvl="0" w:tplc="8E5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A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E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6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 w:numId="22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3426"/>
    <w:rsid w:val="000045FA"/>
    <w:rsid w:val="00006454"/>
    <w:rsid w:val="000067AA"/>
    <w:rsid w:val="00006DBB"/>
    <w:rsid w:val="0000743C"/>
    <w:rsid w:val="00007A76"/>
    <w:rsid w:val="00007BD6"/>
    <w:rsid w:val="0001027F"/>
    <w:rsid w:val="00010DDD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2DDC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46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113"/>
    <w:rsid w:val="00042C67"/>
    <w:rsid w:val="0004346B"/>
    <w:rsid w:val="00043C26"/>
    <w:rsid w:val="00043ED0"/>
    <w:rsid w:val="0004414E"/>
    <w:rsid w:val="00044501"/>
    <w:rsid w:val="00044DC0"/>
    <w:rsid w:val="000478EE"/>
    <w:rsid w:val="00047EB6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63B"/>
    <w:rsid w:val="00061D28"/>
    <w:rsid w:val="00061FFD"/>
    <w:rsid w:val="000642FC"/>
    <w:rsid w:val="0006469A"/>
    <w:rsid w:val="00064B45"/>
    <w:rsid w:val="000650B0"/>
    <w:rsid w:val="000650B8"/>
    <w:rsid w:val="00066421"/>
    <w:rsid w:val="00066F58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A77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2F0"/>
    <w:rsid w:val="00092971"/>
    <w:rsid w:val="000929BA"/>
    <w:rsid w:val="00092AC6"/>
    <w:rsid w:val="00093AD2"/>
    <w:rsid w:val="0009417E"/>
    <w:rsid w:val="00094DFB"/>
    <w:rsid w:val="00094FFA"/>
    <w:rsid w:val="00095921"/>
    <w:rsid w:val="0009661D"/>
    <w:rsid w:val="00096B45"/>
    <w:rsid w:val="0009713F"/>
    <w:rsid w:val="000A13D2"/>
    <w:rsid w:val="000A1C31"/>
    <w:rsid w:val="000A1F25"/>
    <w:rsid w:val="000A28D3"/>
    <w:rsid w:val="000A443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4FD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212A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006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3AF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0B8"/>
    <w:rsid w:val="00151A4E"/>
    <w:rsid w:val="00151BBE"/>
    <w:rsid w:val="001525FB"/>
    <w:rsid w:val="00154791"/>
    <w:rsid w:val="00154B26"/>
    <w:rsid w:val="001557CB"/>
    <w:rsid w:val="001559BB"/>
    <w:rsid w:val="00160C21"/>
    <w:rsid w:val="00160F45"/>
    <w:rsid w:val="00161012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21B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6F6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2DE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5D9C"/>
    <w:rsid w:val="00206B35"/>
    <w:rsid w:val="00206CE8"/>
    <w:rsid w:val="00206D24"/>
    <w:rsid w:val="00207B0B"/>
    <w:rsid w:val="00210DDD"/>
    <w:rsid w:val="00210F4D"/>
    <w:rsid w:val="002125D6"/>
    <w:rsid w:val="00212E2A"/>
    <w:rsid w:val="002141B2"/>
    <w:rsid w:val="00214B50"/>
    <w:rsid w:val="00214BA3"/>
    <w:rsid w:val="00214D83"/>
    <w:rsid w:val="00215A82"/>
    <w:rsid w:val="00215E32"/>
    <w:rsid w:val="00215E98"/>
    <w:rsid w:val="00215F36"/>
    <w:rsid w:val="00216771"/>
    <w:rsid w:val="00216AF6"/>
    <w:rsid w:val="00217144"/>
    <w:rsid w:val="002206E4"/>
    <w:rsid w:val="002208B9"/>
    <w:rsid w:val="0022139A"/>
    <w:rsid w:val="00221CA7"/>
    <w:rsid w:val="0022224B"/>
    <w:rsid w:val="00222261"/>
    <w:rsid w:val="002239F2"/>
    <w:rsid w:val="00224133"/>
    <w:rsid w:val="002241A7"/>
    <w:rsid w:val="00224E11"/>
    <w:rsid w:val="00224F05"/>
    <w:rsid w:val="00225508"/>
    <w:rsid w:val="00225570"/>
    <w:rsid w:val="00226FE3"/>
    <w:rsid w:val="00227E5A"/>
    <w:rsid w:val="00231F3B"/>
    <w:rsid w:val="002323FE"/>
    <w:rsid w:val="002327BF"/>
    <w:rsid w:val="002327E3"/>
    <w:rsid w:val="00233CF2"/>
    <w:rsid w:val="002342A0"/>
    <w:rsid w:val="002346F8"/>
    <w:rsid w:val="00234C13"/>
    <w:rsid w:val="00234CA2"/>
    <w:rsid w:val="00234E66"/>
    <w:rsid w:val="00235874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3692"/>
    <w:rsid w:val="00246C30"/>
    <w:rsid w:val="002470AC"/>
    <w:rsid w:val="0024720B"/>
    <w:rsid w:val="0024786B"/>
    <w:rsid w:val="0025062F"/>
    <w:rsid w:val="002506ED"/>
    <w:rsid w:val="00250EFA"/>
    <w:rsid w:val="0025151A"/>
    <w:rsid w:val="00252D47"/>
    <w:rsid w:val="002539AB"/>
    <w:rsid w:val="00254081"/>
    <w:rsid w:val="00255A8B"/>
    <w:rsid w:val="00261596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079C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3583"/>
    <w:rsid w:val="002E42B6"/>
    <w:rsid w:val="002E4762"/>
    <w:rsid w:val="002E5658"/>
    <w:rsid w:val="002E5B22"/>
    <w:rsid w:val="002E6FF6"/>
    <w:rsid w:val="002E75EA"/>
    <w:rsid w:val="002E7AF0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61F1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A35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5A90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AF4"/>
    <w:rsid w:val="003C0CD9"/>
    <w:rsid w:val="003C0D14"/>
    <w:rsid w:val="003C251E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445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3D7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0F13"/>
    <w:rsid w:val="00421159"/>
    <w:rsid w:val="00421A46"/>
    <w:rsid w:val="00422546"/>
    <w:rsid w:val="00422D5C"/>
    <w:rsid w:val="00423116"/>
    <w:rsid w:val="00423634"/>
    <w:rsid w:val="00423F89"/>
    <w:rsid w:val="00424D0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3DB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1D2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BF8"/>
    <w:rsid w:val="00483FCB"/>
    <w:rsid w:val="00484651"/>
    <w:rsid w:val="004854ED"/>
    <w:rsid w:val="00486160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E46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8F2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724"/>
    <w:rsid w:val="004D0DF1"/>
    <w:rsid w:val="004D0F1C"/>
    <w:rsid w:val="004D10F0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38AD"/>
    <w:rsid w:val="004E4538"/>
    <w:rsid w:val="004E46DF"/>
    <w:rsid w:val="004E4723"/>
    <w:rsid w:val="004E4B5B"/>
    <w:rsid w:val="004E66C3"/>
    <w:rsid w:val="004E7E34"/>
    <w:rsid w:val="004F0CB7"/>
    <w:rsid w:val="004F2B66"/>
    <w:rsid w:val="004F3183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53BF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CF8"/>
    <w:rsid w:val="00517ED6"/>
    <w:rsid w:val="00520208"/>
    <w:rsid w:val="00520B77"/>
    <w:rsid w:val="00520B8C"/>
    <w:rsid w:val="0052151C"/>
    <w:rsid w:val="00522A49"/>
    <w:rsid w:val="005235B6"/>
    <w:rsid w:val="005243B4"/>
    <w:rsid w:val="00524746"/>
    <w:rsid w:val="00524DF5"/>
    <w:rsid w:val="00524F6B"/>
    <w:rsid w:val="00525704"/>
    <w:rsid w:val="0052587B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3C1"/>
    <w:rsid w:val="00546AEB"/>
    <w:rsid w:val="00546EDC"/>
    <w:rsid w:val="00551E1F"/>
    <w:rsid w:val="00552B79"/>
    <w:rsid w:val="00553230"/>
    <w:rsid w:val="00553510"/>
    <w:rsid w:val="00553A28"/>
    <w:rsid w:val="00553B4F"/>
    <w:rsid w:val="00553C7D"/>
    <w:rsid w:val="0055459B"/>
    <w:rsid w:val="005546A4"/>
    <w:rsid w:val="00554995"/>
    <w:rsid w:val="00554EEF"/>
    <w:rsid w:val="005555A6"/>
    <w:rsid w:val="005555B2"/>
    <w:rsid w:val="00556480"/>
    <w:rsid w:val="005579B9"/>
    <w:rsid w:val="00557C98"/>
    <w:rsid w:val="0056123A"/>
    <w:rsid w:val="00562627"/>
    <w:rsid w:val="0056286B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6D39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1640D"/>
    <w:rsid w:val="006175E9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1CB1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051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4BAF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74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513A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B2E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58EB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57E2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981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913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8D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3B9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287B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E7D4E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185D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118"/>
    <w:rsid w:val="00834193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075E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55B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AAE"/>
    <w:rsid w:val="008A6CD4"/>
    <w:rsid w:val="008A6E30"/>
    <w:rsid w:val="008A74BF"/>
    <w:rsid w:val="008A788A"/>
    <w:rsid w:val="008B1070"/>
    <w:rsid w:val="008B188F"/>
    <w:rsid w:val="008B2909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AA1"/>
    <w:rsid w:val="00951CE8"/>
    <w:rsid w:val="00951D8C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08C"/>
    <w:rsid w:val="00964681"/>
    <w:rsid w:val="00965252"/>
    <w:rsid w:val="00967FC7"/>
    <w:rsid w:val="009704BC"/>
    <w:rsid w:val="00970C0C"/>
    <w:rsid w:val="00971446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5F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A19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4F8C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22BB"/>
    <w:rsid w:val="00A3560F"/>
    <w:rsid w:val="00A356E6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BF3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BBC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30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792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6A3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29A0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04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028"/>
    <w:rsid w:val="00B2361F"/>
    <w:rsid w:val="00B24D90"/>
    <w:rsid w:val="00B25805"/>
    <w:rsid w:val="00B2692B"/>
    <w:rsid w:val="00B2718B"/>
    <w:rsid w:val="00B27DAA"/>
    <w:rsid w:val="00B3040A"/>
    <w:rsid w:val="00B33EEE"/>
    <w:rsid w:val="00B348D8"/>
    <w:rsid w:val="00B34CC0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4CF1"/>
    <w:rsid w:val="00B8781E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27F7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4811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5E5B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3F8C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5FCF"/>
    <w:rsid w:val="00C5709A"/>
    <w:rsid w:val="00C57231"/>
    <w:rsid w:val="00C57611"/>
    <w:rsid w:val="00C5762D"/>
    <w:rsid w:val="00C57CDB"/>
    <w:rsid w:val="00C60A9B"/>
    <w:rsid w:val="00C60F8E"/>
    <w:rsid w:val="00C6108B"/>
    <w:rsid w:val="00C63E0F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24E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103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0EFC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BF4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4B67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18FE"/>
    <w:rsid w:val="00D52668"/>
    <w:rsid w:val="00D528F4"/>
    <w:rsid w:val="00D52AAA"/>
    <w:rsid w:val="00D53033"/>
    <w:rsid w:val="00D53161"/>
    <w:rsid w:val="00D5432B"/>
    <w:rsid w:val="00D5494D"/>
    <w:rsid w:val="00D54BC4"/>
    <w:rsid w:val="00D555EA"/>
    <w:rsid w:val="00D564F4"/>
    <w:rsid w:val="00D57377"/>
    <w:rsid w:val="00D574CA"/>
    <w:rsid w:val="00D57819"/>
    <w:rsid w:val="00D60332"/>
    <w:rsid w:val="00D603BB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6D72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8CC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3449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37207"/>
    <w:rsid w:val="00E401D2"/>
    <w:rsid w:val="00E40624"/>
    <w:rsid w:val="00E408BF"/>
    <w:rsid w:val="00E431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9CA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7575E"/>
    <w:rsid w:val="00E77F55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1F89"/>
    <w:rsid w:val="00E8250F"/>
    <w:rsid w:val="00E827FE"/>
    <w:rsid w:val="00E83067"/>
    <w:rsid w:val="00E83A31"/>
    <w:rsid w:val="00E840DC"/>
    <w:rsid w:val="00E840E7"/>
    <w:rsid w:val="00E84786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322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2460"/>
    <w:rsid w:val="00EB4277"/>
    <w:rsid w:val="00EB5ADB"/>
    <w:rsid w:val="00EB6218"/>
    <w:rsid w:val="00EB69EF"/>
    <w:rsid w:val="00EB6BEA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B44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2EFE"/>
    <w:rsid w:val="00F53BF9"/>
    <w:rsid w:val="00F5458D"/>
    <w:rsid w:val="00F548D4"/>
    <w:rsid w:val="00F54F3A"/>
    <w:rsid w:val="00F55028"/>
    <w:rsid w:val="00F5670E"/>
    <w:rsid w:val="00F60556"/>
    <w:rsid w:val="00F607E3"/>
    <w:rsid w:val="00F60892"/>
    <w:rsid w:val="00F61E6F"/>
    <w:rsid w:val="00F62854"/>
    <w:rsid w:val="00F632BF"/>
    <w:rsid w:val="00F63BB0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67C2D"/>
    <w:rsid w:val="00F702E2"/>
    <w:rsid w:val="00F70B2E"/>
    <w:rsid w:val="00F710B8"/>
    <w:rsid w:val="00F71FAA"/>
    <w:rsid w:val="00F72804"/>
    <w:rsid w:val="00F729C2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980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83A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03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36CF-65DB-4B1C-90FF-2567885A2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4B287-38C7-4E37-BCA8-3315AA919E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923898-BC89-474C-ABE3-D051BBBD6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078A6E-C386-4916-8D8C-909A1F0A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2304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4</cp:revision>
  <cp:lastPrinted>2018-01-11T19:21:00Z</cp:lastPrinted>
  <dcterms:created xsi:type="dcterms:W3CDTF">2019-03-12T23:35:00Z</dcterms:created>
  <dcterms:modified xsi:type="dcterms:W3CDTF">2019-03-13T00:01:00Z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