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3915B6AB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6F22B2">
              <w:rPr>
                <w:lang w:val="en-US"/>
              </w:rPr>
              <w:t>15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1CB16F81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FC1EA2">
              <w:rPr>
                <w:b w:val="0"/>
                <w:sz w:val="20"/>
                <w:lang w:val="en-US"/>
              </w:rPr>
              <w:t>15</w:t>
            </w:r>
            <w:bookmarkStart w:id="0" w:name="_GoBack"/>
            <w:bookmarkEnd w:id="0"/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15135A26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0E1C28">
                              <w:t>2</w:t>
                            </w:r>
                            <w:r>
                              <w:t>-</w:t>
                            </w:r>
                            <w:r w:rsidR="00F95955">
                              <w:t>1</w:t>
                            </w:r>
                            <w:r w:rsidR="006903CF">
                              <w:t>5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15135A26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0E1C28">
                        <w:t>2</w:t>
                      </w:r>
                      <w:r>
                        <w:t>-</w:t>
                      </w:r>
                      <w:r w:rsidR="00F95955">
                        <w:t>1</w:t>
                      </w:r>
                      <w:r w:rsidR="006903CF">
                        <w:t>5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Lennert Bober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1B961EBE" w14:textId="77777777" w:rsidR="00A40E3E" w:rsidRDefault="00A40E3E" w:rsidP="00A40E3E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Athanasios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Stavridis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(Ericsson)</w:t>
      </w:r>
    </w:p>
    <w:p w14:paraId="4D99AF02" w14:textId="6F1DBC47" w:rsidR="00A40E3E" w:rsidRDefault="00A40E3E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607BB9">
        <w:rPr>
          <w:rFonts w:ascii="Times" w:eastAsia="Times New Roman" w:hAnsi="Times"/>
          <w:sz w:val="20"/>
          <w:lang w:val="en-US"/>
        </w:rPr>
        <w:t>Arturo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62CCD6BE" w14:textId="6DF6EA6E" w:rsidR="00495864" w:rsidRDefault="00495864" w:rsidP="00BF0102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Max Riegel (Nokia)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58DA5C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DA693F">
        <w:rPr>
          <w:szCs w:val="22"/>
          <w:lang w:val="en-US"/>
        </w:rPr>
        <w:t>9</w:t>
      </w:r>
      <w:r w:rsidR="007E3251">
        <w:rPr>
          <w:szCs w:val="22"/>
          <w:lang w:val="en-US"/>
        </w:rPr>
        <w:t>:</w:t>
      </w:r>
      <w:r w:rsidR="00DA693F">
        <w:rPr>
          <w:szCs w:val="22"/>
          <w:lang w:val="en-US"/>
        </w:rPr>
        <w:t>0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1EBF41EB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4A0371" w:rsidRPr="004A0371">
        <w:t>https://mentor.ieee.org/802.11/dcn/19/11-19-0273-00-00bb-15-feb-2019-conference-call-agenda.ppt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6DB9EE5D" w14:textId="6D200C24" w:rsidR="000942C6" w:rsidRDefault="000942C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</w:t>
      </w:r>
      <w:r w:rsidR="006F22B2">
        <w:rPr>
          <w:szCs w:val="22"/>
          <w:lang w:val="en-US"/>
        </w:rPr>
        <w:t xml:space="preserve">presented the doc. 11-19/0272r0. </w:t>
      </w:r>
    </w:p>
    <w:p w14:paraId="1446D7BA" w14:textId="2A6DAA91" w:rsidR="006F22B2" w:rsidRDefault="006F22B2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It is good to have </w:t>
      </w:r>
      <w:proofErr w:type="spellStart"/>
      <w:r>
        <w:rPr>
          <w:szCs w:val="22"/>
          <w:lang w:val="en-US"/>
        </w:rPr>
        <w:t>frequence</w:t>
      </w:r>
      <w:proofErr w:type="spellEnd"/>
      <w:r>
        <w:rPr>
          <w:szCs w:val="22"/>
          <w:lang w:val="en-US"/>
        </w:rPr>
        <w:t xml:space="preserve"> offset.</w:t>
      </w:r>
      <w:r w:rsidR="0029612D">
        <w:rPr>
          <w:szCs w:val="22"/>
          <w:lang w:val="en-US"/>
        </w:rPr>
        <w:t xml:space="preserve"> For some PHYs it is required while for others it is not needed. </w:t>
      </w:r>
      <w:r>
        <w:rPr>
          <w:szCs w:val="22"/>
          <w:lang w:val="en-US"/>
        </w:rPr>
        <w:t xml:space="preserve"> </w:t>
      </w:r>
    </w:p>
    <w:p w14:paraId="155DC87D" w14:textId="1255A4D0" w:rsidR="006F22B2" w:rsidRPr="006F22B2" w:rsidRDefault="006F22B2" w:rsidP="00F2174F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6F22B2">
        <w:rPr>
          <w:szCs w:val="22"/>
          <w:lang w:val="en-US"/>
        </w:rPr>
        <w:t>How did you consider the shot noise etc.? Shot noise and thermal noise are part of RX frontend model</w:t>
      </w:r>
      <w:r w:rsidR="004A0371">
        <w:rPr>
          <w:szCs w:val="22"/>
          <w:lang w:val="en-US"/>
        </w:rPr>
        <w:t>s</w:t>
      </w:r>
      <w:r w:rsidRPr="006F22B2">
        <w:rPr>
          <w:szCs w:val="22"/>
          <w:lang w:val="en-US"/>
        </w:rPr>
        <w:t xml:space="preserve">. </w:t>
      </w:r>
    </w:p>
    <w:p w14:paraId="1B833751" w14:textId="7053F469" w:rsidR="003606A9" w:rsidRDefault="0029612D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Why is the AWGN added to the flow chart? It is easier to implement the </w:t>
      </w:r>
      <w:r w:rsidR="005E4257">
        <w:rPr>
          <w:szCs w:val="22"/>
          <w:lang w:val="en-US"/>
        </w:rPr>
        <w:t>shot noise by adding AWGN here</w:t>
      </w:r>
      <w:r>
        <w:rPr>
          <w:szCs w:val="22"/>
          <w:lang w:val="en-US"/>
        </w:rPr>
        <w:t xml:space="preserve">. The RX response consists of different types of noise. </w:t>
      </w:r>
      <w:r w:rsidR="003606A9">
        <w:rPr>
          <w:szCs w:val="22"/>
          <w:lang w:val="en-US"/>
        </w:rPr>
        <w:t xml:space="preserve"> </w:t>
      </w:r>
    </w:p>
    <w:p w14:paraId="0328D3C8" w14:textId="49A615FA" w:rsidR="0029612D" w:rsidRDefault="0029612D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DC bias is added after the TX response in order to </w:t>
      </w:r>
      <w:r w:rsidR="00CF76AA">
        <w:rPr>
          <w:szCs w:val="22"/>
          <w:lang w:val="en-US"/>
        </w:rPr>
        <w:t>implement the functions in</w:t>
      </w:r>
      <w:r>
        <w:rPr>
          <w:szCs w:val="22"/>
          <w:lang w:val="en-US"/>
        </w:rPr>
        <w:t xml:space="preserve"> the frontend model. </w:t>
      </w:r>
    </w:p>
    <w:p w14:paraId="6E452D52" w14:textId="5CCB4119" w:rsidR="005E4257" w:rsidRDefault="002A7AF2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Waveform is generated before the TX response</w:t>
      </w:r>
      <w:r w:rsidR="00CF76AA">
        <w:rPr>
          <w:szCs w:val="22"/>
          <w:lang w:val="en-US"/>
        </w:rPr>
        <w:t xml:space="preserve"> block</w:t>
      </w:r>
      <w:r>
        <w:rPr>
          <w:szCs w:val="22"/>
          <w:lang w:val="en-US"/>
        </w:rPr>
        <w:t xml:space="preserve">. </w:t>
      </w:r>
    </w:p>
    <w:p w14:paraId="115F68A2" w14:textId="1727040E" w:rsidR="002A7AF2" w:rsidRDefault="002A7AF2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Suggest </w:t>
      </w:r>
      <w:r w:rsidR="004C5E0A">
        <w:rPr>
          <w:szCs w:val="22"/>
          <w:lang w:val="en-US"/>
        </w:rPr>
        <w:t xml:space="preserve">moving </w:t>
      </w:r>
      <w:r>
        <w:rPr>
          <w:szCs w:val="22"/>
          <w:lang w:val="en-US"/>
        </w:rPr>
        <w:t>the flow chart to the calibration part</w:t>
      </w:r>
      <w:r w:rsidR="00CF76AA">
        <w:rPr>
          <w:szCs w:val="22"/>
          <w:lang w:val="en-US"/>
        </w:rPr>
        <w:t>, while others think t</w:t>
      </w:r>
      <w:r>
        <w:rPr>
          <w:szCs w:val="22"/>
          <w:lang w:val="en-US"/>
        </w:rPr>
        <w:t>he flow chart is very general</w:t>
      </w:r>
      <w:r w:rsidR="004C5E0A">
        <w:rPr>
          <w:szCs w:val="22"/>
          <w:lang w:val="en-US"/>
        </w:rPr>
        <w:t xml:space="preserve"> that could be kept </w:t>
      </w:r>
      <w:r w:rsidR="00CF76AA">
        <w:rPr>
          <w:szCs w:val="22"/>
          <w:lang w:val="en-US"/>
        </w:rPr>
        <w:t>at</w:t>
      </w:r>
      <w:r w:rsidR="004C5E0A">
        <w:rPr>
          <w:szCs w:val="22"/>
          <w:lang w:val="en-US"/>
        </w:rPr>
        <w:t xml:space="preserve"> the beginning. </w:t>
      </w:r>
      <w:r w:rsidR="00CF76AA">
        <w:rPr>
          <w:szCs w:val="22"/>
          <w:lang w:val="en-US"/>
        </w:rPr>
        <w:t xml:space="preserve">This is to be discussed in the future. </w:t>
      </w:r>
    </w:p>
    <w:p w14:paraId="0F18B6ED" w14:textId="44D82624" w:rsidR="004C5E0A" w:rsidRDefault="004C5E0A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The measurement of noise should be after the RX response</w:t>
      </w:r>
      <w:r w:rsidR="00CF76AA">
        <w:rPr>
          <w:szCs w:val="22"/>
          <w:lang w:val="en-US"/>
        </w:rPr>
        <w:t xml:space="preserve"> process</w:t>
      </w:r>
      <w:r>
        <w:rPr>
          <w:szCs w:val="22"/>
          <w:lang w:val="en-US"/>
        </w:rPr>
        <w:t xml:space="preserve">. </w:t>
      </w:r>
    </w:p>
    <w:p w14:paraId="7FB2AF83" w14:textId="3B90D115" w:rsidR="004C5E0A" w:rsidRDefault="004C5E0A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proposer to update the figure and revisit the document in Vancouver. </w:t>
      </w:r>
    </w:p>
    <w:p w14:paraId="3DB1DA43" w14:textId="4D4FB021" w:rsidR="004C5E0A" w:rsidRDefault="004C5E0A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There should be enough space before the spectrum mask. We don’t know the optimal offset, hence the term ‘optimal’ is removed from the text. </w:t>
      </w:r>
    </w:p>
    <w:p w14:paraId="1322347B" w14:textId="64F2E4F8" w:rsidR="00A722B6" w:rsidRDefault="00A722B6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The ‘100,000 packets’ come from the detection rate. This large number of packet transmission is to ensure the BER/PER is measured correctly</w:t>
      </w:r>
      <w:r w:rsidR="00CF76AA">
        <w:rPr>
          <w:szCs w:val="22"/>
          <w:lang w:val="en-US"/>
        </w:rPr>
        <w:t xml:space="preserve"> with enough samples</w:t>
      </w:r>
      <w:r>
        <w:rPr>
          <w:szCs w:val="22"/>
          <w:lang w:val="en-US"/>
        </w:rPr>
        <w:t xml:space="preserve">. </w:t>
      </w:r>
    </w:p>
    <w:p w14:paraId="4A167574" w14:textId="7B2E87C1" w:rsidR="003104EC" w:rsidRDefault="00A722B6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The simulation could be repeated with smaller number of packet transmissions</w:t>
      </w:r>
      <w:r w:rsidR="004A0371">
        <w:rPr>
          <w:szCs w:val="22"/>
          <w:lang w:val="en-US"/>
        </w:rPr>
        <w:t xml:space="preserve"> in order to ensure the </w:t>
      </w:r>
      <w:r w:rsidR="00CF76AA">
        <w:rPr>
          <w:szCs w:val="22"/>
          <w:lang w:val="en-US"/>
        </w:rPr>
        <w:t>KPIs are measured with enough transmissions</w:t>
      </w:r>
      <w:r>
        <w:rPr>
          <w:szCs w:val="22"/>
          <w:lang w:val="en-US"/>
        </w:rPr>
        <w:t xml:space="preserve">. </w:t>
      </w:r>
      <w:r w:rsidR="00CF76AA">
        <w:rPr>
          <w:szCs w:val="22"/>
          <w:lang w:val="en-US"/>
        </w:rPr>
        <w:t xml:space="preserve">However, this may be different for PHY link level measurement. </w:t>
      </w:r>
    </w:p>
    <w:p w14:paraId="0524B9E2" w14:textId="3521B6DA" w:rsidR="00770898" w:rsidRPr="004C5E0A" w:rsidRDefault="00CF76AA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whole group expressed the opinion towards the requirement of ‘100,000 packets’ per simulation. The exact required number shall be discussed further if needed. </w:t>
      </w:r>
      <w:r w:rsidR="00A722B6">
        <w:rPr>
          <w:szCs w:val="22"/>
          <w:lang w:val="en-US"/>
        </w:rPr>
        <w:t xml:space="preserve">  </w:t>
      </w:r>
    </w:p>
    <w:p w14:paraId="180BD82B" w14:textId="4380F36F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 xml:space="preserve">Meeting adjourned at </w:t>
      </w:r>
      <w:r w:rsidR="00CF76AA">
        <w:rPr>
          <w:szCs w:val="22"/>
          <w:lang w:val="en-US"/>
        </w:rPr>
        <w:t>10</w:t>
      </w:r>
      <w:r w:rsidR="003128BA">
        <w:rPr>
          <w:szCs w:val="22"/>
          <w:lang w:val="en-US"/>
        </w:rPr>
        <w:t>:</w:t>
      </w:r>
      <w:r w:rsidR="00CF76AA">
        <w:rPr>
          <w:szCs w:val="22"/>
          <w:lang w:val="en-US"/>
        </w:rPr>
        <w:t>00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B8E4" w14:textId="77777777" w:rsidR="0081158A" w:rsidRDefault="0081158A">
      <w:r>
        <w:separator/>
      </w:r>
    </w:p>
  </w:endnote>
  <w:endnote w:type="continuationSeparator" w:id="0">
    <w:p w14:paraId="598D34A6" w14:textId="77777777" w:rsidR="0081158A" w:rsidRDefault="008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A31218">
      <w:rPr>
        <w:noProof/>
      </w:rPr>
      <w:t>1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3069" w14:textId="77777777" w:rsidR="0081158A" w:rsidRDefault="0081158A">
      <w:r>
        <w:separator/>
      </w:r>
    </w:p>
  </w:footnote>
  <w:footnote w:type="continuationSeparator" w:id="0">
    <w:p w14:paraId="22C53990" w14:textId="77777777" w:rsidR="0081158A" w:rsidRDefault="0081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391EA73B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95955">
      <w:t>Feb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r w:rsidR="0081158A">
      <w:fldChar w:fldCharType="begin"/>
    </w:r>
    <w:r w:rsidR="0081158A">
      <w:instrText xml:space="preserve"> TITLE  \* MERGEFORMAT </w:instrText>
    </w:r>
    <w:r w:rsidR="0081158A">
      <w:fldChar w:fldCharType="separate"/>
    </w:r>
    <w:r w:rsidR="008905E7">
      <w:t>doc.: IEEE</w:t>
    </w:r>
    <w:r w:rsidR="00511B1C">
      <w:t xml:space="preserve"> 802.11-1</w:t>
    </w:r>
    <w:r w:rsidR="00F95955">
      <w:t>9</w:t>
    </w:r>
    <w:r w:rsidR="00511B1C">
      <w:t>/</w:t>
    </w:r>
    <w:r w:rsidR="00F95955">
      <w:t>02</w:t>
    </w:r>
    <w:r w:rsidR="00F37A4E">
      <w:t>7</w:t>
    </w:r>
    <w:r w:rsidR="00F95955">
      <w:t>5</w:t>
    </w:r>
    <w:r w:rsidR="00264099">
      <w:rPr>
        <w:rFonts w:hint="eastAsia"/>
      </w:rPr>
      <w:t>r</w:t>
    </w:r>
    <w:r w:rsidR="0081158A">
      <w:fldChar w:fldCharType="end"/>
    </w:r>
    <w:r w:rsidR="00F959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942C6"/>
    <w:rsid w:val="000D1BE7"/>
    <w:rsid w:val="000E1C28"/>
    <w:rsid w:val="00101B16"/>
    <w:rsid w:val="0017116D"/>
    <w:rsid w:val="001D723B"/>
    <w:rsid w:val="001E403D"/>
    <w:rsid w:val="00206E4F"/>
    <w:rsid w:val="00225A5A"/>
    <w:rsid w:val="00226998"/>
    <w:rsid w:val="0026101D"/>
    <w:rsid w:val="00264099"/>
    <w:rsid w:val="0029020B"/>
    <w:rsid w:val="0029612D"/>
    <w:rsid w:val="002A7AF2"/>
    <w:rsid w:val="002B1DE6"/>
    <w:rsid w:val="002B5977"/>
    <w:rsid w:val="002D44BE"/>
    <w:rsid w:val="003078A7"/>
    <w:rsid w:val="003104EC"/>
    <w:rsid w:val="00311D95"/>
    <w:rsid w:val="003128BA"/>
    <w:rsid w:val="00334F0A"/>
    <w:rsid w:val="003606A9"/>
    <w:rsid w:val="0037056C"/>
    <w:rsid w:val="003C03F5"/>
    <w:rsid w:val="00442037"/>
    <w:rsid w:val="00464656"/>
    <w:rsid w:val="004676F4"/>
    <w:rsid w:val="00495864"/>
    <w:rsid w:val="004A0371"/>
    <w:rsid w:val="004B064B"/>
    <w:rsid w:val="004B3E24"/>
    <w:rsid w:val="004C3C00"/>
    <w:rsid w:val="004C5E0A"/>
    <w:rsid w:val="00511B1C"/>
    <w:rsid w:val="005354F9"/>
    <w:rsid w:val="005407A3"/>
    <w:rsid w:val="00543D79"/>
    <w:rsid w:val="00544800"/>
    <w:rsid w:val="00590442"/>
    <w:rsid w:val="005E4257"/>
    <w:rsid w:val="005E4AC7"/>
    <w:rsid w:val="005F78E6"/>
    <w:rsid w:val="00602EC2"/>
    <w:rsid w:val="00607BB9"/>
    <w:rsid w:val="0062440B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707215"/>
    <w:rsid w:val="00714BE7"/>
    <w:rsid w:val="007460F6"/>
    <w:rsid w:val="00747912"/>
    <w:rsid w:val="00750B52"/>
    <w:rsid w:val="00770572"/>
    <w:rsid w:val="00770898"/>
    <w:rsid w:val="00775956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40E3E"/>
    <w:rsid w:val="00A722B6"/>
    <w:rsid w:val="00A82291"/>
    <w:rsid w:val="00AA427C"/>
    <w:rsid w:val="00AC68D6"/>
    <w:rsid w:val="00AE4C94"/>
    <w:rsid w:val="00AF058E"/>
    <w:rsid w:val="00B34F34"/>
    <w:rsid w:val="00B47108"/>
    <w:rsid w:val="00B85C66"/>
    <w:rsid w:val="00B91249"/>
    <w:rsid w:val="00BC7187"/>
    <w:rsid w:val="00BD51EF"/>
    <w:rsid w:val="00BE68C2"/>
    <w:rsid w:val="00BF0102"/>
    <w:rsid w:val="00C46CB8"/>
    <w:rsid w:val="00C56C65"/>
    <w:rsid w:val="00C709F9"/>
    <w:rsid w:val="00CA09B2"/>
    <w:rsid w:val="00CB3CF6"/>
    <w:rsid w:val="00CD6487"/>
    <w:rsid w:val="00CD7FC7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E16D83"/>
    <w:rsid w:val="00E24611"/>
    <w:rsid w:val="00E54999"/>
    <w:rsid w:val="00E81E45"/>
    <w:rsid w:val="00EB01FD"/>
    <w:rsid w:val="00F37A4E"/>
    <w:rsid w:val="00F43F13"/>
    <w:rsid w:val="00F72BAA"/>
    <w:rsid w:val="00F94CEC"/>
    <w:rsid w:val="00F95955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3357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14</cp:revision>
  <cp:lastPrinted>1900-12-31T22:03:00Z</cp:lastPrinted>
  <dcterms:created xsi:type="dcterms:W3CDTF">2018-10-21T22:41:00Z</dcterms:created>
  <dcterms:modified xsi:type="dcterms:W3CDTF">2019-02-16T14:58:00Z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