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2666AE5F" w:rsidR="006803D3" w:rsidRDefault="006803D3" w:rsidP="005546B6">
            <w:pPr>
              <w:pStyle w:val="T2"/>
              <w:ind w:left="0"/>
              <w:rPr>
                <w:sz w:val="20"/>
              </w:rPr>
            </w:pPr>
            <w:r>
              <w:rPr>
                <w:sz w:val="20"/>
              </w:rPr>
              <w:t>Date:</w:t>
            </w:r>
            <w:r w:rsidR="00343E67">
              <w:rPr>
                <w:b w:val="0"/>
                <w:sz w:val="20"/>
              </w:rPr>
              <w:t xml:space="preserve">  2018-</w:t>
            </w:r>
            <w:r w:rsidR="005546B6">
              <w:rPr>
                <w:b w:val="0"/>
                <w:sz w:val="20"/>
              </w:rPr>
              <w:t>09-1</w:t>
            </w:r>
            <w:r w:rsidR="00FF2171">
              <w:rPr>
                <w:b w:val="0"/>
                <w:sz w:val="20"/>
              </w:rPr>
              <w:t>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sz w:val="16"/>
                <w:lang w:eastAsia="zh-CN"/>
              </w:rPr>
            </w:pPr>
            <w:r w:rsidRPr="00067D04">
              <w:rPr>
                <w:sz w:val="16"/>
                <w:lang w:eastAsia="zh-CN"/>
              </w:rPr>
              <w:t>strainin@qti.qualcomm.com</w:t>
            </w:r>
          </w:p>
        </w:tc>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50" w:type="dxa"/>
        <w:tblLook w:val="04A0" w:firstRow="1" w:lastRow="0" w:firstColumn="1" w:lastColumn="0" w:noHBand="0" w:noVBand="1"/>
      </w:tblPr>
      <w:tblGrid>
        <w:gridCol w:w="941"/>
        <w:gridCol w:w="1168"/>
        <w:gridCol w:w="1500"/>
        <w:gridCol w:w="1019"/>
        <w:gridCol w:w="1033"/>
        <w:gridCol w:w="1289"/>
        <w:gridCol w:w="1015"/>
        <w:gridCol w:w="1385"/>
      </w:tblGrid>
      <w:tr w:rsidR="00BB37E2" w14:paraId="6FACBFD4" w14:textId="77777777" w:rsidTr="00EF11FA">
        <w:trPr>
          <w:trHeight w:val="1120"/>
        </w:trPr>
        <w:tc>
          <w:tcPr>
            <w:tcW w:w="941" w:type="dxa"/>
            <w:tcBorders>
              <w:bottom w:val="single" w:sz="4" w:space="0" w:color="auto"/>
            </w:tcBorders>
          </w:tcPr>
          <w:p w14:paraId="51F6EBC0"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p>
        </w:tc>
        <w:tc>
          <w:tcPr>
            <w:tcW w:w="1168" w:type="dxa"/>
            <w:tcBorders>
              <w:bottom w:val="single" w:sz="4" w:space="0" w:color="auto"/>
            </w:tcBorders>
          </w:tcPr>
          <w:p w14:paraId="08BEF4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500" w:type="dxa"/>
            <w:tcBorders>
              <w:bottom w:val="single" w:sz="4" w:space="0" w:color="auto"/>
            </w:tcBorders>
          </w:tcPr>
          <w:p w14:paraId="20AFEA3F"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019" w:type="dxa"/>
            <w:tcBorders>
              <w:bottom w:val="single" w:sz="4" w:space="0" w:color="auto"/>
            </w:tcBorders>
          </w:tcPr>
          <w:p w14:paraId="17BA416A"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1033" w:type="dxa"/>
            <w:tcBorders>
              <w:bottom w:val="single" w:sz="4" w:space="0" w:color="auto"/>
            </w:tcBorders>
          </w:tcPr>
          <w:p w14:paraId="5F6C40C5"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289" w:type="dxa"/>
            <w:tcBorders>
              <w:bottom w:val="single" w:sz="4" w:space="0" w:color="auto"/>
            </w:tcBorders>
          </w:tcPr>
          <w:p w14:paraId="56FDA76C"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015" w:type="dxa"/>
            <w:tcBorders>
              <w:bottom w:val="single" w:sz="4" w:space="0" w:color="auto"/>
            </w:tcBorders>
          </w:tcPr>
          <w:p w14:paraId="2B29EFF4" w14:textId="54526ACA" w:rsidR="00BB37E2" w:rsidRPr="00204B18" w:rsidRDefault="00EF11FA"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Peri</w:t>
            </w:r>
            <w:r>
              <w:rPr>
                <w:rFonts w:ascii="Arial-BoldMT" w:hAnsi="Arial-BoldMT" w:cs="Arial-BoldMT"/>
                <w:bCs/>
                <w:color w:val="FF0000"/>
                <w:sz w:val="21"/>
                <w:szCs w:val="16"/>
                <w:u w:val="single"/>
                <w:lang w:val="en-US"/>
              </w:rPr>
              <w:t>odic Report Request Control</w:t>
            </w:r>
          </w:p>
        </w:tc>
        <w:tc>
          <w:tcPr>
            <w:tcW w:w="1385" w:type="dxa"/>
            <w:tcBorders>
              <w:bottom w:val="single" w:sz="4" w:space="0" w:color="auto"/>
            </w:tcBorders>
          </w:tcPr>
          <w:p w14:paraId="5C0CBC9D" w14:textId="265F2562"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BB37E2" w14:paraId="2447382D" w14:textId="77777777" w:rsidTr="00EF11FA">
        <w:trPr>
          <w:trHeight w:val="216"/>
        </w:trPr>
        <w:tc>
          <w:tcPr>
            <w:tcW w:w="941" w:type="dxa"/>
            <w:tcBorders>
              <w:left w:val="nil"/>
              <w:bottom w:val="nil"/>
              <w:right w:val="nil"/>
            </w:tcBorders>
          </w:tcPr>
          <w:p w14:paraId="51481E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168" w:type="dxa"/>
            <w:tcBorders>
              <w:left w:val="nil"/>
              <w:bottom w:val="nil"/>
              <w:right w:val="nil"/>
            </w:tcBorders>
          </w:tcPr>
          <w:p w14:paraId="56C04F2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500" w:type="dxa"/>
            <w:tcBorders>
              <w:left w:val="nil"/>
              <w:bottom w:val="nil"/>
              <w:right w:val="nil"/>
            </w:tcBorders>
          </w:tcPr>
          <w:p w14:paraId="2AA9BF26"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19" w:type="dxa"/>
            <w:tcBorders>
              <w:left w:val="nil"/>
              <w:bottom w:val="nil"/>
              <w:right w:val="nil"/>
            </w:tcBorders>
          </w:tcPr>
          <w:p w14:paraId="4D16D3D2"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1033" w:type="dxa"/>
            <w:tcBorders>
              <w:left w:val="nil"/>
              <w:bottom w:val="nil"/>
              <w:right w:val="nil"/>
            </w:tcBorders>
          </w:tcPr>
          <w:p w14:paraId="7FC8EFE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289" w:type="dxa"/>
            <w:tcBorders>
              <w:left w:val="nil"/>
              <w:bottom w:val="nil"/>
              <w:right w:val="nil"/>
            </w:tcBorders>
          </w:tcPr>
          <w:p w14:paraId="5AA8A891"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015" w:type="dxa"/>
            <w:tcBorders>
              <w:left w:val="nil"/>
              <w:bottom w:val="nil"/>
              <w:right w:val="nil"/>
            </w:tcBorders>
          </w:tcPr>
          <w:p w14:paraId="787CB3E7" w14:textId="7C7A8CE1" w:rsidR="00BB37E2" w:rsidRDefault="00BB37E2"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bCs/>
                <w:color w:val="FF0000"/>
                <w:sz w:val="21"/>
                <w:szCs w:val="16"/>
                <w:u w:val="single"/>
                <w:lang w:val="en-US"/>
              </w:rPr>
              <w:t>1</w:t>
            </w:r>
          </w:p>
        </w:tc>
        <w:tc>
          <w:tcPr>
            <w:tcW w:w="1385" w:type="dxa"/>
            <w:tcBorders>
              <w:left w:val="nil"/>
              <w:bottom w:val="nil"/>
              <w:right w:val="nil"/>
            </w:tcBorders>
          </w:tcPr>
          <w:p w14:paraId="1357A44F" w14:textId="02E724D5"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8</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0EABB0D8" w14:textId="4A10B4F0" w:rsidR="009A4BA8" w:rsidRDefault="009A4BA8" w:rsidP="009A4BA8">
      <w:pPr>
        <w:widowControl w:val="0"/>
        <w:autoSpaceDE w:val="0"/>
        <w:autoSpaceDN w:val="0"/>
        <w:adjustRightInd w:val="0"/>
        <w:rPr>
          <w:rFonts w:ascii="Arial-BoldMT" w:hAnsi="Arial-BoldMT" w:cs="Arial-BoldMT"/>
          <w:b/>
          <w:bCs/>
          <w:i/>
          <w:color w:val="FF0000"/>
          <w:sz w:val="24"/>
          <w:szCs w:val="24"/>
          <w:lang w:val="en-US" w:eastAsia="zh-CN"/>
        </w:rPr>
      </w:pPr>
    </w:p>
    <w:p w14:paraId="3E07C03E" w14:textId="77777777" w:rsidR="00076108" w:rsidRPr="00076108" w:rsidRDefault="00076108" w:rsidP="009A4BA8">
      <w:pPr>
        <w:widowControl w:val="0"/>
        <w:autoSpaceDE w:val="0"/>
        <w:autoSpaceDN w:val="0"/>
        <w:adjustRightInd w:val="0"/>
        <w:rPr>
          <w:rFonts w:ascii="Arial-BoldMT" w:hAnsi="Arial-BoldMT" w:cs="Arial-BoldMT"/>
          <w:b/>
          <w:bCs/>
          <w:i/>
          <w:color w:val="FF0000"/>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6FF30D22" w:rsidR="009A4BA8"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P</w:t>
      </w:r>
      <w:r w:rsidRPr="001A4751">
        <w:rPr>
          <w:rFonts w:ascii="Arial-BoldMT" w:hAnsi="Arial-BoldMT" w:cs="Arial-BoldMT"/>
          <w:bCs/>
          <w:color w:val="FF0000"/>
          <w:sz w:val="20"/>
          <w:u w:val="single"/>
          <w:lang w:val="en-US" w:eastAsia="zh-CN"/>
        </w:rPr>
        <w:t>eriodic Report Request Control field contains indications of whether the Link Measurement Request frame includes optional fields used for periodic link measurement, and is shown in Figure 9-xxx0.</w:t>
      </w:r>
    </w:p>
    <w:p w14:paraId="78D7A99C" w14:textId="77777777" w:rsidR="00EF11FA" w:rsidRPr="000E5825" w:rsidRDefault="00EF11FA" w:rsidP="009A4BA8">
      <w:pPr>
        <w:widowControl w:val="0"/>
        <w:autoSpaceDE w:val="0"/>
        <w:autoSpaceDN w:val="0"/>
        <w:adjustRightInd w:val="0"/>
        <w:rPr>
          <w:rFonts w:ascii="Arial-BoldMT" w:hAnsi="Arial-BoldMT" w:cs="Arial-BoldMT"/>
          <w:bCs/>
          <w:color w:val="FF0000"/>
          <w:sz w:val="24"/>
          <w:szCs w:val="24"/>
          <w:u w:val="single"/>
          <w:lang w:val="en-US" w:eastAsia="zh-CN"/>
        </w:rPr>
      </w:pPr>
      <w:bookmarkStart w:id="0" w:name="_GoBack"/>
      <w:bookmarkEnd w:id="0"/>
    </w:p>
    <w:p w14:paraId="5DCB004F" w14:textId="3D5C26C1"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1087D">
        <w:rPr>
          <w:rFonts w:ascii="Arial-BoldMT" w:hAnsi="Arial-BoldMT" w:cs="Arial-BoldMT"/>
          <w:bCs/>
          <w:color w:val="FF0000"/>
          <w:sz w:val="20"/>
          <w:u w:val="single"/>
          <w:lang w:val="en-US" w:eastAsia="zh-CN"/>
        </w:rPr>
        <w:t>The Periodic Report Request field</w:t>
      </w:r>
      <w:r w:rsidR="00EF11FA" w:rsidRPr="0041087D">
        <w:rPr>
          <w:rFonts w:ascii="Arial-BoldMT" w:hAnsi="Arial-BoldMT" w:cs="Arial-BoldMT"/>
          <w:bCs/>
          <w:color w:val="FF0000"/>
          <w:sz w:val="20"/>
          <w:u w:val="single"/>
          <w:lang w:val="en-US" w:eastAsia="zh-CN"/>
        </w:rPr>
        <w:t xml:space="preserve"> </w:t>
      </w:r>
      <w:r w:rsidR="00EF11FA" w:rsidRPr="00E60BC2">
        <w:rPr>
          <w:rFonts w:ascii="Arial-BoldMT" w:hAnsi="Arial-BoldMT" w:cs="Arial-BoldMT"/>
          <w:bCs/>
          <w:color w:val="FF0000"/>
          <w:sz w:val="20"/>
          <w:u w:val="single"/>
          <w:lang w:val="en-US" w:eastAsia="zh-CN"/>
        </w:rPr>
        <w:t>is optionally present. If present, it</w:t>
      </w:r>
      <w:r w:rsidRPr="0041087D">
        <w:rPr>
          <w:rFonts w:ascii="Arial-BoldMT" w:hAnsi="Arial-BoldMT" w:cs="Arial-BoldMT"/>
          <w:bCs/>
          <w:color w:val="FF0000"/>
          <w:sz w:val="20"/>
          <w:u w:val="single"/>
          <w:lang w:val="en-US" w:eastAsia="zh-CN"/>
        </w:rPr>
        <w:t xml:space="preserve"> specifies the start time, interval and duration for periodic link measurement reports, and</w:t>
      </w:r>
      <w:r w:rsidRPr="0041087D">
        <w:rPr>
          <w:rFonts w:ascii="Arial-BoldMT" w:hAnsi="Arial-BoldMT" w:cs="Arial-BoldMT" w:hint="eastAsia"/>
          <w:bCs/>
          <w:color w:val="FF0000"/>
          <w:sz w:val="20"/>
          <w:u w:val="single"/>
          <w:lang w:val="en-US" w:eastAsia="zh-CN"/>
        </w:rPr>
        <w:t xml:space="preserve"> is </w:t>
      </w:r>
      <w:r w:rsidRPr="0041087D">
        <w:rPr>
          <w:rFonts w:ascii="Arial-BoldMT" w:hAnsi="Arial-BoldMT" w:cs="Arial-BoldMT"/>
          <w:bCs/>
          <w:color w:val="FF0000"/>
          <w:sz w:val="20"/>
          <w:u w:val="single"/>
          <w:lang w:val="en-US" w:eastAsia="zh-CN"/>
        </w:rPr>
        <w:t>shown in Figure 9-xxx1.</w:t>
      </w:r>
      <w:r w:rsidR="00E62E78">
        <w:rPr>
          <w:rFonts w:ascii="Arial-BoldMT" w:hAnsi="Arial-BoldMT" w:cs="Arial-BoldMT"/>
          <w:bCs/>
          <w:color w:val="FF0000"/>
          <w:sz w:val="20"/>
          <w:u w:val="single"/>
          <w:lang w:val="en-US" w:eastAsia="zh-CN"/>
        </w:rPr>
        <w:t xml:space="preserve"> </w:t>
      </w:r>
    </w:p>
    <w:p w14:paraId="37E52394"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3212"/>
        <w:gridCol w:w="3827"/>
      </w:tblGrid>
      <w:tr w:rsidR="00EF11FA" w:rsidRPr="001A4751" w14:paraId="28350CA9" w14:textId="77777777" w:rsidTr="00EF11FA">
        <w:trPr>
          <w:trHeight w:val="401"/>
        </w:trPr>
        <w:tc>
          <w:tcPr>
            <w:tcW w:w="2170" w:type="dxa"/>
            <w:tcBorders>
              <w:bottom w:val="single" w:sz="4" w:space="0" w:color="auto"/>
            </w:tcBorders>
          </w:tcPr>
          <w:p w14:paraId="32159292" w14:textId="77777777" w:rsidR="00EF11FA" w:rsidRPr="00B11290" w:rsidRDefault="00EF11FA" w:rsidP="0023130D">
            <w:pPr>
              <w:widowControl w:val="0"/>
              <w:autoSpaceDE w:val="0"/>
              <w:autoSpaceDN w:val="0"/>
              <w:adjustRightInd w:val="0"/>
              <w:rPr>
                <w:rFonts w:ascii="Arial-BoldMT" w:hAnsi="Arial-BoldMT" w:cs="Arial-BoldMT"/>
                <w:bCs/>
                <w:color w:val="FF0000"/>
                <w:sz w:val="20"/>
                <w:u w:val="single"/>
                <w:lang w:val="en-US"/>
              </w:rPr>
            </w:pPr>
          </w:p>
        </w:tc>
        <w:tc>
          <w:tcPr>
            <w:tcW w:w="3212" w:type="dxa"/>
            <w:tcBorders>
              <w:bottom w:val="single" w:sz="4" w:space="0" w:color="auto"/>
            </w:tcBorders>
          </w:tcPr>
          <w:p w14:paraId="00A4AF27" w14:textId="1412952F" w:rsidR="00EF11FA" w:rsidRPr="001A4751" w:rsidRDefault="00EF11FA" w:rsidP="0023130D">
            <w:pPr>
              <w:widowControl w:val="0"/>
              <w:autoSpaceDE w:val="0"/>
              <w:autoSpaceDN w:val="0"/>
              <w:adjustRightInd w:val="0"/>
              <w:rPr>
                <w:rFonts w:cs="Arial-BoldMT"/>
                <w:bCs/>
                <w:color w:val="FF0000"/>
                <w:sz w:val="20"/>
                <w:u w:val="single"/>
                <w:lang w:val="en-US"/>
              </w:rPr>
            </w:pPr>
            <w:r w:rsidRPr="001A4751">
              <w:rPr>
                <w:rFonts w:ascii="Arial-BoldMT" w:hAnsi="Arial-BoldMT" w:cs="Arial-BoldMT"/>
                <w:bCs/>
                <w:color w:val="FF0000"/>
                <w:sz w:val="20"/>
                <w:u w:val="single"/>
                <w:lang w:val="en-US"/>
              </w:rPr>
              <w:t>Indication for Periodic Report Request</w:t>
            </w:r>
          </w:p>
        </w:tc>
        <w:tc>
          <w:tcPr>
            <w:tcW w:w="3827" w:type="dxa"/>
            <w:tcBorders>
              <w:bottom w:val="single" w:sz="4" w:space="0" w:color="auto"/>
            </w:tcBorders>
          </w:tcPr>
          <w:p w14:paraId="48E022EA" w14:textId="219572B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Reserved</w:t>
            </w:r>
          </w:p>
        </w:tc>
      </w:tr>
      <w:tr w:rsidR="00EF11FA" w:rsidRPr="001A4751" w14:paraId="38E3193E" w14:textId="77777777" w:rsidTr="00EF11FA">
        <w:trPr>
          <w:trHeight w:val="200"/>
        </w:trPr>
        <w:tc>
          <w:tcPr>
            <w:tcW w:w="2170" w:type="dxa"/>
            <w:tcBorders>
              <w:left w:val="nil"/>
              <w:bottom w:val="nil"/>
              <w:right w:val="nil"/>
            </w:tcBorders>
          </w:tcPr>
          <w:p w14:paraId="16336499" w14:textId="3FEA3F52"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3212" w:type="dxa"/>
            <w:tcBorders>
              <w:left w:val="nil"/>
              <w:bottom w:val="nil"/>
              <w:right w:val="nil"/>
            </w:tcBorders>
          </w:tcPr>
          <w:p w14:paraId="4CA6F3B5" w14:textId="50CA0A6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3827" w:type="dxa"/>
            <w:tcBorders>
              <w:left w:val="nil"/>
              <w:bottom w:val="nil"/>
              <w:right w:val="nil"/>
            </w:tcBorders>
          </w:tcPr>
          <w:p w14:paraId="3BE05473" w14:textId="608651CC"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7</w:t>
            </w:r>
          </w:p>
        </w:tc>
      </w:tr>
    </w:tbl>
    <w:p w14:paraId="7B4C444C" w14:textId="26EF7FA9"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Pr="001A4751">
        <w:rPr>
          <w:rFonts w:ascii="Arial-BoldMT" w:hAnsi="Arial-BoldMT" w:cs="Arial-BoldMT"/>
          <w:bCs/>
          <w:color w:val="FF0000"/>
          <w:sz w:val="24"/>
          <w:szCs w:val="24"/>
          <w:u w:val="single"/>
          <w:lang w:val="en-US" w:eastAsia="zh-CN"/>
        </w:rPr>
        <w:t>igure 9-xxx0---Periodic Report Request Control field format</w:t>
      </w:r>
    </w:p>
    <w:p w14:paraId="389430E3"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7DF63DB4" w14:textId="756AC0C9" w:rsidR="008E3273" w:rsidRPr="00EF11FA" w:rsidRDefault="008E3273"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dication for Periodic Report Request subfield is set to 1 if the Link Measurement Request frame contains the Periodic Report Request field. It is set to 0 otherwise.</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902441">
        <w:trPr>
          <w:trHeight w:val="401"/>
        </w:trPr>
        <w:tc>
          <w:tcPr>
            <w:tcW w:w="2170" w:type="dxa"/>
            <w:tcBorders>
              <w:bottom w:val="single" w:sz="4" w:space="0" w:color="auto"/>
            </w:tcBorders>
          </w:tcPr>
          <w:p w14:paraId="25119C77"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902441">
        <w:trPr>
          <w:trHeight w:val="200"/>
        </w:trPr>
        <w:tc>
          <w:tcPr>
            <w:tcW w:w="2170" w:type="dxa"/>
            <w:tcBorders>
              <w:left w:val="nil"/>
              <w:bottom w:val="nil"/>
              <w:right w:val="nil"/>
            </w:tcBorders>
          </w:tcPr>
          <w:p w14:paraId="4633630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071A2610" w:rsidR="009A4BA8" w:rsidRPr="00B11290" w:rsidRDefault="006677FF"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r>
    </w:tbl>
    <w:p w14:paraId="5D8BDEEF" w14:textId="7CFD92A3"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24C66028"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r w:rsidR="00E62E78">
        <w:rPr>
          <w:rFonts w:ascii="Arial-BoldMT" w:hAnsi="Arial-BoldMT" w:cs="Arial-BoldMT"/>
          <w:bCs/>
          <w:color w:val="FF0000"/>
          <w:sz w:val="20"/>
          <w:u w:val="single"/>
          <w:lang w:val="en-US" w:eastAsia="zh-CN"/>
        </w:rPr>
        <w:t xml:space="preserve"> </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09479A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27751C2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21"/>
        <w:gridCol w:w="544"/>
        <w:gridCol w:w="638"/>
        <w:gridCol w:w="654"/>
        <w:gridCol w:w="672"/>
        <w:gridCol w:w="479"/>
        <w:gridCol w:w="479"/>
        <w:gridCol w:w="625"/>
        <w:gridCol w:w="1168"/>
        <w:gridCol w:w="650"/>
        <w:gridCol w:w="621"/>
        <w:gridCol w:w="702"/>
      </w:tblGrid>
      <w:tr w:rsidR="00BB37E2" w14:paraId="178BF0A3" w14:textId="27B9C156" w:rsidTr="00BB37E2">
        <w:trPr>
          <w:trHeight w:val="683"/>
        </w:trPr>
        <w:tc>
          <w:tcPr>
            <w:tcW w:w="0" w:type="auto"/>
            <w:tcBorders>
              <w:bottom w:val="single" w:sz="4" w:space="0" w:color="auto"/>
            </w:tcBorders>
          </w:tcPr>
          <w:p w14:paraId="344784A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48AD66C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c>
          <w:tcPr>
            <w:tcW w:w="0" w:type="auto"/>
            <w:tcBorders>
              <w:bottom w:val="single" w:sz="4" w:space="0" w:color="auto"/>
            </w:tcBorders>
          </w:tcPr>
          <w:p w14:paraId="4E5FFC2A" w14:textId="35776E87" w:rsidR="00BB37E2" w:rsidRPr="001A4751" w:rsidRDefault="00BB37E2">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Period</w:t>
            </w:r>
            <w:r w:rsidR="00EF11FA" w:rsidRPr="001A4751">
              <w:rPr>
                <w:rFonts w:ascii="Arial-BoldMT" w:hAnsi="Arial-BoldMT" w:cs="Arial-BoldMT"/>
                <w:bCs/>
                <w:color w:val="FF0000"/>
                <w:sz w:val="11"/>
                <w:szCs w:val="16"/>
                <w:u w:val="single"/>
                <w:lang w:val="en-US"/>
              </w:rPr>
              <w:t>ic</w:t>
            </w:r>
            <w:r w:rsidRPr="001A4751">
              <w:rPr>
                <w:rFonts w:ascii="Arial-BoldMT" w:hAnsi="Arial-BoldMT" w:cs="Arial-BoldMT"/>
                <w:bCs/>
                <w:color w:val="FF0000"/>
                <w:sz w:val="11"/>
                <w:szCs w:val="16"/>
                <w:u w:val="single"/>
                <w:lang w:val="en-US"/>
              </w:rPr>
              <w:t xml:space="preserve"> Report Control</w:t>
            </w:r>
          </w:p>
        </w:tc>
        <w:tc>
          <w:tcPr>
            <w:tcW w:w="0" w:type="auto"/>
            <w:tcBorders>
              <w:bottom w:val="single" w:sz="4" w:space="0" w:color="auto"/>
            </w:tcBorders>
          </w:tcPr>
          <w:p w14:paraId="1C3AC062" w14:textId="7EDF0F6E"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14F335AA" w14:textId="47746B58"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r>
      <w:tr w:rsidR="00BB37E2" w14:paraId="2C53AD36" w14:textId="515E67DD" w:rsidTr="00BB37E2">
        <w:trPr>
          <w:trHeight w:val="278"/>
        </w:trPr>
        <w:tc>
          <w:tcPr>
            <w:tcW w:w="0" w:type="auto"/>
            <w:tcBorders>
              <w:top w:val="single" w:sz="4" w:space="0" w:color="auto"/>
              <w:left w:val="nil"/>
              <w:bottom w:val="nil"/>
              <w:right w:val="nil"/>
            </w:tcBorders>
          </w:tcPr>
          <w:p w14:paraId="6E9B5C7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06AF7B39"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c>
          <w:tcPr>
            <w:tcW w:w="0" w:type="auto"/>
            <w:tcBorders>
              <w:top w:val="single" w:sz="4" w:space="0" w:color="auto"/>
              <w:left w:val="nil"/>
              <w:bottom w:val="nil"/>
              <w:right w:val="nil"/>
            </w:tcBorders>
          </w:tcPr>
          <w:p w14:paraId="31CC6AB0" w14:textId="14393F8B" w:rsidR="00BB37E2" w:rsidRPr="001A4751" w:rsidRDefault="00BB37E2" w:rsidP="00C907C8">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1</w:t>
            </w:r>
          </w:p>
        </w:tc>
        <w:tc>
          <w:tcPr>
            <w:tcW w:w="0" w:type="auto"/>
            <w:tcBorders>
              <w:top w:val="single" w:sz="4" w:space="0" w:color="auto"/>
              <w:left w:val="nil"/>
              <w:bottom w:val="nil"/>
              <w:right w:val="nil"/>
            </w:tcBorders>
          </w:tcPr>
          <w:p w14:paraId="2DC37076" w14:textId="5359A99A"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DBE3D47" w14:textId="329AA7AB"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2</w:t>
            </w:r>
          </w:p>
        </w:tc>
      </w:tr>
    </w:tbl>
    <w:p w14:paraId="345642E7" w14:textId="6B884B53" w:rsidR="009A4BA8" w:rsidRDefault="009A4BA8" w:rsidP="00F84ECA">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6BE8EE9" w14:textId="77777777" w:rsidR="00F84ECA" w:rsidRDefault="00F84ECA"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lastRenderedPageBreak/>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1D7FBD2" w14:textId="7997C43D"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szCs w:val="18"/>
          <w:u w:val="single"/>
          <w:lang w:val="en-US" w:eastAsia="zh-CN"/>
        </w:rPr>
        <w:t>The</w:t>
      </w:r>
      <w:r w:rsidRPr="001A4751">
        <w:rPr>
          <w:rFonts w:ascii="Arial-BoldMT" w:hAnsi="Arial-BoldMT" w:cs="Arial-BoldMT"/>
          <w:bCs/>
          <w:color w:val="FF0000"/>
          <w:sz w:val="20"/>
          <w:szCs w:val="18"/>
          <w:u w:val="single"/>
          <w:lang w:val="en-US" w:eastAsia="zh-CN"/>
        </w:rPr>
        <w:t xml:space="preserve"> Periodic Report Control field contains </w:t>
      </w:r>
      <w:r w:rsidRPr="001A4751">
        <w:rPr>
          <w:rFonts w:ascii="Arial-BoldMT" w:hAnsi="Arial-BoldMT" w:cs="Arial-BoldMT"/>
          <w:bCs/>
          <w:color w:val="FF0000"/>
          <w:sz w:val="20"/>
          <w:u w:val="single"/>
          <w:lang w:val="en-US" w:eastAsia="zh-CN"/>
        </w:rPr>
        <w:t>indications of whether</w:t>
      </w:r>
      <w:r w:rsidR="008E3273" w:rsidRPr="001A4751">
        <w:rPr>
          <w:rFonts w:ascii="Arial-BoldMT" w:hAnsi="Arial-BoldMT" w:cs="Arial-BoldMT"/>
          <w:bCs/>
          <w:color w:val="FF0000"/>
          <w:sz w:val="20"/>
          <w:u w:val="single"/>
          <w:lang w:val="en-US" w:eastAsia="zh-CN"/>
        </w:rPr>
        <w:t xml:space="preserve"> the responding STA accepts or rejects the periodic link measurement request, and whether</w:t>
      </w:r>
      <w:r w:rsidRPr="001A4751">
        <w:rPr>
          <w:rFonts w:ascii="Arial-BoldMT" w:hAnsi="Arial-BoldMT" w:cs="Arial-BoldMT"/>
          <w:bCs/>
          <w:color w:val="FF0000"/>
          <w:sz w:val="20"/>
          <w:u w:val="single"/>
          <w:lang w:val="en-US" w:eastAsia="zh-CN"/>
        </w:rPr>
        <w:t xml:space="preserve"> the Link Measurement Report frame includes optional fields used for periodic link measurement reports</w:t>
      </w:r>
      <w:r w:rsidR="008E3273" w:rsidRPr="001A4751">
        <w:rPr>
          <w:rFonts w:ascii="Arial-BoldMT" w:hAnsi="Arial-BoldMT" w:cs="Arial-BoldMT"/>
          <w:bCs/>
          <w:color w:val="FF0000"/>
          <w:sz w:val="20"/>
          <w:u w:val="single"/>
          <w:lang w:val="en-US" w:eastAsia="zh-CN"/>
        </w:rPr>
        <w:t>. The field</w:t>
      </w:r>
      <w:r w:rsidRPr="001A4751">
        <w:rPr>
          <w:rFonts w:ascii="Arial-BoldMT" w:hAnsi="Arial-BoldMT" w:cs="Arial-BoldMT"/>
          <w:bCs/>
          <w:color w:val="FF0000"/>
          <w:sz w:val="20"/>
          <w:u w:val="single"/>
          <w:lang w:val="en-US" w:eastAsia="zh-CN"/>
        </w:rPr>
        <w:t xml:space="preserve"> and is shown in Figure 9-xxx2.</w:t>
      </w:r>
    </w:p>
    <w:p w14:paraId="4069A428"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4D157A03" w14:textId="77777777" w:rsidR="008E3273" w:rsidRPr="00E62E78"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C8215C">
        <w:rPr>
          <w:rFonts w:ascii="Arial-BoldMT" w:hAnsi="Arial-BoldMT" w:cs="Arial-BoldMT"/>
          <w:bCs/>
          <w:color w:val="FF0000"/>
          <w:sz w:val="20"/>
          <w:szCs w:val="18"/>
          <w:u w:val="single"/>
          <w:lang w:val="en-US" w:eastAsia="zh-CN"/>
        </w:rPr>
        <w:t xml:space="preserve">The Report Interval Start Time field </w:t>
      </w:r>
      <w:r w:rsidRPr="001A4751">
        <w:rPr>
          <w:rFonts w:ascii="Arial-BoldMT" w:hAnsi="Arial-BoldMT" w:cs="Arial-BoldMT"/>
          <w:bCs/>
          <w:color w:val="FF0000"/>
          <w:sz w:val="20"/>
          <w:szCs w:val="18"/>
          <w:u w:val="single"/>
          <w:lang w:val="en-US" w:eastAsia="zh-CN"/>
        </w:rPr>
        <w:t>is optionally present. If present,</w:t>
      </w:r>
      <w:r>
        <w:rPr>
          <w:rFonts w:ascii="Arial-BoldMT" w:hAnsi="Arial-BoldMT" w:cs="Arial-BoldMT"/>
          <w:bCs/>
          <w:color w:val="FF0000"/>
          <w:sz w:val="20"/>
          <w:szCs w:val="18"/>
          <w:u w:val="single"/>
          <w:lang w:val="en-US" w:eastAsia="zh-CN"/>
        </w:rPr>
        <w:t xml:space="preserve"> it </w:t>
      </w:r>
      <w:r w:rsidRPr="00C8215C">
        <w:rPr>
          <w:rFonts w:ascii="Arial-BoldMT" w:hAnsi="Arial-BoldMT" w:cs="Arial-BoldMT"/>
          <w:bCs/>
          <w:color w:val="FF0000"/>
          <w:sz w:val="20"/>
          <w:szCs w:val="18"/>
          <w:u w:val="single"/>
          <w:lang w:val="en-US" w:eastAsia="zh-CN"/>
        </w:rPr>
        <w:t>indicates the lower 4 octets of the TSF timer at the start of the report interval of the corresponding Link Measurement Report frame.</w:t>
      </w:r>
      <w:r>
        <w:rPr>
          <w:rFonts w:ascii="Arial-BoldMT" w:hAnsi="Arial-BoldMT" w:cs="Arial-BoldMT"/>
          <w:bCs/>
          <w:color w:val="FF0000"/>
          <w:sz w:val="20"/>
          <w:szCs w:val="18"/>
          <w:u w:val="single"/>
          <w:lang w:val="en-US" w:eastAsia="zh-CN"/>
        </w:rPr>
        <w:t xml:space="preserve"> </w:t>
      </w:r>
    </w:p>
    <w:p w14:paraId="4BF6B4E2" w14:textId="77777777" w:rsidR="008E3273"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p>
    <w:p w14:paraId="52861C3D" w14:textId="77777777" w:rsidR="008E3273" w:rsidRPr="00C8215C"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field </w:t>
      </w:r>
      <w:r w:rsidRPr="001A4751">
        <w:rPr>
          <w:rFonts w:ascii="Arial-BoldMT" w:hAnsi="Arial-BoldMT" w:cs="Arial-BoldMT"/>
          <w:bCs/>
          <w:color w:val="FF0000"/>
          <w:sz w:val="20"/>
          <w:szCs w:val="18"/>
          <w:highlight w:val="yellow"/>
          <w:u w:val="single"/>
          <w:lang w:val="en-US" w:eastAsia="zh-CN"/>
        </w:rPr>
        <w:t>is optionally present. If present, i</w:t>
      </w:r>
      <w:r>
        <w:rPr>
          <w:rFonts w:ascii="Arial-BoldMT" w:hAnsi="Arial-BoldMT" w:cs="Arial-BoldMT"/>
          <w:bCs/>
          <w:color w:val="FF0000"/>
          <w:sz w:val="20"/>
          <w:szCs w:val="18"/>
          <w:u w:val="single"/>
          <w:lang w:val="en-US" w:eastAsia="zh-CN"/>
        </w:rPr>
        <w:t xml:space="preserve">t </w:t>
      </w:r>
      <w:r w:rsidRPr="00B97518">
        <w:rPr>
          <w:rFonts w:ascii="Arial-BoldMT" w:hAnsi="Arial-BoldMT" w:cs="Arial-BoldMT"/>
          <w:bCs/>
          <w:color w:val="FF0000"/>
          <w:sz w:val="20"/>
          <w:szCs w:val="18"/>
          <w:u w:val="single"/>
          <w:lang w:val="en-US" w:eastAsia="zh-CN"/>
        </w:rPr>
        <w:t>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3111E875" w14:textId="77777777" w:rsidR="008E3273" w:rsidRP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p w14:paraId="170F9D62" w14:textId="77777777" w:rsid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9350" w:type="dxa"/>
        <w:tblLook w:val="04A0" w:firstRow="1" w:lastRow="0" w:firstColumn="1" w:lastColumn="0" w:noHBand="0" w:noVBand="1"/>
      </w:tblPr>
      <w:tblGrid>
        <w:gridCol w:w="1712"/>
        <w:gridCol w:w="1901"/>
        <w:gridCol w:w="1795"/>
        <w:gridCol w:w="2091"/>
        <w:gridCol w:w="1851"/>
      </w:tblGrid>
      <w:tr w:rsidR="008E3273" w:rsidRPr="001A4751" w14:paraId="04A3106F" w14:textId="7867D3C9" w:rsidTr="008E3273">
        <w:trPr>
          <w:trHeight w:val="401"/>
        </w:trPr>
        <w:tc>
          <w:tcPr>
            <w:tcW w:w="1712" w:type="dxa"/>
            <w:tcBorders>
              <w:bottom w:val="single" w:sz="4" w:space="0" w:color="auto"/>
            </w:tcBorders>
          </w:tcPr>
          <w:p w14:paraId="4CEF779B" w14:textId="77777777" w:rsidR="008E3273" w:rsidRPr="00B11290" w:rsidRDefault="008E3273" w:rsidP="008E3273">
            <w:pPr>
              <w:widowControl w:val="0"/>
              <w:autoSpaceDE w:val="0"/>
              <w:autoSpaceDN w:val="0"/>
              <w:adjustRightInd w:val="0"/>
              <w:rPr>
                <w:rFonts w:ascii="Arial-BoldMT" w:hAnsi="Arial-BoldMT" w:cs="Arial-BoldMT"/>
                <w:bCs/>
                <w:color w:val="FF0000"/>
                <w:sz w:val="20"/>
                <w:u w:val="single"/>
                <w:lang w:val="en-US"/>
              </w:rPr>
            </w:pPr>
          </w:p>
        </w:tc>
        <w:tc>
          <w:tcPr>
            <w:tcW w:w="1901" w:type="dxa"/>
            <w:tcBorders>
              <w:bottom w:val="single" w:sz="4" w:space="0" w:color="auto"/>
            </w:tcBorders>
          </w:tcPr>
          <w:p w14:paraId="62E88107" w14:textId="60AADF5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Accept/Reject Periodic Report</w:t>
            </w:r>
          </w:p>
        </w:tc>
        <w:tc>
          <w:tcPr>
            <w:tcW w:w="1795" w:type="dxa"/>
            <w:tcBorders>
              <w:bottom w:val="single" w:sz="4" w:space="0" w:color="auto"/>
            </w:tcBorders>
          </w:tcPr>
          <w:p w14:paraId="19CC46AF" w14:textId="44F2F96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Report Interval Start Time</w:t>
            </w:r>
          </w:p>
        </w:tc>
        <w:tc>
          <w:tcPr>
            <w:tcW w:w="2091" w:type="dxa"/>
            <w:tcBorders>
              <w:bottom w:val="single" w:sz="4" w:space="0" w:color="auto"/>
            </w:tcBorders>
          </w:tcPr>
          <w:p w14:paraId="4CC06517" w14:textId="211D5234"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Statistics Reset Time Offset</w:t>
            </w:r>
          </w:p>
        </w:tc>
        <w:tc>
          <w:tcPr>
            <w:tcW w:w="1851" w:type="dxa"/>
            <w:tcBorders>
              <w:bottom w:val="single" w:sz="4" w:space="0" w:color="auto"/>
            </w:tcBorders>
          </w:tcPr>
          <w:p w14:paraId="4234CA58" w14:textId="17F7B7C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Reserve</w:t>
            </w:r>
            <w:r w:rsidRPr="001A4751">
              <w:rPr>
                <w:rFonts w:ascii="Arial-BoldMT" w:hAnsi="Arial-BoldMT" w:cs="Arial-BoldMT"/>
                <w:bCs/>
                <w:color w:val="FF0000"/>
                <w:sz w:val="20"/>
                <w:u w:val="single"/>
                <w:lang w:val="en-US"/>
              </w:rPr>
              <w:t>d</w:t>
            </w:r>
          </w:p>
        </w:tc>
      </w:tr>
      <w:tr w:rsidR="008E3273" w:rsidRPr="001A4751" w14:paraId="55CB960F" w14:textId="7E43636A" w:rsidTr="008E3273">
        <w:trPr>
          <w:trHeight w:val="102"/>
        </w:trPr>
        <w:tc>
          <w:tcPr>
            <w:tcW w:w="1712" w:type="dxa"/>
            <w:tcBorders>
              <w:left w:val="nil"/>
              <w:bottom w:val="nil"/>
              <w:right w:val="nil"/>
            </w:tcBorders>
          </w:tcPr>
          <w:p w14:paraId="7EBA2605" w14:textId="214ED03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1901" w:type="dxa"/>
            <w:tcBorders>
              <w:left w:val="nil"/>
              <w:bottom w:val="nil"/>
              <w:right w:val="nil"/>
            </w:tcBorders>
          </w:tcPr>
          <w:p w14:paraId="0E30371D" w14:textId="644CA288"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795" w:type="dxa"/>
            <w:tcBorders>
              <w:left w:val="nil"/>
              <w:bottom w:val="nil"/>
              <w:right w:val="nil"/>
            </w:tcBorders>
          </w:tcPr>
          <w:p w14:paraId="46519AC2" w14:textId="1BBA897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2091" w:type="dxa"/>
            <w:tcBorders>
              <w:left w:val="nil"/>
              <w:bottom w:val="nil"/>
              <w:right w:val="nil"/>
            </w:tcBorders>
          </w:tcPr>
          <w:p w14:paraId="43AAD194" w14:textId="5DA368B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851" w:type="dxa"/>
            <w:tcBorders>
              <w:left w:val="nil"/>
              <w:bottom w:val="nil"/>
              <w:right w:val="nil"/>
            </w:tcBorders>
          </w:tcPr>
          <w:p w14:paraId="7A49C45A" w14:textId="15511619"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5</w:t>
            </w:r>
          </w:p>
        </w:tc>
      </w:tr>
    </w:tbl>
    <w:p w14:paraId="7E4898B5" w14:textId="6F708BF4"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00271BE9" w:rsidRPr="001A4751">
        <w:rPr>
          <w:rFonts w:ascii="Arial-BoldMT" w:hAnsi="Arial-BoldMT" w:cs="Arial-BoldMT"/>
          <w:bCs/>
          <w:color w:val="FF0000"/>
          <w:sz w:val="24"/>
          <w:szCs w:val="24"/>
          <w:u w:val="single"/>
          <w:lang w:val="en-US" w:eastAsia="zh-CN"/>
        </w:rPr>
        <w:t>igure 9-xxx2</w:t>
      </w:r>
      <w:r w:rsidRPr="001A4751">
        <w:rPr>
          <w:rFonts w:ascii="Arial-BoldMT" w:hAnsi="Arial-BoldMT" w:cs="Arial-BoldMT"/>
          <w:bCs/>
          <w:color w:val="FF0000"/>
          <w:sz w:val="24"/>
          <w:szCs w:val="24"/>
          <w:u w:val="single"/>
          <w:lang w:val="en-US" w:eastAsia="zh-CN"/>
        </w:rPr>
        <w:t xml:space="preserve">---Periodic Report </w:t>
      </w:r>
      <w:r w:rsidR="008E3273" w:rsidRPr="001A4751">
        <w:rPr>
          <w:rFonts w:ascii="Arial-BoldMT" w:hAnsi="Arial-BoldMT" w:cs="Arial-BoldMT"/>
          <w:bCs/>
          <w:color w:val="FF0000"/>
          <w:sz w:val="24"/>
          <w:szCs w:val="24"/>
          <w:u w:val="single"/>
          <w:lang w:val="en-US" w:eastAsia="zh-CN"/>
        </w:rPr>
        <w:t>Control</w:t>
      </w:r>
      <w:r w:rsidRPr="001A4751">
        <w:rPr>
          <w:rFonts w:ascii="Arial-BoldMT" w:hAnsi="Arial-BoldMT" w:cs="Arial-BoldMT"/>
          <w:bCs/>
          <w:color w:val="FF0000"/>
          <w:sz w:val="24"/>
          <w:szCs w:val="24"/>
          <w:u w:val="single"/>
          <w:lang w:val="en-US" w:eastAsia="zh-CN"/>
        </w:rPr>
        <w:t xml:space="preserve"> field format</w:t>
      </w:r>
    </w:p>
    <w:p w14:paraId="2FCB785C" w14:textId="77777777" w:rsidR="00EF11FA"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15E48BC5" w14:textId="54DD8C03" w:rsidR="00EF11FA"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r w:rsidRPr="001A4751">
        <w:rPr>
          <w:rFonts w:ascii="Arial-BoldMT" w:hAnsi="Arial-BoldMT" w:cs="Arial-BoldMT"/>
          <w:bCs/>
          <w:color w:val="FF0000"/>
          <w:sz w:val="20"/>
          <w:szCs w:val="18"/>
          <w:u w:val="single"/>
          <w:lang w:val="en-US" w:eastAsia="zh-CN"/>
        </w:rPr>
        <w:t>The Accept/Reject Periodic Report subfield is set to 1 if the responding STA accepts periodic report, and is set to 0 if the responding STA rejects periodic report.</w:t>
      </w:r>
    </w:p>
    <w:p w14:paraId="5251366A"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0F8F5CC0" w14:textId="1573D92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subfield is set to 1 if the Link Measurement </w:t>
      </w:r>
      <w:r w:rsidR="0041087D" w:rsidRPr="001A4751">
        <w:rPr>
          <w:rFonts w:ascii="Arial-BoldMT" w:hAnsi="Arial-BoldMT" w:cs="Arial-BoldMT"/>
          <w:bCs/>
          <w:color w:val="FF0000"/>
          <w:sz w:val="20"/>
          <w:u w:val="single"/>
          <w:lang w:val="en-US" w:eastAsia="zh-CN"/>
        </w:rPr>
        <w:t>Report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field. It is set to 0 otherwise.</w:t>
      </w:r>
    </w:p>
    <w:p w14:paraId="10A16CDB"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5438AC80" w14:textId="20E300AF" w:rsidR="008E3273" w:rsidRPr="00EF11FA"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subfield is set to 1 if the Link Measurement Re</w:t>
      </w:r>
      <w:r w:rsidR="0041087D" w:rsidRPr="001A4751">
        <w:rPr>
          <w:rFonts w:ascii="Arial-BoldMT" w:hAnsi="Arial-BoldMT" w:cs="Arial-BoldMT"/>
          <w:bCs/>
          <w:color w:val="FF0000"/>
          <w:sz w:val="20"/>
          <w:u w:val="single"/>
          <w:lang w:val="en-US" w:eastAsia="zh-CN"/>
        </w:rPr>
        <w:t>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field. It is set to 0 otherwise.</w:t>
      </w:r>
    </w:p>
    <w:p w14:paraId="09E5E96D" w14:textId="77777777" w:rsidR="008E3273"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902441">
        <w:trPr>
          <w:trHeight w:val="1045"/>
        </w:trPr>
        <w:tc>
          <w:tcPr>
            <w:tcW w:w="0" w:type="auto"/>
            <w:tcBorders>
              <w:bottom w:val="single" w:sz="4" w:space="0" w:color="auto"/>
            </w:tcBorders>
          </w:tcPr>
          <w:p w14:paraId="4E242F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902441">
        <w:trPr>
          <w:trHeight w:val="426"/>
        </w:trPr>
        <w:tc>
          <w:tcPr>
            <w:tcW w:w="0" w:type="auto"/>
            <w:tcBorders>
              <w:top w:val="single" w:sz="4" w:space="0" w:color="auto"/>
              <w:left w:val="nil"/>
              <w:bottom w:val="nil"/>
              <w:right w:val="nil"/>
            </w:tcBorders>
          </w:tcPr>
          <w:p w14:paraId="5E469B38"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902441">
        <w:trPr>
          <w:trHeight w:val="1045"/>
        </w:trPr>
        <w:tc>
          <w:tcPr>
            <w:tcW w:w="0" w:type="auto"/>
            <w:tcBorders>
              <w:bottom w:val="single" w:sz="4" w:space="0" w:color="auto"/>
            </w:tcBorders>
          </w:tcPr>
          <w:p w14:paraId="38D9FA77"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902441">
        <w:trPr>
          <w:trHeight w:val="426"/>
        </w:trPr>
        <w:tc>
          <w:tcPr>
            <w:tcW w:w="0" w:type="auto"/>
            <w:tcBorders>
              <w:top w:val="single" w:sz="4" w:space="0" w:color="auto"/>
              <w:left w:val="nil"/>
              <w:bottom w:val="nil"/>
              <w:right w:val="nil"/>
            </w:tcBorders>
          </w:tcPr>
          <w:p w14:paraId="4F5FD18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902441">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902441">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BF605A" w:rsidP="00902441">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BF605A" w:rsidP="00902441">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902441">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73FE8493" w14:textId="77777777" w:rsid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p>
    <w:p w14:paraId="0F55FF97" w14:textId="419882D1" w:rsidR="009A4BA8" w:rsidRP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The Link Margin subfield contains the measured link margin of Data frames of the space-time stream and is coded as a 2s complement signed</w:t>
      </w:r>
      <w:r w:rsidRPr="001A4751">
        <w:rPr>
          <w:rFonts w:ascii="Arial-BoldMT" w:hAnsi="Arial-BoldMT" w:cs="Arial-BoldMT" w:hint="eastAsia"/>
          <w:bCs/>
          <w:color w:val="FF0000"/>
          <w:sz w:val="20"/>
          <w:u w:val="single"/>
          <w:lang w:val="en-US" w:eastAsia="zh-CN"/>
        </w:rPr>
        <w:t xml:space="preserve"> </w:t>
      </w:r>
      <w:proofErr w:type="spellStart"/>
      <w:r w:rsidRPr="001A4751">
        <w:rPr>
          <w:rFonts w:ascii="Arial-BoldMT" w:hAnsi="Arial-BoldMT" w:cs="Arial-BoldMT"/>
          <w:bCs/>
          <w:color w:val="FF0000"/>
          <w:sz w:val="20"/>
          <w:u w:val="single"/>
          <w:lang w:val="en-US" w:eastAsia="zh-CN"/>
        </w:rPr>
        <w:t>nteger</w:t>
      </w:r>
      <w:proofErr w:type="spellEnd"/>
      <w:r w:rsidRPr="001A4751">
        <w:rPr>
          <w:rFonts w:ascii="Arial-BoldMT" w:hAnsi="Arial-BoldMT" w:cs="Arial-BoldMT"/>
          <w:bCs/>
          <w:color w:val="FF0000"/>
          <w:sz w:val="20"/>
          <w:u w:val="single"/>
          <w:lang w:val="en-US" w:eastAsia="zh-CN"/>
        </w:rPr>
        <w:t xml:space="preserve"> in units of decibels. A value of –128 indicates that no link margin is provided. The method used to measure the link margin is beyond the scope of this standard.</w:t>
      </w: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FA2FEE2" w:rsidR="009A4BA8" w:rsidRPr="005C3A85" w:rsidRDefault="00E62E7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To initiate periodic link measurement, the requesting STA shall transmit a</w:t>
      </w:r>
      <w:r w:rsidR="009A4BA8" w:rsidRPr="001A4751">
        <w:rPr>
          <w:rFonts w:ascii="Arial-BoldMT" w:hAnsi="Arial-BoldMT" w:cs="Arial-BoldMT"/>
          <w:bCs/>
          <w:color w:val="FF0000"/>
          <w:sz w:val="20"/>
          <w:u w:val="single"/>
          <w:lang w:val="en-US" w:eastAsia="zh-CN"/>
        </w:rPr>
        <w:t xml:space="preserve"> Link Measurement Request frame </w:t>
      </w:r>
      <w:r w:rsidRPr="001A4751">
        <w:rPr>
          <w:rFonts w:ascii="Arial-BoldMT" w:hAnsi="Arial-BoldMT" w:cs="Arial-BoldMT"/>
          <w:bCs/>
          <w:color w:val="FF0000"/>
          <w:sz w:val="20"/>
          <w:u w:val="single"/>
          <w:lang w:val="en-US" w:eastAsia="zh-CN"/>
        </w:rPr>
        <w:t xml:space="preserve">that </w:t>
      </w:r>
      <w:r w:rsidR="009A4BA8" w:rsidRPr="001A4751">
        <w:rPr>
          <w:rFonts w:ascii="Arial-BoldMT" w:hAnsi="Arial-BoldMT" w:cs="Arial-BoldMT"/>
          <w:bCs/>
          <w:color w:val="FF0000"/>
          <w:sz w:val="20"/>
          <w:u w:val="single"/>
          <w:lang w:val="en-US" w:eastAsia="zh-CN"/>
        </w:rPr>
        <w:t>includes the Periodic Report Request field</w:t>
      </w:r>
      <w:r w:rsidR="0041087D" w:rsidRPr="001A4751">
        <w:rPr>
          <w:rFonts w:ascii="Arial-BoldMT" w:hAnsi="Arial-BoldMT" w:cs="Arial-BoldMT"/>
          <w:bCs/>
          <w:color w:val="FF0000"/>
          <w:sz w:val="20"/>
          <w:u w:val="single"/>
          <w:lang w:val="en-US" w:eastAsia="zh-CN"/>
        </w:rPr>
        <w:t xml:space="preserve"> (see 9.6.7.4)</w:t>
      </w:r>
      <w:r w:rsidR="009A4BA8" w:rsidRPr="001A4751">
        <w:rPr>
          <w:rFonts w:ascii="Arial-BoldMT" w:hAnsi="Arial-BoldMT" w:cs="Arial-BoldMT"/>
          <w:bCs/>
          <w:color w:val="FF0000"/>
          <w:sz w:val="20"/>
          <w:u w:val="single"/>
          <w:lang w:val="en-US" w:eastAsia="zh-CN"/>
        </w:rPr>
        <w:t>,</w:t>
      </w:r>
      <w:r w:rsidR="009A4BA8">
        <w:rPr>
          <w:rFonts w:ascii="Arial-BoldMT" w:hAnsi="Arial-BoldMT" w:cs="Arial-BoldMT"/>
          <w:bCs/>
          <w:color w:val="FF0000"/>
          <w:sz w:val="20"/>
          <w:u w:val="single"/>
          <w:lang w:val="en-US" w:eastAsia="zh-CN"/>
        </w:rPr>
        <w:t xml:space="preserve"> </w:t>
      </w:r>
      <w:r w:rsidR="009A4BA8"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009A4BA8" w:rsidRPr="005C3A85">
        <w:rPr>
          <w:rFonts w:ascii="Arial-BoldMT" w:hAnsi="Arial-BoldMT" w:cs="Arial-BoldMT"/>
          <w:bCs/>
          <w:color w:val="FF0000"/>
          <w:sz w:val="20"/>
          <w:u w:val="single"/>
          <w:lang w:val="en-US" w:eastAsia="zh-CN"/>
        </w:rPr>
        <w:t>QoS</w:t>
      </w:r>
      <w:proofErr w:type="spellEnd"/>
      <w:r w:rsidR="009A4BA8" w:rsidRPr="005C3A85">
        <w:rPr>
          <w:rFonts w:ascii="Arial-BoldMT" w:hAnsi="Arial-BoldMT" w:cs="Arial-BoldMT"/>
          <w:bCs/>
          <w:color w:val="FF0000"/>
          <w:sz w:val="20"/>
          <w:u w:val="single"/>
          <w:lang w:val="en-US" w:eastAsia="zh-CN"/>
        </w:rPr>
        <w:t xml:space="preserve"> N</w:t>
      </w:r>
      <w:r w:rsidR="009A4BA8">
        <w:rPr>
          <w:rFonts w:ascii="Arial-BoldMT" w:hAnsi="Arial-BoldMT" w:cs="Arial-BoldMT"/>
          <w:bCs/>
          <w:color w:val="FF0000"/>
          <w:sz w:val="20"/>
          <w:u w:val="single"/>
          <w:lang w:val="en-US" w:eastAsia="zh-CN"/>
        </w:rPr>
        <w:t>ull</w:t>
      </w:r>
      <w:r w:rsidR="009A4BA8" w:rsidRPr="005C3A85">
        <w:rPr>
          <w:rFonts w:ascii="Arial-BoldMT" w:hAnsi="Arial-BoldMT" w:cs="Arial-BoldMT"/>
          <w:bCs/>
          <w:color w:val="FF0000"/>
          <w:sz w:val="20"/>
          <w:u w:val="single"/>
          <w:lang w:val="en-US" w:eastAsia="zh-CN"/>
        </w:rPr>
        <w:t xml:space="preserve"> frame)</w:t>
      </w:r>
      <w:r w:rsidR="009A4BA8">
        <w:rPr>
          <w:rFonts w:ascii="Arial-BoldMT" w:hAnsi="Arial-BoldMT" w:cs="Arial-BoldMT"/>
          <w:bCs/>
          <w:color w:val="FF0000"/>
          <w:sz w:val="20"/>
          <w:u w:val="single"/>
          <w:lang w:val="en-US" w:eastAsia="zh-CN"/>
        </w:rPr>
        <w:t>, preferably</w:t>
      </w:r>
      <w:r w:rsidR="009A4BA8" w:rsidRPr="005C3A85">
        <w:rPr>
          <w:rFonts w:ascii="Arial-BoldMT" w:hAnsi="Arial-BoldMT" w:cs="Arial-BoldMT"/>
          <w:bCs/>
          <w:color w:val="FF0000"/>
          <w:sz w:val="20"/>
          <w:u w:val="single"/>
          <w:lang w:val="en-US" w:eastAsia="zh-CN"/>
        </w:rPr>
        <w:t xml:space="preserve"> </w:t>
      </w:r>
      <w:r w:rsidR="009A4BA8">
        <w:rPr>
          <w:rFonts w:ascii="Arial-BoldMT" w:hAnsi="Arial-BoldMT" w:cs="Arial-BoldMT"/>
          <w:bCs/>
          <w:color w:val="FF0000"/>
          <w:sz w:val="20"/>
          <w:u w:val="single"/>
          <w:lang w:val="en-US" w:eastAsia="zh-CN"/>
        </w:rPr>
        <w:t xml:space="preserve">requiring acknowledgement, </w:t>
      </w:r>
      <w:r w:rsidR="009A4BA8" w:rsidRPr="005C3A85">
        <w:rPr>
          <w:rFonts w:ascii="Arial-BoldMT" w:hAnsi="Arial-BoldMT" w:cs="Arial-BoldMT"/>
          <w:bCs/>
          <w:color w:val="FF0000"/>
          <w:sz w:val="20"/>
          <w:u w:val="single"/>
          <w:lang w:val="en-US" w:eastAsia="zh-CN"/>
        </w:rPr>
        <w:lastRenderedPageBreak/>
        <w:t xml:space="preserve">every </w:t>
      </w:r>
      <w:r w:rsidR="009A4BA8">
        <w:rPr>
          <w:rFonts w:ascii="Arial-BoldMT" w:hAnsi="Arial-BoldMT" w:cs="Arial-BoldMT"/>
          <w:bCs/>
          <w:color w:val="FF0000"/>
          <w:sz w:val="20"/>
          <w:u w:val="single"/>
          <w:lang w:val="en-US" w:eastAsia="zh-CN"/>
        </w:rPr>
        <w:t>interval of time indicated by</w:t>
      </w:r>
      <w:r w:rsidR="009A4BA8" w:rsidRPr="005C3A85">
        <w:rPr>
          <w:rFonts w:ascii="Arial-BoldMT" w:hAnsi="Arial-BoldMT" w:cs="Arial-BoldMT"/>
          <w:bCs/>
          <w:color w:val="FF0000"/>
          <w:sz w:val="20"/>
          <w:u w:val="single"/>
          <w:lang w:val="en-US" w:eastAsia="zh-CN"/>
        </w:rPr>
        <w:t xml:space="preserve"> the value of the Reporting Interval field</w:t>
      </w:r>
      <w:r w:rsidR="009A4BA8">
        <w:rPr>
          <w:rFonts w:ascii="Arial-BoldMT" w:hAnsi="Arial-BoldMT" w:cs="Arial-BoldMT"/>
          <w:bCs/>
          <w:color w:val="FF0000"/>
          <w:sz w:val="20"/>
          <w:u w:val="single"/>
          <w:lang w:val="en-US" w:eastAsia="zh-CN"/>
        </w:rPr>
        <w:t xml:space="preserve"> within the Periodic Report Request field</w:t>
      </w:r>
      <w:r w:rsidR="009A4BA8" w:rsidRPr="005C3A85">
        <w:rPr>
          <w:rFonts w:ascii="Arial-BoldMT" w:hAnsi="Arial-BoldMT" w:cs="Arial-BoldMT"/>
          <w:bCs/>
          <w:color w:val="FF0000"/>
          <w:sz w:val="20"/>
          <w:u w:val="single"/>
          <w:lang w:val="en-US" w:eastAsia="zh-CN"/>
        </w:rPr>
        <w:t xml:space="preserve">, to keep the statistics reported in the </w:t>
      </w:r>
      <w:r w:rsidR="009A4BA8">
        <w:rPr>
          <w:rFonts w:ascii="Arial-BoldMT" w:hAnsi="Arial-BoldMT" w:cs="Arial-BoldMT"/>
          <w:bCs/>
          <w:color w:val="FF0000"/>
          <w:sz w:val="20"/>
          <w:u w:val="single"/>
          <w:lang w:val="en-US" w:eastAsia="zh-CN"/>
        </w:rPr>
        <w:t>periodic Link Measurement Report frames</w:t>
      </w:r>
      <w:r w:rsidR="009A4BA8" w:rsidRPr="005C3A85">
        <w:rPr>
          <w:rFonts w:ascii="Arial-BoldMT" w:hAnsi="Arial-BoldMT" w:cs="Arial-BoldMT"/>
          <w:bCs/>
          <w:color w:val="FF0000"/>
          <w:sz w:val="20"/>
          <w:u w:val="single"/>
          <w:lang w:val="en-US" w:eastAsia="zh-CN"/>
        </w:rPr>
        <w:t xml:space="preserve"> updated.</w:t>
      </w:r>
    </w:p>
    <w:p w14:paraId="546D6F4D" w14:textId="77777777" w:rsidR="009A4BA8" w:rsidRPr="00C907C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32DA5162" w:rsidR="009A4BA8" w:rsidRPr="00D90D32" w:rsidRDefault="009A4BA8" w:rsidP="00D90D32">
      <w:pPr>
        <w:rPr>
          <w:rFonts w:ascii="Arial-BoldMT" w:hAnsi="Arial-BoldMT"/>
          <w:color w:val="FF0000"/>
          <w:sz w:val="20"/>
          <w:u w:val="single"/>
          <w:lang w:val="en-US"/>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If the Link Measurement Request frame includes the Periodic Report Request field</w:t>
      </w:r>
      <w:r w:rsidR="0041087D">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and the responding STA accepts periodic link measurement request,</w:t>
      </w:r>
      <w:r w:rsidRPr="001A4751">
        <w:rPr>
          <w:rFonts w:ascii="Arial-BoldMT" w:hAnsi="Arial-BoldMT" w:cs="Arial-BoldMT"/>
          <w:bCs/>
          <w:color w:val="FF0000"/>
          <w:sz w:val="20"/>
          <w:u w:val="single"/>
          <w:lang w:val="en-US" w:eastAsia="zh-CN"/>
        </w:rPr>
        <w:t xml:space="preserve"> at the time indicated by the value of the Reporting Start Time subfield, the responding STA shall start sending Link Measurement Report frames</w:t>
      </w:r>
      <w:r w:rsidR="0041087D" w:rsidRPr="001A4751">
        <w:rPr>
          <w:rFonts w:ascii="Arial-BoldMT" w:hAnsi="Arial-BoldMT" w:cs="Arial-BoldMT"/>
          <w:bCs/>
          <w:color w:val="FF0000"/>
          <w:sz w:val="20"/>
          <w:u w:val="single"/>
          <w:lang w:val="en-US" w:eastAsia="zh-CN"/>
        </w:rPr>
        <w:t xml:space="preserve"> </w:t>
      </w:r>
      <w:r w:rsidRPr="001A4751">
        <w:rPr>
          <w:rFonts w:ascii="Arial-BoldMT" w:hAnsi="Arial-BoldMT" w:cs="Arial-BoldMT"/>
          <w:bCs/>
          <w:color w:val="FF0000"/>
          <w:sz w:val="20"/>
          <w:u w:val="single"/>
          <w:lang w:val="en-US" w:eastAsia="zh-CN"/>
        </w:rPr>
        <w:t xml:space="preserve">periodically to the requesting STA for each report interval. </w:t>
      </w:r>
      <w:r w:rsidR="00D90D32" w:rsidRPr="001A4751">
        <w:rPr>
          <w:rFonts w:ascii="Arial-BoldMT" w:hAnsi="Arial-BoldMT"/>
          <w:color w:val="FF0000"/>
          <w:sz w:val="20"/>
          <w:u w:val="single"/>
        </w:rPr>
        <w:t xml:space="preserve">Transmission of the unsolicited Link Measurement Report frame should be </w:t>
      </w:r>
      <w:r w:rsidR="002B3C95" w:rsidRPr="001A4751">
        <w:rPr>
          <w:rFonts w:ascii="Arial-BoldMT" w:hAnsi="Arial-BoldMT"/>
          <w:color w:val="FF0000"/>
          <w:sz w:val="20"/>
          <w:u w:val="single"/>
        </w:rPr>
        <w:t>as close as possible to the start of each consecutive report interval subject to channel access rules</w:t>
      </w:r>
      <w:r w:rsidR="00D90D32" w:rsidRPr="001A4751">
        <w:rPr>
          <w:rFonts w:ascii="Arial-BoldMT" w:hAnsi="Arial-BoldMT"/>
          <w:color w:val="FF0000"/>
          <w:sz w:val="20"/>
          <w:u w:val="single"/>
        </w:rPr>
        <w:t xml:space="preserve">. </w:t>
      </w:r>
      <w:r w:rsidRPr="001A4751">
        <w:rPr>
          <w:rFonts w:ascii="Arial-BoldMT" w:hAnsi="Arial-BoldMT" w:cs="Arial-BoldMT"/>
          <w:bCs/>
          <w:color w:val="FF0000"/>
          <w:sz w:val="20"/>
          <w:u w:val="single"/>
          <w:lang w:val="en-US" w:eastAsia="zh-CN"/>
        </w:rPr>
        <w:t>The total number of report intervals shall be equal to the value of the Reporting Count subfield in the Link Measurement Request frame.</w:t>
      </w:r>
      <w:r w:rsidR="00E62E78" w:rsidRPr="001A4751">
        <w:rPr>
          <w:rFonts w:ascii="Arial-BoldMT" w:hAnsi="Arial-BoldMT" w:cs="Arial-BoldMT"/>
          <w:bCs/>
          <w:color w:val="FF0000"/>
          <w:sz w:val="20"/>
          <w:u w:val="single"/>
          <w:lang w:val="en-US" w:eastAsia="zh-CN"/>
        </w:rPr>
        <w:t xml:space="preserve"> If the Link Measurement Request frame includes the Periodic Report Request field and the responding STA reject</w:t>
      </w:r>
      <w:r w:rsidR="0041087D" w:rsidRPr="001A4751">
        <w:rPr>
          <w:rFonts w:ascii="Arial-BoldMT" w:hAnsi="Arial-BoldMT" w:cs="Arial-BoldMT"/>
          <w:bCs/>
          <w:color w:val="FF0000"/>
          <w:sz w:val="20"/>
          <w:u w:val="single"/>
          <w:lang w:val="en-US" w:eastAsia="zh-CN"/>
        </w:rPr>
        <w:t>s</w:t>
      </w:r>
      <w:r w:rsidR="00E62E78" w:rsidRPr="001A4751">
        <w:rPr>
          <w:rFonts w:ascii="Arial-BoldMT" w:hAnsi="Arial-BoldMT" w:cs="Arial-BoldMT"/>
          <w:bCs/>
          <w:color w:val="FF0000"/>
          <w:sz w:val="20"/>
          <w:u w:val="single"/>
          <w:lang w:val="en-US" w:eastAsia="zh-CN"/>
        </w:rPr>
        <w:t xml:space="preserve"> periodic link measurement</w:t>
      </w:r>
      <w:r w:rsidR="0041087D" w:rsidRPr="001A4751">
        <w:rPr>
          <w:rFonts w:ascii="Arial-BoldMT" w:hAnsi="Arial-BoldMT" w:cs="Arial-BoldMT"/>
          <w:bCs/>
          <w:color w:val="FF0000"/>
          <w:sz w:val="20"/>
          <w:u w:val="single"/>
          <w:lang w:val="en-US" w:eastAsia="zh-CN"/>
        </w:rPr>
        <w:t xml:space="preserve"> request</w:t>
      </w:r>
      <w:r w:rsidR="00E62E78" w:rsidRPr="001A4751">
        <w:rPr>
          <w:rFonts w:ascii="Arial-BoldMT" w:hAnsi="Arial-BoldMT" w:cs="Arial-BoldMT"/>
          <w:bCs/>
          <w:color w:val="FF0000"/>
          <w:sz w:val="20"/>
          <w:u w:val="single"/>
          <w:lang w:val="en-US" w:eastAsia="zh-CN"/>
        </w:rPr>
        <w:t>, the responding STA shall transmit a Link Measurement Response frame</w:t>
      </w:r>
      <w:r w:rsidR="0041087D" w:rsidRPr="001A4751">
        <w:rPr>
          <w:rFonts w:ascii="Arial-BoldMT" w:hAnsi="Arial-BoldMT" w:cs="Arial-BoldMT"/>
          <w:bCs/>
          <w:color w:val="FF0000"/>
          <w:sz w:val="20"/>
          <w:u w:val="single"/>
          <w:lang w:val="en-US" w:eastAsia="zh-CN"/>
        </w:rPr>
        <w:t xml:space="preserve"> and set the </w:t>
      </w:r>
      <w:r w:rsidR="0041087D" w:rsidRPr="001A4751">
        <w:rPr>
          <w:rFonts w:ascii="Arial-BoldMT" w:hAnsi="Arial-BoldMT" w:cs="Arial-BoldMT"/>
          <w:bCs/>
          <w:color w:val="FF0000"/>
          <w:sz w:val="20"/>
          <w:u w:val="single"/>
          <w:lang w:val="en-US"/>
        </w:rPr>
        <w:t>Accept/Reject Periodic Report subfield within the Periodic Report Control field to 0</w:t>
      </w:r>
      <w:r w:rsidR="00E62E78" w:rsidRPr="001A4751">
        <w:rPr>
          <w:rFonts w:ascii="Arial-BoldMT" w:hAnsi="Arial-BoldMT" w:cs="Arial-BoldMT"/>
          <w:bCs/>
          <w:color w:val="FF0000"/>
          <w:sz w:val="20"/>
          <w:u w:val="single"/>
          <w:lang w:val="en-US" w:eastAsia="zh-CN"/>
        </w:rPr>
        <w:t>.</w:t>
      </w:r>
      <w:r w:rsidR="00E62E78">
        <w:rPr>
          <w:rFonts w:ascii="Arial-BoldMT" w:hAnsi="Arial-BoldMT" w:cs="Arial-BoldMT"/>
          <w:bCs/>
          <w:color w:val="FF0000"/>
          <w:sz w:val="20"/>
          <w:u w:val="single"/>
          <w:lang w:val="en-US" w:eastAsia="zh-CN"/>
        </w:rPr>
        <w:t xml:space="preserve"> </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2B80CB15"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4E797F">
        <w:rPr>
          <w:b/>
          <w:bCs/>
          <w:szCs w:val="22"/>
          <w:lang w:val="en-US" w:eastAsia="ja-JP"/>
        </w:rPr>
        <w:t>r3</w:t>
      </w:r>
      <w:r w:rsidRPr="00146351">
        <w:rPr>
          <w:b/>
          <w:bCs/>
          <w:szCs w:val="22"/>
          <w:lang w:val="en-US" w:eastAsia="ja-JP"/>
        </w:rPr>
        <w:t>?</w:t>
      </w:r>
    </w:p>
    <w:sectPr w:rsidR="00CA09B2" w:rsidRPr="0045094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7BB2" w14:textId="77777777" w:rsidR="00BF605A" w:rsidRDefault="00BF605A">
      <w:r>
        <w:separator/>
      </w:r>
    </w:p>
  </w:endnote>
  <w:endnote w:type="continuationSeparator" w:id="0">
    <w:p w14:paraId="7722E3E9" w14:textId="77777777" w:rsidR="00BF605A" w:rsidRDefault="00BF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902441" w:rsidRDefault="00A918A2">
    <w:pPr>
      <w:pStyle w:val="Footer"/>
      <w:tabs>
        <w:tab w:val="clear" w:pos="6480"/>
        <w:tab w:val="center" w:pos="4680"/>
        <w:tab w:val="right" w:pos="9360"/>
      </w:tabs>
    </w:pPr>
    <w:fldSimple w:instr=" SUBJECT  \* MERGEFORMAT ">
      <w:r w:rsidR="00902441">
        <w:t>Submission</w:t>
      </w:r>
    </w:fldSimple>
    <w:r w:rsidR="00902441">
      <w:tab/>
      <w:t xml:space="preserve">page </w:t>
    </w:r>
    <w:r w:rsidR="00902441">
      <w:fldChar w:fldCharType="begin"/>
    </w:r>
    <w:r w:rsidR="00902441">
      <w:instrText xml:space="preserve">page </w:instrText>
    </w:r>
    <w:r w:rsidR="00902441">
      <w:fldChar w:fldCharType="separate"/>
    </w:r>
    <w:r w:rsidR="00E60BC2">
      <w:rPr>
        <w:noProof/>
      </w:rPr>
      <w:t>1</w:t>
    </w:r>
    <w:r w:rsidR="00902441">
      <w:fldChar w:fldCharType="end"/>
    </w:r>
    <w:r w:rsidR="00902441">
      <w:tab/>
    </w:r>
    <w:fldSimple w:instr=" COMMENTS  \* MERGEFORMAT ">
      <w:r w:rsidR="00902441">
        <w:t>Cheng Chen, Intel</w:t>
      </w:r>
    </w:fldSimple>
  </w:p>
  <w:p w14:paraId="51BBBB8F" w14:textId="77777777" w:rsidR="00902441" w:rsidRDefault="00902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9FA0" w14:textId="77777777" w:rsidR="00BF605A" w:rsidRDefault="00BF605A">
      <w:r>
        <w:separator/>
      </w:r>
    </w:p>
  </w:footnote>
  <w:footnote w:type="continuationSeparator" w:id="0">
    <w:p w14:paraId="1D3E98C8" w14:textId="77777777" w:rsidR="00BF605A" w:rsidRDefault="00BF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902441" w:rsidRDefault="00A918A2">
    <w:pPr>
      <w:pStyle w:val="Header"/>
      <w:tabs>
        <w:tab w:val="clear" w:pos="6480"/>
        <w:tab w:val="center" w:pos="4680"/>
        <w:tab w:val="right" w:pos="9360"/>
      </w:tabs>
    </w:pPr>
    <w:fldSimple w:instr=" KEYWORDS  \* MERGEFORMAT ">
      <w:r w:rsidR="00902441">
        <w:t>September 2018</w:t>
      </w:r>
    </w:fldSimple>
    <w:r w:rsidR="00902441">
      <w:tab/>
    </w:r>
    <w:r w:rsidR="00902441">
      <w:tab/>
    </w:r>
    <w:fldSimple w:instr=" TITLE  \* MERGEFORMAT ">
      <w:r w:rsidR="00902441">
        <w:t>doc.: IEEE 802.11-18/1539r3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6108"/>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A4751"/>
    <w:rsid w:val="001B602B"/>
    <w:rsid w:val="001D0758"/>
    <w:rsid w:val="001D723B"/>
    <w:rsid w:val="001E3A3B"/>
    <w:rsid w:val="00222A64"/>
    <w:rsid w:val="00243A88"/>
    <w:rsid w:val="0024723F"/>
    <w:rsid w:val="00261D7D"/>
    <w:rsid w:val="00264552"/>
    <w:rsid w:val="00264ECD"/>
    <w:rsid w:val="00271132"/>
    <w:rsid w:val="00271BE9"/>
    <w:rsid w:val="00272BD4"/>
    <w:rsid w:val="002860A5"/>
    <w:rsid w:val="0029020B"/>
    <w:rsid w:val="00290927"/>
    <w:rsid w:val="002A2D0A"/>
    <w:rsid w:val="002A6F20"/>
    <w:rsid w:val="002B3C95"/>
    <w:rsid w:val="002C033F"/>
    <w:rsid w:val="002C0800"/>
    <w:rsid w:val="002D3CCB"/>
    <w:rsid w:val="002D44BE"/>
    <w:rsid w:val="002D7D0B"/>
    <w:rsid w:val="00311699"/>
    <w:rsid w:val="00312431"/>
    <w:rsid w:val="003221A6"/>
    <w:rsid w:val="00335B8F"/>
    <w:rsid w:val="00343E67"/>
    <w:rsid w:val="00385E90"/>
    <w:rsid w:val="003A3DAA"/>
    <w:rsid w:val="003B7E31"/>
    <w:rsid w:val="003C492A"/>
    <w:rsid w:val="003C5D0D"/>
    <w:rsid w:val="003D26C5"/>
    <w:rsid w:val="003E51C2"/>
    <w:rsid w:val="003E6362"/>
    <w:rsid w:val="003E7E3F"/>
    <w:rsid w:val="0041087D"/>
    <w:rsid w:val="00442037"/>
    <w:rsid w:val="00450947"/>
    <w:rsid w:val="00452B17"/>
    <w:rsid w:val="004A2ED5"/>
    <w:rsid w:val="004B064B"/>
    <w:rsid w:val="004B566B"/>
    <w:rsid w:val="004C36F4"/>
    <w:rsid w:val="004D4B32"/>
    <w:rsid w:val="004E1F55"/>
    <w:rsid w:val="004E797F"/>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677FF"/>
    <w:rsid w:val="006803D3"/>
    <w:rsid w:val="006A5A9A"/>
    <w:rsid w:val="006A7B0F"/>
    <w:rsid w:val="006B3EDD"/>
    <w:rsid w:val="006B5BE1"/>
    <w:rsid w:val="006C0727"/>
    <w:rsid w:val="006C29EF"/>
    <w:rsid w:val="006D42B4"/>
    <w:rsid w:val="006E145F"/>
    <w:rsid w:val="006F0A92"/>
    <w:rsid w:val="006F1191"/>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3273"/>
    <w:rsid w:val="008E4DDC"/>
    <w:rsid w:val="008F16EE"/>
    <w:rsid w:val="0090175B"/>
    <w:rsid w:val="00902441"/>
    <w:rsid w:val="0090477F"/>
    <w:rsid w:val="00910026"/>
    <w:rsid w:val="00940267"/>
    <w:rsid w:val="00940A4F"/>
    <w:rsid w:val="00965DEA"/>
    <w:rsid w:val="00972CA7"/>
    <w:rsid w:val="00974C79"/>
    <w:rsid w:val="00977994"/>
    <w:rsid w:val="00992BE5"/>
    <w:rsid w:val="00995E31"/>
    <w:rsid w:val="009A4BA8"/>
    <w:rsid w:val="009B4886"/>
    <w:rsid w:val="009B6DAD"/>
    <w:rsid w:val="009E5586"/>
    <w:rsid w:val="009F1274"/>
    <w:rsid w:val="009F2FBC"/>
    <w:rsid w:val="00A02C1F"/>
    <w:rsid w:val="00A04416"/>
    <w:rsid w:val="00A13F86"/>
    <w:rsid w:val="00A143B8"/>
    <w:rsid w:val="00A259B6"/>
    <w:rsid w:val="00A47AB4"/>
    <w:rsid w:val="00A62766"/>
    <w:rsid w:val="00A660C6"/>
    <w:rsid w:val="00A724DB"/>
    <w:rsid w:val="00A747D9"/>
    <w:rsid w:val="00A77C26"/>
    <w:rsid w:val="00A83CAD"/>
    <w:rsid w:val="00A918A2"/>
    <w:rsid w:val="00A927A2"/>
    <w:rsid w:val="00A9392C"/>
    <w:rsid w:val="00AA2A80"/>
    <w:rsid w:val="00AA2B41"/>
    <w:rsid w:val="00AA427C"/>
    <w:rsid w:val="00AB2953"/>
    <w:rsid w:val="00AD6B39"/>
    <w:rsid w:val="00AE30FD"/>
    <w:rsid w:val="00AE60A6"/>
    <w:rsid w:val="00B1227A"/>
    <w:rsid w:val="00B126F0"/>
    <w:rsid w:val="00B40197"/>
    <w:rsid w:val="00B63071"/>
    <w:rsid w:val="00B80F99"/>
    <w:rsid w:val="00B9376F"/>
    <w:rsid w:val="00B96811"/>
    <w:rsid w:val="00BB37E2"/>
    <w:rsid w:val="00BB63B3"/>
    <w:rsid w:val="00BC3B91"/>
    <w:rsid w:val="00BE68C2"/>
    <w:rsid w:val="00BF1E48"/>
    <w:rsid w:val="00BF605A"/>
    <w:rsid w:val="00C041D0"/>
    <w:rsid w:val="00C22CB7"/>
    <w:rsid w:val="00C315EC"/>
    <w:rsid w:val="00C32B22"/>
    <w:rsid w:val="00C41092"/>
    <w:rsid w:val="00C415B3"/>
    <w:rsid w:val="00C61C65"/>
    <w:rsid w:val="00C7093F"/>
    <w:rsid w:val="00C86428"/>
    <w:rsid w:val="00C907C8"/>
    <w:rsid w:val="00CA01B1"/>
    <w:rsid w:val="00CA09B2"/>
    <w:rsid w:val="00CB0E04"/>
    <w:rsid w:val="00CE1D26"/>
    <w:rsid w:val="00CE6CEA"/>
    <w:rsid w:val="00D12FF9"/>
    <w:rsid w:val="00D1771B"/>
    <w:rsid w:val="00D36595"/>
    <w:rsid w:val="00D43CD3"/>
    <w:rsid w:val="00D723A4"/>
    <w:rsid w:val="00D90D32"/>
    <w:rsid w:val="00DB6F5D"/>
    <w:rsid w:val="00DC5A7B"/>
    <w:rsid w:val="00DC6A98"/>
    <w:rsid w:val="00DD3530"/>
    <w:rsid w:val="00E11414"/>
    <w:rsid w:val="00E12375"/>
    <w:rsid w:val="00E50455"/>
    <w:rsid w:val="00E60BC2"/>
    <w:rsid w:val="00E62E78"/>
    <w:rsid w:val="00E841D2"/>
    <w:rsid w:val="00EC02CD"/>
    <w:rsid w:val="00EC3CF2"/>
    <w:rsid w:val="00EE5778"/>
    <w:rsid w:val="00EF11FA"/>
    <w:rsid w:val="00EF4899"/>
    <w:rsid w:val="00F0743D"/>
    <w:rsid w:val="00F12DD2"/>
    <w:rsid w:val="00F1414B"/>
    <w:rsid w:val="00F36C4D"/>
    <w:rsid w:val="00F45220"/>
    <w:rsid w:val="00F52782"/>
    <w:rsid w:val="00F66037"/>
    <w:rsid w:val="00F67E6F"/>
    <w:rsid w:val="00F70CAC"/>
    <w:rsid w:val="00F71EF0"/>
    <w:rsid w:val="00F84ECA"/>
    <w:rsid w:val="00F8757E"/>
    <w:rsid w:val="00F9680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58</TotalTime>
  <Pages>6</Pages>
  <Words>1889</Words>
  <Characters>10068</Characters>
  <Application>Microsoft Office Word</Application>
  <DocSecurity>0</DocSecurity>
  <Lines>435</Lines>
  <Paragraphs>191</Paragraphs>
  <ScaleCrop>false</ScaleCrop>
  <HeadingPairs>
    <vt:vector size="2" baseType="variant">
      <vt:variant>
        <vt:lpstr>Title</vt:lpstr>
      </vt:variant>
      <vt:variant>
        <vt:i4>1</vt:i4>
      </vt:variant>
    </vt:vector>
  </HeadingPairs>
  <TitlesOfParts>
    <vt:vector size="1" baseType="lpstr">
      <vt:lpstr>doc.: IEEE 802.11-18/1539r3</vt:lpstr>
    </vt:vector>
  </TitlesOfParts>
  <Company>Some Company</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802.11-18/1539r3</dc:title>
  <dc:subject>Submission</dc:subject>
  <dc:creator>cheng.chen@intel.com</dc:creator>
  <cp:keywords>September 2018, CTPClassification=CTP_NT</cp:keywords>
  <dc:description>Cheng Chen, Intel</dc:description>
  <cp:lastModifiedBy>Chen, Cheng</cp:lastModifiedBy>
  <cp:revision>7</cp:revision>
  <cp:lastPrinted>2017-02-22T22:37:00Z</cp:lastPrinted>
  <dcterms:created xsi:type="dcterms:W3CDTF">2018-09-12T23:42:00Z</dcterms:created>
  <dcterms:modified xsi:type="dcterms:W3CDTF">2018-09-13T06:41:00Z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5c9d93e5-259c-45ce-b0dc-a9e1e9f4c050</vt:lpwstr>
  </property>
  <property fmtid="{D5CDD505-2E9C-101B-9397-08002B2CF9AE}" pid="3" name="CTP_TimeStamp">
    <vt:lpwstr>2018-09-13 06:41:17Z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