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B5FCBA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bookmarkStart w:id="0" w:name="_GoBack"/>
      <w:bookmarkEnd w:id="0"/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715"/>
        <w:gridCol w:w="1647"/>
      </w:tblGrid>
      <w:tr w:rsidR="00CA09B2" w14:paraId="1CB08C67" w14:textId="77777777" w:rsidTr="00835F6B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3EAD62B5" w14:textId="1BB2E1EB" w:rsidR="00CA09B2" w:rsidRDefault="003301F4">
            <w:pPr>
              <w:pStyle w:val="T2"/>
            </w:pPr>
            <w:r>
              <w:t>Addressing t</w:t>
            </w:r>
            <w:r w:rsidR="00847A42">
              <w:t xml:space="preserve">he Inconsistence </w:t>
            </w:r>
            <w:r w:rsidR="006A1B77">
              <w:t>of Assigning CCF0 Value For BSS Bandwidth Is Less Than 80MHz in The Table 11-25</w:t>
            </w:r>
          </w:p>
        </w:tc>
      </w:tr>
      <w:tr w:rsidR="00CA09B2" w14:paraId="756FF1B6" w14:textId="77777777" w:rsidTr="00835F6B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3C070C4E" w14:textId="49908A1F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 w:rsidR="006A1B77">
              <w:rPr>
                <w:b w:val="0"/>
                <w:sz w:val="20"/>
              </w:rPr>
              <w:t xml:space="preserve">  2017-11-0</w:t>
            </w:r>
            <w:r w:rsidR="00873FF0">
              <w:rPr>
                <w:b w:val="0"/>
                <w:sz w:val="20"/>
              </w:rPr>
              <w:t>6</w:t>
            </w:r>
          </w:p>
        </w:tc>
      </w:tr>
      <w:tr w:rsidR="00CA09B2" w14:paraId="1A8E325F" w14:textId="77777777" w:rsidTr="00835F6B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6298CA1A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5427BB97" w14:textId="77777777" w:rsidTr="00835F6B">
        <w:trPr>
          <w:jc w:val="center"/>
        </w:trPr>
        <w:tc>
          <w:tcPr>
            <w:tcW w:w="1336" w:type="dxa"/>
            <w:vAlign w:val="center"/>
          </w:tcPr>
          <w:p w14:paraId="5C2F21B4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172CE344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30175842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14:paraId="0AA1AA6E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14:paraId="7713F84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650D4680" w14:textId="77777777" w:rsidTr="00835F6B">
        <w:trPr>
          <w:jc w:val="center"/>
        </w:trPr>
        <w:tc>
          <w:tcPr>
            <w:tcW w:w="1336" w:type="dxa"/>
            <w:vAlign w:val="center"/>
          </w:tcPr>
          <w:p w14:paraId="135471F1" w14:textId="26DB38D5" w:rsidR="00CA09B2" w:rsidRPr="00A00A00" w:rsidRDefault="006A1B77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r w:rsidRPr="00A00A00">
              <w:rPr>
                <w:b w:val="0"/>
                <w:sz w:val="18"/>
                <w:szCs w:val="18"/>
              </w:rPr>
              <w:t>Huizhao Wang</w:t>
            </w:r>
          </w:p>
        </w:tc>
        <w:tc>
          <w:tcPr>
            <w:tcW w:w="2064" w:type="dxa"/>
            <w:vAlign w:val="center"/>
          </w:tcPr>
          <w:p w14:paraId="29A3D51D" w14:textId="79F90F3D" w:rsidR="00CA09B2" w:rsidRPr="00A00A00" w:rsidRDefault="006A1B77" w:rsidP="006A1B77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A00A00">
              <w:rPr>
                <w:b w:val="0"/>
                <w:sz w:val="18"/>
                <w:szCs w:val="18"/>
              </w:rPr>
              <w:t>Quantenna Communications</w:t>
            </w:r>
          </w:p>
        </w:tc>
        <w:tc>
          <w:tcPr>
            <w:tcW w:w="2814" w:type="dxa"/>
            <w:vAlign w:val="center"/>
          </w:tcPr>
          <w:p w14:paraId="55988CC6" w14:textId="77777777" w:rsidR="00835F6B" w:rsidRPr="00835F6B" w:rsidRDefault="00835F6B" w:rsidP="00835F6B">
            <w:pPr>
              <w:rPr>
                <w:sz w:val="18"/>
                <w:szCs w:val="18"/>
                <w:lang w:val="en-US" w:eastAsia="zh-CN"/>
              </w:rPr>
            </w:pPr>
            <w:r w:rsidRPr="00835F6B">
              <w:rPr>
                <w:sz w:val="18"/>
                <w:szCs w:val="18"/>
                <w:shd w:val="clear" w:color="auto" w:fill="FFFFFF"/>
                <w:lang w:val="en-US" w:eastAsia="zh-CN"/>
              </w:rPr>
              <w:t>Quantenna Communications, Inc.</w:t>
            </w:r>
            <w:r w:rsidRPr="00835F6B">
              <w:rPr>
                <w:sz w:val="18"/>
                <w:szCs w:val="18"/>
                <w:lang w:val="en-US" w:eastAsia="zh-CN"/>
              </w:rPr>
              <w:br/>
            </w:r>
            <w:r w:rsidRPr="00835F6B">
              <w:rPr>
                <w:sz w:val="18"/>
                <w:szCs w:val="18"/>
                <w:shd w:val="clear" w:color="auto" w:fill="FFFFFF"/>
                <w:lang w:val="en-US" w:eastAsia="zh-CN"/>
              </w:rPr>
              <w:t>1704 Automation Parkway,</w:t>
            </w:r>
            <w:r w:rsidRPr="00835F6B">
              <w:rPr>
                <w:sz w:val="18"/>
                <w:szCs w:val="18"/>
                <w:lang w:val="en-US" w:eastAsia="zh-CN"/>
              </w:rPr>
              <w:br/>
            </w:r>
            <w:r w:rsidRPr="00835F6B">
              <w:rPr>
                <w:sz w:val="18"/>
                <w:szCs w:val="18"/>
                <w:shd w:val="clear" w:color="auto" w:fill="FFFFFF"/>
                <w:lang w:val="en-US" w:eastAsia="zh-CN"/>
              </w:rPr>
              <w:t>San Jose, CA 95131, USA</w:t>
            </w:r>
          </w:p>
          <w:p w14:paraId="0D33739C" w14:textId="5421D0D6" w:rsidR="00355A66" w:rsidRPr="00A00A00" w:rsidRDefault="00355A66" w:rsidP="006A1B77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715" w:type="dxa"/>
            <w:vAlign w:val="center"/>
          </w:tcPr>
          <w:p w14:paraId="09E6D262" w14:textId="77777777" w:rsidR="00CA09B2" w:rsidRPr="00A00A00" w:rsidRDefault="00CA09B2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7721C19B" w14:textId="585D58C7" w:rsidR="00CA09B2" w:rsidRPr="00A00A00" w:rsidRDefault="00835F6B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r w:rsidRPr="00A00A00">
              <w:rPr>
                <w:b w:val="0"/>
                <w:sz w:val="18"/>
                <w:szCs w:val="18"/>
              </w:rPr>
              <w:t>hwang@quantenna.com</w:t>
            </w:r>
          </w:p>
        </w:tc>
      </w:tr>
      <w:tr w:rsidR="006649C1" w:rsidRPr="001B37DE" w14:paraId="17989F4A" w14:textId="77777777" w:rsidTr="00835F6B">
        <w:trPr>
          <w:jc w:val="center"/>
        </w:trPr>
        <w:tc>
          <w:tcPr>
            <w:tcW w:w="1336" w:type="dxa"/>
            <w:vAlign w:val="center"/>
          </w:tcPr>
          <w:p w14:paraId="19E4B045" w14:textId="7993A501" w:rsidR="006649C1" w:rsidRPr="001B37DE" w:rsidRDefault="006649C1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r w:rsidRPr="001B37DE">
              <w:rPr>
                <w:b w:val="0"/>
                <w:sz w:val="18"/>
                <w:szCs w:val="18"/>
              </w:rPr>
              <w:t>Sigurd Schelstraete</w:t>
            </w:r>
          </w:p>
        </w:tc>
        <w:tc>
          <w:tcPr>
            <w:tcW w:w="2064" w:type="dxa"/>
            <w:vAlign w:val="center"/>
          </w:tcPr>
          <w:p w14:paraId="754B08C7" w14:textId="4F748A00" w:rsidR="006649C1" w:rsidRPr="001B37DE" w:rsidRDefault="006649C1" w:rsidP="006A1B77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1B37DE">
              <w:rPr>
                <w:b w:val="0"/>
                <w:sz w:val="18"/>
                <w:szCs w:val="18"/>
              </w:rPr>
              <w:t>Quantenna Communications</w:t>
            </w:r>
          </w:p>
        </w:tc>
        <w:tc>
          <w:tcPr>
            <w:tcW w:w="2814" w:type="dxa"/>
            <w:vAlign w:val="center"/>
          </w:tcPr>
          <w:p w14:paraId="01486D65" w14:textId="77777777" w:rsidR="006649C1" w:rsidRPr="001B37DE" w:rsidRDefault="006649C1" w:rsidP="006649C1">
            <w:pPr>
              <w:rPr>
                <w:sz w:val="18"/>
                <w:szCs w:val="18"/>
                <w:lang w:val="en-US" w:eastAsia="zh-CN"/>
              </w:rPr>
            </w:pPr>
            <w:r w:rsidRPr="001B37DE">
              <w:rPr>
                <w:sz w:val="18"/>
                <w:szCs w:val="18"/>
                <w:shd w:val="clear" w:color="auto" w:fill="FFFFFF"/>
                <w:lang w:val="en-US" w:eastAsia="zh-CN"/>
              </w:rPr>
              <w:t>Quantenna Communications, Inc.</w:t>
            </w:r>
            <w:r w:rsidRPr="001B37DE">
              <w:rPr>
                <w:sz w:val="18"/>
                <w:szCs w:val="18"/>
                <w:lang w:val="en-US" w:eastAsia="zh-CN"/>
              </w:rPr>
              <w:br/>
            </w:r>
            <w:r w:rsidRPr="001B37DE">
              <w:rPr>
                <w:sz w:val="18"/>
                <w:szCs w:val="18"/>
                <w:shd w:val="clear" w:color="auto" w:fill="FFFFFF"/>
                <w:lang w:val="en-US" w:eastAsia="zh-CN"/>
              </w:rPr>
              <w:t>1704 Automation Parkway,</w:t>
            </w:r>
            <w:r w:rsidRPr="001B37DE">
              <w:rPr>
                <w:sz w:val="18"/>
                <w:szCs w:val="18"/>
                <w:lang w:val="en-US" w:eastAsia="zh-CN"/>
              </w:rPr>
              <w:br/>
            </w:r>
            <w:r w:rsidRPr="001B37DE">
              <w:rPr>
                <w:sz w:val="18"/>
                <w:szCs w:val="18"/>
                <w:shd w:val="clear" w:color="auto" w:fill="FFFFFF"/>
                <w:lang w:val="en-US" w:eastAsia="zh-CN"/>
              </w:rPr>
              <w:t>San Jose, CA 95131, USA</w:t>
            </w:r>
          </w:p>
          <w:p w14:paraId="5A9C9F98" w14:textId="77777777" w:rsidR="006649C1" w:rsidRPr="001B37DE" w:rsidRDefault="006649C1" w:rsidP="00835F6B">
            <w:pPr>
              <w:rPr>
                <w:sz w:val="18"/>
                <w:szCs w:val="18"/>
                <w:shd w:val="clear" w:color="auto" w:fill="FFFFFF"/>
                <w:lang w:val="en-US" w:eastAsia="zh-CN"/>
              </w:rPr>
            </w:pPr>
          </w:p>
        </w:tc>
        <w:tc>
          <w:tcPr>
            <w:tcW w:w="1715" w:type="dxa"/>
            <w:vAlign w:val="center"/>
          </w:tcPr>
          <w:p w14:paraId="45A37A3D" w14:textId="77777777" w:rsidR="006649C1" w:rsidRPr="001B37DE" w:rsidRDefault="006649C1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2B953ED8" w14:textId="4F0DBC19" w:rsidR="006649C1" w:rsidRPr="001B37DE" w:rsidRDefault="006649C1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r w:rsidRPr="001B37DE">
              <w:rPr>
                <w:b w:val="0"/>
                <w:sz w:val="18"/>
                <w:szCs w:val="18"/>
              </w:rPr>
              <w:t>sschelstraete@quantenna.com</w:t>
            </w:r>
          </w:p>
        </w:tc>
      </w:tr>
      <w:tr w:rsidR="006649C1" w:rsidRPr="006649C1" w14:paraId="01D71DFD" w14:textId="77777777" w:rsidTr="00835F6B">
        <w:trPr>
          <w:jc w:val="center"/>
        </w:trPr>
        <w:tc>
          <w:tcPr>
            <w:tcW w:w="1336" w:type="dxa"/>
            <w:vAlign w:val="center"/>
          </w:tcPr>
          <w:p w14:paraId="1E97E8C1" w14:textId="0414E965" w:rsidR="006649C1" w:rsidRPr="001B37DE" w:rsidRDefault="006649C1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r w:rsidRPr="001B37DE">
              <w:rPr>
                <w:b w:val="0"/>
                <w:sz w:val="18"/>
                <w:szCs w:val="18"/>
              </w:rPr>
              <w:t>Menzo Wentink</w:t>
            </w:r>
          </w:p>
        </w:tc>
        <w:tc>
          <w:tcPr>
            <w:tcW w:w="2064" w:type="dxa"/>
            <w:vAlign w:val="center"/>
          </w:tcPr>
          <w:p w14:paraId="44C8E903" w14:textId="716DEA93" w:rsidR="006649C1" w:rsidRPr="001B37DE" w:rsidRDefault="006649C1" w:rsidP="006A1B77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1B37DE">
              <w:rPr>
                <w:b w:val="0"/>
                <w:sz w:val="18"/>
                <w:szCs w:val="18"/>
              </w:rPr>
              <w:t>Qualcomm</w:t>
            </w:r>
          </w:p>
        </w:tc>
        <w:tc>
          <w:tcPr>
            <w:tcW w:w="2814" w:type="dxa"/>
            <w:vAlign w:val="center"/>
          </w:tcPr>
          <w:p w14:paraId="6A9FFB11" w14:textId="6B0D5CB5" w:rsidR="006649C1" w:rsidRPr="001B37DE" w:rsidRDefault="001B37DE" w:rsidP="00835F6B">
            <w:pPr>
              <w:rPr>
                <w:sz w:val="18"/>
                <w:szCs w:val="18"/>
                <w:shd w:val="clear" w:color="auto" w:fill="FFFFFF"/>
                <w:lang w:val="en-US" w:eastAsia="zh-CN"/>
              </w:rPr>
            </w:pPr>
            <w:r>
              <w:rPr>
                <w:sz w:val="18"/>
                <w:szCs w:val="18"/>
                <w:shd w:val="clear" w:color="auto" w:fill="FFFFFF"/>
                <w:lang w:val="en-US" w:eastAsia="zh-CN"/>
              </w:rPr>
              <w:t>Utrecht, the Netherlands</w:t>
            </w:r>
          </w:p>
        </w:tc>
        <w:tc>
          <w:tcPr>
            <w:tcW w:w="1715" w:type="dxa"/>
            <w:vAlign w:val="center"/>
          </w:tcPr>
          <w:p w14:paraId="166FB95C" w14:textId="77777777" w:rsidR="006649C1" w:rsidRPr="001B37DE" w:rsidRDefault="006649C1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5726AD67" w14:textId="618A3AA9" w:rsidR="006649C1" w:rsidRPr="001B37DE" w:rsidRDefault="006649C1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r w:rsidRPr="001B37DE">
              <w:rPr>
                <w:b w:val="0"/>
                <w:sz w:val="18"/>
                <w:szCs w:val="18"/>
              </w:rPr>
              <w:t>mwentink@qti.qualcomm.com</w:t>
            </w:r>
          </w:p>
        </w:tc>
      </w:tr>
    </w:tbl>
    <w:p w14:paraId="563358D3" w14:textId="77777777" w:rsidR="001B37DE" w:rsidRDefault="001B37DE">
      <w:pPr>
        <w:pStyle w:val="T1"/>
        <w:spacing w:after="120"/>
        <w:rPr>
          <w:sz w:val="22"/>
        </w:rPr>
      </w:pPr>
    </w:p>
    <w:p w14:paraId="0AE38720" w14:textId="77777777" w:rsidR="001B37DE" w:rsidRDefault="001B37DE" w:rsidP="001B37DE">
      <w:pPr>
        <w:pStyle w:val="T1"/>
        <w:spacing w:after="120"/>
      </w:pPr>
      <w:r>
        <w:t>Abstract</w:t>
      </w:r>
    </w:p>
    <w:p w14:paraId="55C37C63" w14:textId="4BDD3ACC" w:rsidR="001B37DE" w:rsidRDefault="001B37DE" w:rsidP="001B37DE">
      <w:pPr>
        <w:jc w:val="both"/>
      </w:pPr>
      <w:r>
        <w:t xml:space="preserve">This submission is to address an inconsistence </w:t>
      </w:r>
      <w:r w:rsidR="00424DBD">
        <w:t xml:space="preserve">in Table 9-242 (VHT Information Operation subfields) </w:t>
      </w:r>
      <w:r>
        <w:t>in assigning CCFS0 when the BSS bandwidth is less than 80 MHz.</w:t>
      </w:r>
    </w:p>
    <w:p w14:paraId="6FA3729B" w14:textId="40617B4C" w:rsidR="00CA09B2" w:rsidRDefault="00CA09B2">
      <w:pPr>
        <w:pStyle w:val="T1"/>
        <w:spacing w:after="120"/>
        <w:rPr>
          <w:sz w:val="22"/>
        </w:rPr>
      </w:pPr>
    </w:p>
    <w:p w14:paraId="7786901D" w14:textId="39AAAD45" w:rsidR="005C1CA6" w:rsidRDefault="00CA09B2">
      <w:pPr>
        <w:rPr>
          <w:b/>
          <w:u w:val="single"/>
        </w:rPr>
      </w:pPr>
      <w:r>
        <w:br w:type="page"/>
      </w:r>
      <w:r w:rsidR="005C1CA6" w:rsidRPr="005C1CA6">
        <w:rPr>
          <w:b/>
          <w:u w:val="single"/>
        </w:rPr>
        <w:lastRenderedPageBreak/>
        <w:t>Discussion</w:t>
      </w:r>
    </w:p>
    <w:p w14:paraId="40758D03" w14:textId="4976E322" w:rsidR="00E0536E" w:rsidRPr="001B37DE" w:rsidRDefault="00A51DC1" w:rsidP="00E0536E">
      <w:pPr>
        <w:widowControl w:val="0"/>
        <w:autoSpaceDE w:val="0"/>
        <w:autoSpaceDN w:val="0"/>
        <w:adjustRightInd w:val="0"/>
        <w:spacing w:after="240" w:line="300" w:lineRule="atLeast"/>
        <w:rPr>
          <w:color w:val="000000"/>
          <w:sz w:val="20"/>
          <w:lang w:val="en-US"/>
        </w:rPr>
      </w:pPr>
      <w:r>
        <w:rPr>
          <w:sz w:val="20"/>
        </w:rPr>
        <w:t>Table 11-25 specifies that</w:t>
      </w:r>
      <w:r w:rsidR="00E0536E" w:rsidRPr="001B37DE">
        <w:rPr>
          <w:sz w:val="20"/>
        </w:rPr>
        <w:t xml:space="preserve"> for BSS bandwidth</w:t>
      </w:r>
      <w:r>
        <w:rPr>
          <w:sz w:val="20"/>
        </w:rPr>
        <w:t xml:space="preserve">s 20 and 40 MHz, the </w:t>
      </w:r>
      <w:r w:rsidR="00E0536E" w:rsidRPr="001B37DE">
        <w:rPr>
          <w:sz w:val="20"/>
        </w:rPr>
        <w:t>Channel Cent</w:t>
      </w:r>
      <w:r>
        <w:rPr>
          <w:sz w:val="20"/>
        </w:rPr>
        <w:t>er Frequency Segment 0 subfield</w:t>
      </w:r>
      <w:r w:rsidR="00E0536E" w:rsidRPr="001B37DE">
        <w:rPr>
          <w:sz w:val="20"/>
        </w:rPr>
        <w:t xml:space="preserve"> is set to the value of</w:t>
      </w:r>
      <w:r w:rsidR="00E0536E" w:rsidRPr="00A51DC1">
        <w:rPr>
          <w:sz w:val="20"/>
        </w:rPr>
        <w:t xml:space="preserve"> </w:t>
      </w:r>
      <w:r w:rsidR="00E0536E" w:rsidRPr="001B37DE">
        <w:rPr>
          <w:color w:val="000000"/>
          <w:sz w:val="20"/>
          <w:lang w:val="en-US"/>
        </w:rPr>
        <w:t>dot11CurrentChannelCenterFrequencyIndex0</w:t>
      </w:r>
      <w:r w:rsidR="00375B6D" w:rsidRPr="001B37DE">
        <w:rPr>
          <w:color w:val="000000"/>
          <w:sz w:val="20"/>
          <w:lang w:val="en-US"/>
        </w:rPr>
        <w:t>:</w:t>
      </w:r>
    </w:p>
    <w:p w14:paraId="2F1FE0F1" w14:textId="7B327728" w:rsidR="00375B6D" w:rsidRDefault="00D70EEE" w:rsidP="00E0536E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D70EEE">
        <w:rPr>
          <w:rFonts w:ascii="Times" w:hAnsi="Times" w:cs="Times"/>
          <w:noProof/>
          <w:color w:val="000000"/>
          <w:sz w:val="24"/>
          <w:szCs w:val="24"/>
          <w:lang w:val="en-US" w:eastAsia="zh-CN"/>
        </w:rPr>
        <w:drawing>
          <wp:inline distT="0" distB="0" distL="0" distR="0" wp14:anchorId="5A1222F4" wp14:editId="583CA536">
            <wp:extent cx="5943600" cy="1525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7698B" w14:textId="01258479" w:rsidR="001B37DE" w:rsidRPr="001B37DE" w:rsidRDefault="00A51DC1" w:rsidP="00E0536E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0"/>
          <w:lang w:val="en-US"/>
        </w:rPr>
      </w:pPr>
      <w:r>
        <w:rPr>
          <w:rFonts w:ascii="Times" w:hAnsi="Times" w:cs="Times"/>
          <w:color w:val="000000"/>
          <w:sz w:val="20"/>
          <w:lang w:val="en-US"/>
        </w:rPr>
        <w:t>However, in</w:t>
      </w:r>
      <w:r w:rsidR="00D70EEE" w:rsidRPr="001B37DE">
        <w:rPr>
          <w:rFonts w:ascii="Times" w:hAnsi="Times" w:cs="Times"/>
          <w:color w:val="000000"/>
          <w:sz w:val="20"/>
          <w:lang w:val="en-US"/>
        </w:rPr>
        <w:t xml:space="preserve"> </w:t>
      </w:r>
      <w:r w:rsidR="000D3C45" w:rsidRPr="001B37DE">
        <w:rPr>
          <w:rFonts w:ascii="Times" w:hAnsi="Times" w:cs="Times"/>
          <w:color w:val="000000"/>
          <w:sz w:val="20"/>
          <w:lang w:val="en-US"/>
        </w:rPr>
        <w:t>Table 9-252, the CCF</w:t>
      </w:r>
      <w:r w:rsidR="00424DBD">
        <w:rPr>
          <w:rFonts w:ascii="Times" w:hAnsi="Times" w:cs="Times"/>
          <w:color w:val="000000"/>
          <w:sz w:val="20"/>
          <w:lang w:val="en-US"/>
        </w:rPr>
        <w:t>S</w:t>
      </w:r>
      <w:r w:rsidR="000D3C45" w:rsidRPr="001B37DE">
        <w:rPr>
          <w:rFonts w:ascii="Times" w:hAnsi="Times" w:cs="Times"/>
          <w:color w:val="000000"/>
          <w:sz w:val="20"/>
          <w:lang w:val="en-US"/>
        </w:rPr>
        <w:t xml:space="preserve">0 subfield is </w:t>
      </w:r>
      <w:r>
        <w:rPr>
          <w:rFonts w:ascii="Times" w:hAnsi="Times" w:cs="Times"/>
          <w:color w:val="000000"/>
          <w:sz w:val="20"/>
          <w:lang w:val="en-US"/>
        </w:rPr>
        <w:t xml:space="preserve">“reserved” for BSS bandwidth </w:t>
      </w:r>
      <w:r w:rsidR="000D3C45" w:rsidRPr="001B37DE">
        <w:rPr>
          <w:rFonts w:ascii="Times" w:hAnsi="Times" w:cs="Times"/>
          <w:color w:val="000000"/>
          <w:sz w:val="20"/>
          <w:lang w:val="en-US"/>
        </w:rPr>
        <w:t>less than 80MHz:</w:t>
      </w:r>
    </w:p>
    <w:p w14:paraId="62649A7B" w14:textId="42EAF972" w:rsidR="000D3C45" w:rsidRDefault="00242AAF" w:rsidP="00E0536E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242AAF">
        <w:rPr>
          <w:rFonts w:ascii="Times" w:hAnsi="Times" w:cs="Times"/>
          <w:noProof/>
          <w:color w:val="000000"/>
          <w:sz w:val="24"/>
          <w:szCs w:val="24"/>
          <w:lang w:val="en-US" w:eastAsia="zh-CN"/>
        </w:rPr>
        <w:drawing>
          <wp:inline distT="0" distB="0" distL="0" distR="0" wp14:anchorId="4B705E2F" wp14:editId="172829E1">
            <wp:extent cx="5943600" cy="42633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DA644" w14:textId="2D024EA7" w:rsidR="009C7766" w:rsidRPr="00A51DC1" w:rsidRDefault="00A51DC1" w:rsidP="00A51DC1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0"/>
          <w:lang w:val="en-US"/>
        </w:rPr>
      </w:pPr>
      <w:r>
        <w:rPr>
          <w:rFonts w:ascii="Times" w:hAnsi="Times" w:cs="Times"/>
          <w:color w:val="000000"/>
          <w:sz w:val="20"/>
          <w:lang w:val="en-US"/>
        </w:rPr>
        <w:t xml:space="preserve">This appears to be an oversight. </w:t>
      </w:r>
      <w:r w:rsidR="001B37DE">
        <w:rPr>
          <w:rFonts w:ascii="Times" w:hAnsi="Times" w:cs="Times"/>
          <w:color w:val="000000"/>
          <w:sz w:val="20"/>
          <w:lang w:val="en-US"/>
        </w:rPr>
        <w:t xml:space="preserve">Other uses of CCFS0 also specify </w:t>
      </w:r>
      <w:r>
        <w:rPr>
          <w:rFonts w:ascii="Times" w:hAnsi="Times" w:cs="Times"/>
          <w:color w:val="000000"/>
          <w:sz w:val="20"/>
          <w:lang w:val="en-US"/>
        </w:rPr>
        <w:t xml:space="preserve">CCFS0 </w:t>
      </w:r>
      <w:r w:rsidR="001B37DE">
        <w:rPr>
          <w:rFonts w:ascii="Times" w:hAnsi="Times" w:cs="Times"/>
          <w:color w:val="000000"/>
          <w:sz w:val="20"/>
          <w:lang w:val="en-US"/>
        </w:rPr>
        <w:t>use for 20 and 40 MHz:</w:t>
      </w:r>
    </w:p>
    <w:p w14:paraId="481C9B58" w14:textId="77777777" w:rsidR="00635E79" w:rsidRDefault="00635E79"/>
    <w:p w14:paraId="387D3C12" w14:textId="77777777" w:rsidR="00635E79" w:rsidRDefault="00635E79"/>
    <w:p w14:paraId="3776444C" w14:textId="21829F9D" w:rsidR="00635E79" w:rsidRDefault="00635E79">
      <w:r w:rsidRPr="00635E79">
        <w:rPr>
          <w:noProof/>
          <w:lang w:val="en-US" w:eastAsia="zh-CN"/>
        </w:rPr>
        <w:lastRenderedPageBreak/>
        <w:drawing>
          <wp:inline distT="0" distB="0" distL="0" distR="0" wp14:anchorId="2B3204A1" wp14:editId="38E86FFA">
            <wp:extent cx="5486400" cy="2616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04A6D" w14:textId="77777777" w:rsidR="00635E79" w:rsidRDefault="00635E79"/>
    <w:p w14:paraId="56F2FDCF" w14:textId="7A58AE43" w:rsidR="00EC7326" w:rsidRDefault="00EC7326"/>
    <w:p w14:paraId="03899F34" w14:textId="77777777" w:rsidR="009C7766" w:rsidRDefault="009C7766"/>
    <w:p w14:paraId="51AD36CD" w14:textId="7D52A4A1" w:rsidR="009C7766" w:rsidRDefault="00486306">
      <w:r w:rsidRPr="00486306">
        <w:rPr>
          <w:noProof/>
          <w:lang w:val="en-US" w:eastAsia="zh-CN"/>
        </w:rPr>
        <w:drawing>
          <wp:inline distT="0" distB="0" distL="0" distR="0" wp14:anchorId="6682A208" wp14:editId="02842FBB">
            <wp:extent cx="5947410" cy="2222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519BA" w14:textId="72D65B52" w:rsidR="00E476EE" w:rsidRDefault="00184A5F">
      <w:r w:rsidRPr="00184A5F">
        <w:rPr>
          <w:noProof/>
          <w:lang w:val="en-US" w:eastAsia="zh-CN"/>
        </w:rPr>
        <w:drawing>
          <wp:inline distT="0" distB="0" distL="0" distR="0" wp14:anchorId="247A4F67" wp14:editId="0344EA94">
            <wp:extent cx="5702300" cy="1003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7E02C" w14:textId="77777777" w:rsidR="00184A5F" w:rsidRDefault="00184A5F"/>
    <w:p w14:paraId="2B8FB880" w14:textId="5BC8687D" w:rsidR="00184A5F" w:rsidRDefault="00184A5F">
      <w:r w:rsidRPr="00184A5F">
        <w:rPr>
          <w:noProof/>
          <w:lang w:val="en-US" w:eastAsia="zh-CN"/>
        </w:rPr>
        <w:drawing>
          <wp:inline distT="0" distB="0" distL="0" distR="0" wp14:anchorId="325D7D9F" wp14:editId="47A8FA0E">
            <wp:extent cx="5651500" cy="723900"/>
            <wp:effectExtent l="0" t="0" r="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81AC" w14:textId="77777777" w:rsidR="001777B8" w:rsidRDefault="001777B8"/>
    <w:p w14:paraId="088CCA5B" w14:textId="77777777" w:rsidR="001777B8" w:rsidRDefault="001777B8"/>
    <w:p w14:paraId="1C3BB7B6" w14:textId="0401B8B0" w:rsidR="001777B8" w:rsidRDefault="00DF56F4">
      <w:r w:rsidRPr="00DF56F4">
        <w:rPr>
          <w:noProof/>
          <w:lang w:val="en-US" w:eastAsia="zh-CN"/>
        </w:rPr>
        <w:drawing>
          <wp:inline distT="0" distB="0" distL="0" distR="0" wp14:anchorId="5116E737" wp14:editId="76B11A6B">
            <wp:extent cx="5651500" cy="2857500"/>
            <wp:effectExtent l="0" t="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F7B3A" w14:textId="77777777" w:rsidR="00DF56F4" w:rsidRDefault="00DF56F4"/>
    <w:p w14:paraId="1B371965" w14:textId="77777777" w:rsidR="00DF56F4" w:rsidRDefault="00DF56F4"/>
    <w:p w14:paraId="43700861" w14:textId="77777777" w:rsidR="00F02BBE" w:rsidRDefault="00F02BBE"/>
    <w:p w14:paraId="3BFE5CB0" w14:textId="645B3EF9" w:rsidR="00F02BBE" w:rsidRDefault="00F02BBE">
      <w:r w:rsidRPr="00F02BBE">
        <w:rPr>
          <w:noProof/>
          <w:lang w:val="en-US" w:eastAsia="zh-CN"/>
        </w:rPr>
        <w:drawing>
          <wp:inline distT="0" distB="0" distL="0" distR="0" wp14:anchorId="1B8BCE7F" wp14:editId="5D7D9129">
            <wp:extent cx="5461000" cy="1752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6C67C" w14:textId="77777777" w:rsidR="00F02BBE" w:rsidRDefault="00F02BBE"/>
    <w:p w14:paraId="44DB7DEA" w14:textId="77777777" w:rsidR="00F02BBE" w:rsidRDefault="00F02BBE"/>
    <w:p w14:paraId="19946714" w14:textId="77777777" w:rsidR="001777B8" w:rsidRDefault="001777B8"/>
    <w:p w14:paraId="0438D3F5" w14:textId="7DB33E15" w:rsidR="00E476EE" w:rsidRDefault="007D32C7">
      <w:r>
        <w:t>Therefore,</w:t>
      </w:r>
      <w:r w:rsidR="001B37DE">
        <w:t xml:space="preserve"> a</w:t>
      </w:r>
      <w:r w:rsidR="00424DBD">
        <w:t>n obvious</w:t>
      </w:r>
      <w:r w:rsidR="001B37DE">
        <w:t xml:space="preserve"> fix </w:t>
      </w:r>
      <w:r w:rsidR="00A51DC1">
        <w:t>would be to</w:t>
      </w:r>
      <w:r w:rsidR="001B37DE">
        <w:t xml:space="preserve"> add 20 and 40 MHz to Table 9-252.</w:t>
      </w:r>
    </w:p>
    <w:p w14:paraId="5F174484" w14:textId="77777777" w:rsidR="00CF4D54" w:rsidRDefault="00CF4D54"/>
    <w:p w14:paraId="69CDFF68" w14:textId="3B3B9E24" w:rsidR="002749D5" w:rsidRPr="00242AAF" w:rsidRDefault="00D10DC6" w:rsidP="002749D5">
      <w:pPr>
        <w:rPr>
          <w:color w:val="FF0000"/>
        </w:rPr>
      </w:pPr>
      <w:r>
        <w:rPr>
          <w:b/>
          <w:i/>
          <w:color w:val="FF0000"/>
        </w:rPr>
        <w:t>M</w:t>
      </w:r>
      <w:r w:rsidR="002749D5" w:rsidRPr="00242AAF">
        <w:rPr>
          <w:b/>
          <w:i/>
          <w:color w:val="FF0000"/>
        </w:rPr>
        <w:t xml:space="preserve">odify Table </w:t>
      </w:r>
      <w:r w:rsidR="002749D5">
        <w:rPr>
          <w:b/>
          <w:i/>
          <w:color w:val="FF0000"/>
        </w:rPr>
        <w:t>9</w:t>
      </w:r>
      <w:r w:rsidR="002749D5" w:rsidRPr="00242AAF">
        <w:rPr>
          <w:b/>
          <w:i/>
          <w:color w:val="FF0000"/>
        </w:rPr>
        <w:t>-25</w:t>
      </w:r>
      <w:r w:rsidR="002749D5">
        <w:rPr>
          <w:b/>
          <w:i/>
          <w:color w:val="FF0000"/>
        </w:rPr>
        <w:t>2</w:t>
      </w:r>
      <w:r>
        <w:rPr>
          <w:b/>
          <w:i/>
          <w:color w:val="FF0000"/>
        </w:rPr>
        <w:t xml:space="preserve"> (</w:t>
      </w:r>
      <w:r w:rsidRPr="00D10DC6">
        <w:rPr>
          <w:b/>
          <w:i/>
          <w:color w:val="FF0000"/>
        </w:rPr>
        <w:t>VHT Operation Information subfields</w:t>
      </w:r>
      <w:r>
        <w:rPr>
          <w:b/>
          <w:i/>
          <w:color w:val="FF0000"/>
        </w:rPr>
        <w:t>)</w:t>
      </w:r>
      <w:r w:rsidR="002749D5" w:rsidRPr="00242AAF">
        <w:rPr>
          <w:b/>
          <w:i/>
          <w:color w:val="FF0000"/>
        </w:rPr>
        <w:t xml:space="preserve"> as</w:t>
      </w:r>
      <w:r w:rsidR="002749D5">
        <w:rPr>
          <w:b/>
          <w:i/>
          <w:color w:val="FF0000"/>
        </w:rPr>
        <w:t xml:space="preserve"> </w:t>
      </w:r>
      <w:r>
        <w:rPr>
          <w:b/>
          <w:i/>
          <w:color w:val="FF0000"/>
        </w:rPr>
        <w:t>follows</w:t>
      </w:r>
      <w:r w:rsidR="002749D5" w:rsidRPr="00242AAF">
        <w:rPr>
          <w:b/>
          <w:i/>
          <w:color w:val="FF0000"/>
        </w:rPr>
        <w:t xml:space="preserve">: </w:t>
      </w:r>
    </w:p>
    <w:p w14:paraId="13281A40" w14:textId="77777777" w:rsidR="00E476EE" w:rsidRDefault="00E476EE"/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0"/>
        <w:gridCol w:w="2900"/>
        <w:gridCol w:w="3920"/>
      </w:tblGrid>
      <w:tr w:rsidR="00D10DC6" w:rsidRPr="00D10DC6" w14:paraId="45B104F1" w14:textId="77777777" w:rsidTr="00D10DC6">
        <w:trPr>
          <w:jc w:val="center"/>
        </w:trPr>
        <w:tc>
          <w:tcPr>
            <w:tcW w:w="8600" w:type="dxa"/>
            <w:gridSpan w:val="3"/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14:paraId="131C7494" w14:textId="77777777" w:rsidR="00D10DC6" w:rsidRPr="00D10DC6" w:rsidRDefault="00D10DC6" w:rsidP="005054A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bookmarkStart w:id="1" w:name="RTF38343930373a205461626c65"/>
            <w:r w:rsidRPr="00D10DC6">
              <w:rPr>
                <w:rFonts w:ascii="Arial" w:hAnsi="Arial" w:cs="Arial"/>
                <w:b/>
                <w:color w:val="000000"/>
                <w:sz w:val="20"/>
                <w:lang w:val="en-US"/>
              </w:rPr>
              <w:t>Table 9-252—</w:t>
            </w:r>
            <w:r w:rsidRPr="00D10DC6">
              <w:rPr>
                <w:rFonts w:ascii="Calibri" w:hAnsi="Calibri"/>
                <w:b/>
                <w:bCs/>
                <w:szCs w:val="22"/>
                <w:lang w:val="en-US"/>
              </w:rPr>
              <w:t>VHT Operation Information subfields</w:t>
            </w:r>
            <w:bookmarkEnd w:id="1"/>
          </w:p>
        </w:tc>
      </w:tr>
      <w:tr w:rsidR="00D10DC6" w:rsidRPr="00D10DC6" w14:paraId="3B322AD7" w14:textId="77777777" w:rsidTr="00D10DC6">
        <w:trPr>
          <w:trHeight w:val="440"/>
          <w:jc w:val="center"/>
        </w:trPr>
        <w:tc>
          <w:tcPr>
            <w:tcW w:w="17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  <w:hideMark/>
          </w:tcPr>
          <w:p w14:paraId="33176DB7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b/>
                <w:bCs/>
                <w:sz w:val="20"/>
                <w:lang w:val="en-US"/>
              </w:rPr>
              <w:t>Subfield</w:t>
            </w:r>
          </w:p>
        </w:tc>
        <w:tc>
          <w:tcPr>
            <w:tcW w:w="290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  <w:hideMark/>
          </w:tcPr>
          <w:p w14:paraId="24D8C8FE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b/>
                <w:bCs/>
                <w:sz w:val="20"/>
                <w:lang w:val="en-US"/>
              </w:rPr>
              <w:t>Definition</w:t>
            </w:r>
          </w:p>
        </w:tc>
        <w:tc>
          <w:tcPr>
            <w:tcW w:w="392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  <w:hideMark/>
          </w:tcPr>
          <w:p w14:paraId="2BA38500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b/>
                <w:bCs/>
                <w:sz w:val="20"/>
                <w:lang w:val="en-US"/>
              </w:rPr>
              <w:t>Encoding</w:t>
            </w:r>
          </w:p>
        </w:tc>
      </w:tr>
      <w:tr w:rsidR="00D10DC6" w:rsidRPr="00D10DC6" w14:paraId="5F004BE3" w14:textId="77777777" w:rsidTr="00D10DC6">
        <w:trPr>
          <w:trHeight w:val="2040"/>
          <w:jc w:val="center"/>
        </w:trPr>
        <w:tc>
          <w:tcPr>
            <w:tcW w:w="1780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hideMark/>
          </w:tcPr>
          <w:p w14:paraId="0EA24BC8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sz w:val="20"/>
                <w:lang w:val="en-US"/>
              </w:rPr>
              <w:t>Channel Width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hideMark/>
          </w:tcPr>
          <w:p w14:paraId="0341EAB0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sz w:val="20"/>
                <w:lang w:val="en-US"/>
              </w:rPr>
              <w:t>This field, together with the HT Operation element STA Channel Width field, defines the BSS bandwidth (see 11.40.1 (Basic VHT BSS functionality)).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hideMark/>
          </w:tcPr>
          <w:p w14:paraId="12D509CD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sz w:val="20"/>
                <w:lang w:val="en-US"/>
              </w:rPr>
              <w:t>Set to 0 for 20 MHz or 40 MHz BSS bandwidth.</w:t>
            </w:r>
          </w:p>
          <w:p w14:paraId="11E5C93B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sz w:val="20"/>
                <w:lang w:val="en-US"/>
              </w:rPr>
              <w:t>Set to 1 for 80 MHz, 160 MHz or 80+80 MHz BSS bandwidth.</w:t>
            </w:r>
          </w:p>
          <w:p w14:paraId="3765990D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sz w:val="20"/>
                <w:lang w:val="en-US"/>
              </w:rPr>
              <w:t>Set to 2 for 160 MHz BSS bandwidth (deprecated).</w:t>
            </w:r>
          </w:p>
          <w:p w14:paraId="4FAD5F8A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sz w:val="20"/>
                <w:lang w:val="en-US"/>
              </w:rPr>
              <w:t>Set to 3 for non-contiguous 80+80 MHz BSS bandwidth (deprecated).</w:t>
            </w:r>
          </w:p>
          <w:p w14:paraId="4937067A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sz w:val="20"/>
                <w:lang w:val="en-US"/>
              </w:rPr>
              <w:t>Values in the range 4 to 255 are reserved.</w:t>
            </w:r>
          </w:p>
        </w:tc>
      </w:tr>
      <w:tr w:rsidR="00D10DC6" w:rsidRPr="00D10DC6" w14:paraId="59719BBB" w14:textId="77777777" w:rsidTr="00B95C45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hideMark/>
          </w:tcPr>
          <w:p w14:paraId="296C2DF1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sz w:val="20"/>
                <w:lang w:val="en-US"/>
              </w:rPr>
              <w:t>Channel Center Frequency Segment 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hideMark/>
          </w:tcPr>
          <w:p w14:paraId="362B2E4C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sz w:val="20"/>
                <w:lang w:val="en-US"/>
              </w:rPr>
              <w:t>Defines a channel center frequency for a</w:t>
            </w:r>
            <w:r w:rsidRPr="00D10DC6">
              <w:rPr>
                <w:rFonts w:ascii="Calibri" w:hAnsi="Calibri"/>
                <w:strike/>
                <w:sz w:val="20"/>
                <w:highlight w:val="yellow"/>
                <w:lang w:val="en-US"/>
              </w:rPr>
              <w:t>n</w:t>
            </w:r>
            <w:r w:rsidRPr="00553D2F">
              <w:rPr>
                <w:rFonts w:ascii="Calibri" w:hAnsi="Calibri"/>
                <w:sz w:val="20"/>
                <w:highlight w:val="yellow"/>
                <w:lang w:val="en-US"/>
              </w:rPr>
              <w:t> </w:t>
            </w:r>
            <w:r w:rsidRPr="00D10DC6">
              <w:rPr>
                <w:rFonts w:ascii="Calibri" w:hAnsi="Calibri"/>
                <w:sz w:val="20"/>
                <w:highlight w:val="yellow"/>
                <w:u w:val="single"/>
                <w:lang w:val="en-US"/>
              </w:rPr>
              <w:t>20, 40,</w:t>
            </w:r>
            <w:r w:rsidRPr="00553D2F">
              <w:rPr>
                <w:rFonts w:ascii="Calibri" w:hAnsi="Calibri"/>
                <w:sz w:val="20"/>
                <w:u w:val="single"/>
                <w:lang w:val="en-US"/>
              </w:rPr>
              <w:t> </w:t>
            </w:r>
            <w:r w:rsidRPr="00D10DC6">
              <w:rPr>
                <w:rFonts w:ascii="Calibri" w:hAnsi="Calibri"/>
                <w:sz w:val="20"/>
                <w:lang w:val="en-US"/>
              </w:rPr>
              <w:t>80, 160, or 80+80 MHz VHT BSS. See 21.3.14 (Channelization).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hideMark/>
          </w:tcPr>
          <w:p w14:paraId="319BF8D8" w14:textId="10EF534F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sz w:val="20"/>
                <w:lang w:val="en-US"/>
              </w:rPr>
              <w:t>For</w:t>
            </w:r>
            <w:r w:rsidRPr="00553D2F">
              <w:rPr>
                <w:rFonts w:ascii="Calibri" w:hAnsi="Calibri"/>
                <w:sz w:val="20"/>
                <w:lang w:val="en-US"/>
              </w:rPr>
              <w:t> </w:t>
            </w:r>
            <w:r w:rsidR="00FE7524">
              <w:rPr>
                <w:rFonts w:ascii="Calibri" w:hAnsi="Calibri"/>
                <w:sz w:val="20"/>
                <w:highlight w:val="yellow"/>
                <w:u w:val="single"/>
                <w:lang w:val="en-US"/>
              </w:rPr>
              <w:t xml:space="preserve">20, 40, </w:t>
            </w:r>
            <w:r w:rsidRPr="00D10DC6">
              <w:rPr>
                <w:rFonts w:ascii="Calibri" w:hAnsi="Calibri"/>
                <w:sz w:val="20"/>
                <w:highlight w:val="yellow"/>
                <w:u w:val="single"/>
                <w:lang w:val="en-US"/>
              </w:rPr>
              <w:t>or</w:t>
            </w:r>
            <w:r w:rsidRPr="00553D2F">
              <w:rPr>
                <w:rFonts w:ascii="Calibri" w:hAnsi="Calibri"/>
                <w:sz w:val="20"/>
                <w:u w:val="single"/>
                <w:lang w:val="en-US"/>
              </w:rPr>
              <w:t> </w:t>
            </w:r>
            <w:r w:rsidRPr="00D10DC6">
              <w:rPr>
                <w:rFonts w:ascii="Calibri" w:hAnsi="Calibri"/>
                <w:sz w:val="20"/>
                <w:lang w:val="en-US"/>
              </w:rPr>
              <w:t>80 MHz BSS bandwidth, indicates the channel center frequency index for the</w:t>
            </w:r>
            <w:r w:rsidR="00BE0494">
              <w:rPr>
                <w:rFonts w:ascii="Calibri" w:hAnsi="Calibri"/>
                <w:color w:val="FF0000"/>
                <w:sz w:val="20"/>
                <w:lang w:val="en-US"/>
              </w:rPr>
              <w:t xml:space="preserve"> </w:t>
            </w:r>
            <w:r w:rsidR="00BE0494" w:rsidRPr="00A51DC1">
              <w:rPr>
                <w:rFonts w:ascii="Calibri" w:hAnsi="Calibri"/>
                <w:sz w:val="20"/>
                <w:highlight w:val="yellow"/>
                <w:u w:val="single"/>
                <w:lang w:val="en-US"/>
              </w:rPr>
              <w:t>20, 40, or</w:t>
            </w:r>
            <w:r w:rsidRPr="00D10DC6">
              <w:rPr>
                <w:rFonts w:ascii="Calibri" w:hAnsi="Calibri"/>
                <w:sz w:val="20"/>
                <w:lang w:val="en-US"/>
              </w:rPr>
              <w:t xml:space="preserve"> 80 MHz channel on which the VHT BSS operates.</w:t>
            </w:r>
          </w:p>
          <w:p w14:paraId="47A64B23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sz w:val="20"/>
                <w:lang w:val="en-US"/>
              </w:rPr>
              <w:t>For 160 MHz BSS bandwidth and the Channel Width subfield equal to 1, indicates the channel center frequency index of the 80 MHz channel segment that contains the primary channel.</w:t>
            </w:r>
          </w:p>
          <w:p w14:paraId="519D614B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sz w:val="20"/>
                <w:lang w:val="en-US"/>
              </w:rPr>
              <w:t>For 160 MHz BSS bandwidth and the Channel Width subfield equal to 2, indicates the channel center frequency index of the 160 MHz channel on which the VHT BSS operates.</w:t>
            </w:r>
          </w:p>
          <w:p w14:paraId="1DAA6373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sz w:val="20"/>
                <w:lang w:val="en-US"/>
              </w:rPr>
              <w:t>For 80+80 MHz BSS bandwidth and the Channel Width subfield equal to 1 or 3, indicates the channel center frequency index for the primary 80 MHz channel of the VHT BSS.</w:t>
            </w:r>
          </w:p>
          <w:p w14:paraId="2CB5E727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sz w:val="20"/>
                <w:lang w:val="en-US"/>
              </w:rPr>
              <w:t>Reserved otherwise.</w:t>
            </w:r>
          </w:p>
        </w:tc>
      </w:tr>
      <w:tr w:rsidR="00D10DC6" w:rsidRPr="00D10DC6" w14:paraId="60CE9A92" w14:textId="77777777" w:rsidTr="00D10DC6">
        <w:trPr>
          <w:trHeight w:val="3960"/>
          <w:jc w:val="center"/>
        </w:trPr>
        <w:tc>
          <w:tcPr>
            <w:tcW w:w="17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hideMark/>
          </w:tcPr>
          <w:p w14:paraId="76704998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sz w:val="20"/>
                <w:lang w:val="en-US"/>
              </w:rPr>
              <w:lastRenderedPageBreak/>
              <w:t>Channel Center Frequency Segment 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hideMark/>
          </w:tcPr>
          <w:p w14:paraId="4CC4454D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sz w:val="20"/>
                <w:lang w:val="en-US"/>
              </w:rPr>
              <w:t>Defines a channel center frequency for a 160 or 80+80 MHz VHT BSS. See 21.3.14 (Channelization).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hideMark/>
          </w:tcPr>
          <w:p w14:paraId="20A38932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sz w:val="20"/>
                <w:lang w:val="en-US"/>
              </w:rPr>
              <w:t>For a 20, 40, or 80 MHz BSS bandwidth, this subfield is set to 0.</w:t>
            </w:r>
          </w:p>
          <w:p w14:paraId="3CD2FE0F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sz w:val="20"/>
                <w:lang w:val="en-US"/>
              </w:rPr>
              <w:t>For a 160 MHz BSS bandwidth and the Channel Width subfield equal to 1, indicates the channel center frequency index of the 160 MHz channel on which the VHT BSS operates.</w:t>
            </w:r>
          </w:p>
          <w:p w14:paraId="05695673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sz w:val="20"/>
                <w:lang w:val="en-US"/>
              </w:rPr>
              <w:t>For a 160 MHz BSS bandwidth and the Channel Width subfield equal to 2, this field is set to 0.</w:t>
            </w:r>
          </w:p>
          <w:p w14:paraId="35263AD1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sz w:val="20"/>
                <w:lang w:val="en-US"/>
              </w:rPr>
              <w:t>For an 80+80 MHz BSS bandwidth and the Channel Width subfield equal to 1 or 3, indicates the channel center frequency index of the secondary 80 MHz channel of the VHT BSS.</w:t>
            </w:r>
          </w:p>
          <w:p w14:paraId="16AB30E1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sz w:val="20"/>
                <w:lang w:val="en-US"/>
              </w:rPr>
              <w:t>See</w:t>
            </w:r>
            <w:r w:rsidRPr="00553D2F">
              <w:rPr>
                <w:rFonts w:ascii="Calibri" w:hAnsi="Calibri"/>
                <w:sz w:val="20"/>
                <w:lang w:val="en-US"/>
              </w:rPr>
              <w:t> </w:t>
            </w:r>
            <w:r w:rsidRPr="00D10DC6">
              <w:rPr>
                <w:rFonts w:ascii="Calibri" w:hAnsi="Calibri"/>
                <w:b/>
                <w:bCs/>
                <w:sz w:val="20"/>
                <w:lang w:val="en-US"/>
              </w:rPr>
              <w:t>Error! Reference source not found.</w:t>
            </w:r>
            <w:r w:rsidRPr="00D10DC6">
              <w:rPr>
                <w:rFonts w:ascii="Calibri" w:hAnsi="Calibri"/>
                <w:sz w:val="20"/>
                <w:lang w:val="en-US"/>
              </w:rPr>
              <w:t>.</w:t>
            </w:r>
          </w:p>
          <w:p w14:paraId="407EF01F" w14:textId="77777777" w:rsidR="00D10DC6" w:rsidRPr="00D10DC6" w:rsidRDefault="00D10DC6" w:rsidP="00D10DC6">
            <w:pPr>
              <w:rPr>
                <w:rFonts w:ascii="Calibri" w:hAnsi="Calibri"/>
                <w:sz w:val="20"/>
                <w:lang w:val="en-US"/>
              </w:rPr>
            </w:pPr>
            <w:r w:rsidRPr="00D10DC6">
              <w:rPr>
                <w:rFonts w:ascii="Calibri" w:hAnsi="Calibri"/>
                <w:sz w:val="20"/>
                <w:lang w:val="en-US"/>
              </w:rPr>
              <w:t>Reserved otherwise.</w:t>
            </w:r>
          </w:p>
        </w:tc>
      </w:tr>
    </w:tbl>
    <w:p w14:paraId="710CAD8D" w14:textId="77777777" w:rsidR="00D10DC6" w:rsidRPr="00D10DC6" w:rsidRDefault="00D10DC6" w:rsidP="00D10DC6">
      <w:pPr>
        <w:rPr>
          <w:rFonts w:ascii="Calibri" w:hAnsi="Calibri"/>
          <w:color w:val="000000"/>
          <w:sz w:val="24"/>
          <w:szCs w:val="24"/>
          <w:lang w:val="en-US"/>
        </w:rPr>
      </w:pPr>
      <w:r w:rsidRPr="00D10DC6">
        <w:rPr>
          <w:rFonts w:ascii="Calibri" w:hAnsi="Calibri"/>
          <w:color w:val="000000"/>
          <w:szCs w:val="22"/>
          <w:lang w:val="en-US"/>
        </w:rPr>
        <w:t> </w:t>
      </w:r>
    </w:p>
    <w:p w14:paraId="1ECC30AB" w14:textId="77777777" w:rsidR="002749D5" w:rsidRDefault="002749D5"/>
    <w:sectPr w:rsidR="002749D5" w:rsidSect="00B63D0A">
      <w:headerReference w:type="default" r:id="rId15"/>
      <w:footerReference w:type="default" r:id="rId16"/>
      <w:pgSz w:w="12240" w:h="15840" w:code="1"/>
      <w:pgMar w:top="1077" w:right="1077" w:bottom="1077" w:left="1077" w:header="431" w:footer="431" w:gutter="72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0F54DC" w14:textId="77777777" w:rsidR="0087495E" w:rsidRDefault="0087495E">
      <w:r>
        <w:separator/>
      </w:r>
    </w:p>
  </w:endnote>
  <w:endnote w:type="continuationSeparator" w:id="0">
    <w:p w14:paraId="7CE2998C" w14:textId="77777777" w:rsidR="0087495E" w:rsidRDefault="00874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1CD0B3" w14:textId="654C4E42" w:rsidR="001B37DE" w:rsidRDefault="0087495E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1B37DE">
      <w:t>Submission</w:t>
    </w:r>
    <w:r>
      <w:fldChar w:fldCharType="end"/>
    </w:r>
    <w:r w:rsidR="001B37DE">
      <w:tab/>
      <w:t xml:space="preserve">page </w:t>
    </w:r>
    <w:r w:rsidR="001B37DE">
      <w:fldChar w:fldCharType="begin"/>
    </w:r>
    <w:r w:rsidR="001B37DE">
      <w:instrText xml:space="preserve">page </w:instrText>
    </w:r>
    <w:r w:rsidR="001B37DE">
      <w:fldChar w:fldCharType="separate"/>
    </w:r>
    <w:r w:rsidR="00846733">
      <w:rPr>
        <w:noProof/>
      </w:rPr>
      <w:t>1</w:t>
    </w:r>
    <w:r w:rsidR="001B37DE">
      <w:fldChar w:fldCharType="end"/>
    </w:r>
    <w:r w:rsidR="001B37DE">
      <w:tab/>
      <w:t>Huizhao Wang, Quantenna</w:t>
    </w:r>
  </w:p>
  <w:p w14:paraId="767F1886" w14:textId="77777777" w:rsidR="001B37DE" w:rsidRDefault="001B37DE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FFFDC4" w14:textId="77777777" w:rsidR="0087495E" w:rsidRDefault="0087495E">
      <w:r>
        <w:separator/>
      </w:r>
    </w:p>
  </w:footnote>
  <w:footnote w:type="continuationSeparator" w:id="0">
    <w:p w14:paraId="6392C446" w14:textId="77777777" w:rsidR="0087495E" w:rsidRDefault="008749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9E4761" w14:textId="7377EA40" w:rsidR="001B37DE" w:rsidRDefault="0087495E">
    <w:pPr>
      <w:pStyle w:val="Head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KEYWORDS  \* MERGEFORMAT </w:instrText>
    </w:r>
    <w:r>
      <w:fldChar w:fldCharType="separate"/>
    </w:r>
    <w:r w:rsidR="001B37DE">
      <w:t>November 2017</w:t>
    </w:r>
    <w:r>
      <w:fldChar w:fldCharType="end"/>
    </w:r>
    <w:r w:rsidR="001B37DE">
      <w:tab/>
    </w:r>
    <w:r w:rsidR="001B37DE">
      <w:tab/>
    </w:r>
    <w:r>
      <w:fldChar w:fldCharType="begin"/>
    </w:r>
    <w:r>
      <w:instrText xml:space="preserve"> TITLE  \* MERGEFORMAT </w:instrText>
    </w:r>
    <w:r>
      <w:fldChar w:fldCharType="separate"/>
    </w:r>
    <w:r w:rsidR="001B37DE">
      <w:t>doc.: IEEE 802.11-17/1738r1</w:t>
    </w:r>
    <w: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746C0D"/>
    <w:multiLevelType w:val="hybridMultilevel"/>
    <w:tmpl w:val="3FA4F994"/>
    <w:lvl w:ilvl="0" w:tplc="42E84648">
      <w:numFmt w:val="bullet"/>
      <w:lvlText w:val="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A0523C"/>
    <w:multiLevelType w:val="hybridMultilevel"/>
    <w:tmpl w:val="279CD22A"/>
    <w:lvl w:ilvl="0" w:tplc="33B4D21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1"/>
  <w:printFractionalCharacterWidth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C69"/>
    <w:rsid w:val="0006655E"/>
    <w:rsid w:val="0007176A"/>
    <w:rsid w:val="000835DB"/>
    <w:rsid w:val="000C0C8F"/>
    <w:rsid w:val="000D3C45"/>
    <w:rsid w:val="000F362B"/>
    <w:rsid w:val="001777B8"/>
    <w:rsid w:val="00184A5F"/>
    <w:rsid w:val="001B37DE"/>
    <w:rsid w:val="001D723B"/>
    <w:rsid w:val="00222C69"/>
    <w:rsid w:val="00230AD5"/>
    <w:rsid w:val="00232DB0"/>
    <w:rsid w:val="00242AAF"/>
    <w:rsid w:val="002749D5"/>
    <w:rsid w:val="0029020B"/>
    <w:rsid w:val="00297787"/>
    <w:rsid w:val="002A33E4"/>
    <w:rsid w:val="002D44BE"/>
    <w:rsid w:val="003301F4"/>
    <w:rsid w:val="00355A66"/>
    <w:rsid w:val="00375B6D"/>
    <w:rsid w:val="00396D0C"/>
    <w:rsid w:val="003A2642"/>
    <w:rsid w:val="003A2F87"/>
    <w:rsid w:val="003B7D88"/>
    <w:rsid w:val="003D481A"/>
    <w:rsid w:val="003D7284"/>
    <w:rsid w:val="003E6C9F"/>
    <w:rsid w:val="004020BC"/>
    <w:rsid w:val="00424DBD"/>
    <w:rsid w:val="00435E9E"/>
    <w:rsid w:val="00442037"/>
    <w:rsid w:val="00467EE7"/>
    <w:rsid w:val="00486306"/>
    <w:rsid w:val="004B064B"/>
    <w:rsid w:val="004B706C"/>
    <w:rsid w:val="004B70A9"/>
    <w:rsid w:val="004B7631"/>
    <w:rsid w:val="004B7C04"/>
    <w:rsid w:val="004E67A9"/>
    <w:rsid w:val="005054A1"/>
    <w:rsid w:val="00510AE9"/>
    <w:rsid w:val="00553D2F"/>
    <w:rsid w:val="00567F39"/>
    <w:rsid w:val="005A6C01"/>
    <w:rsid w:val="005B0459"/>
    <w:rsid w:val="005C1CA6"/>
    <w:rsid w:val="005D6090"/>
    <w:rsid w:val="005E512C"/>
    <w:rsid w:val="00611479"/>
    <w:rsid w:val="0061182A"/>
    <w:rsid w:val="006169D3"/>
    <w:rsid w:val="0062440B"/>
    <w:rsid w:val="00630FD0"/>
    <w:rsid w:val="00635E79"/>
    <w:rsid w:val="006649C1"/>
    <w:rsid w:val="0069463D"/>
    <w:rsid w:val="006A1B77"/>
    <w:rsid w:val="006C0727"/>
    <w:rsid w:val="006E145F"/>
    <w:rsid w:val="00742D85"/>
    <w:rsid w:val="00770572"/>
    <w:rsid w:val="0077385B"/>
    <w:rsid w:val="007830FD"/>
    <w:rsid w:val="007B0BA0"/>
    <w:rsid w:val="007D32C7"/>
    <w:rsid w:val="00835F6B"/>
    <w:rsid w:val="00846733"/>
    <w:rsid w:val="00847A42"/>
    <w:rsid w:val="0086498A"/>
    <w:rsid w:val="00873FF0"/>
    <w:rsid w:val="0087495E"/>
    <w:rsid w:val="009017B0"/>
    <w:rsid w:val="00983C83"/>
    <w:rsid w:val="009A5F07"/>
    <w:rsid w:val="009B22AD"/>
    <w:rsid w:val="009C7265"/>
    <w:rsid w:val="009C7766"/>
    <w:rsid w:val="009F2FBC"/>
    <w:rsid w:val="00A00A00"/>
    <w:rsid w:val="00A04279"/>
    <w:rsid w:val="00A51DC1"/>
    <w:rsid w:val="00A84151"/>
    <w:rsid w:val="00AA1BB7"/>
    <w:rsid w:val="00AA427C"/>
    <w:rsid w:val="00AF60E3"/>
    <w:rsid w:val="00B50C84"/>
    <w:rsid w:val="00B6235D"/>
    <w:rsid w:val="00B63D0A"/>
    <w:rsid w:val="00B6791C"/>
    <w:rsid w:val="00B95C45"/>
    <w:rsid w:val="00BC7C51"/>
    <w:rsid w:val="00BD2B45"/>
    <w:rsid w:val="00BD2B59"/>
    <w:rsid w:val="00BD5F34"/>
    <w:rsid w:val="00BE0494"/>
    <w:rsid w:val="00BE68C2"/>
    <w:rsid w:val="00BF4AD3"/>
    <w:rsid w:val="00C31B60"/>
    <w:rsid w:val="00C51EFC"/>
    <w:rsid w:val="00C6446E"/>
    <w:rsid w:val="00C93057"/>
    <w:rsid w:val="00CA09B2"/>
    <w:rsid w:val="00CF4A74"/>
    <w:rsid w:val="00CF4D54"/>
    <w:rsid w:val="00D10DC6"/>
    <w:rsid w:val="00D45541"/>
    <w:rsid w:val="00D70EEE"/>
    <w:rsid w:val="00DB1A58"/>
    <w:rsid w:val="00DC2004"/>
    <w:rsid w:val="00DC5A7B"/>
    <w:rsid w:val="00DF56F4"/>
    <w:rsid w:val="00DF5B96"/>
    <w:rsid w:val="00E0066B"/>
    <w:rsid w:val="00E0536E"/>
    <w:rsid w:val="00E326BE"/>
    <w:rsid w:val="00E36650"/>
    <w:rsid w:val="00E4705E"/>
    <w:rsid w:val="00E476EE"/>
    <w:rsid w:val="00E53DEE"/>
    <w:rsid w:val="00E66498"/>
    <w:rsid w:val="00E77ECC"/>
    <w:rsid w:val="00E9351D"/>
    <w:rsid w:val="00EC7326"/>
    <w:rsid w:val="00ED5766"/>
    <w:rsid w:val="00EF587B"/>
    <w:rsid w:val="00F02BBE"/>
    <w:rsid w:val="00F20032"/>
    <w:rsid w:val="00F6666D"/>
    <w:rsid w:val="00F9004B"/>
    <w:rsid w:val="00FE7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AEC04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2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020BC"/>
    <w:pPr>
      <w:ind w:left="720"/>
      <w:contextualSpacing/>
    </w:pPr>
  </w:style>
  <w:style w:type="table" w:styleId="TableGrid">
    <w:name w:val="Table Grid"/>
    <w:basedOn w:val="TableNormal"/>
    <w:rsid w:val="000C0C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B63D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63D0A"/>
    <w:rPr>
      <w:rFonts w:ascii="Lucida Grande" w:hAnsi="Lucida Grande" w:cs="Lucida Grande"/>
      <w:sz w:val="18"/>
      <w:szCs w:val="18"/>
      <w:lang w:val="en-GB"/>
    </w:rPr>
  </w:style>
  <w:style w:type="character" w:customStyle="1" w:styleId="apple-converted-space">
    <w:name w:val="apple-converted-space"/>
    <w:basedOn w:val="DefaultParagraphFont"/>
    <w:rsid w:val="00D10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emf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497</Words>
  <Characters>2833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802.11-17/1738r1</vt:lpstr>
    </vt:vector>
  </TitlesOfParts>
  <Manager/>
  <Company>Quantenna</Company>
  <LinksUpToDate>false</LinksUpToDate>
  <CharactersWithSpaces>3324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802.11-17/1738r1</dc:title>
  <dc:subject>Submission</dc:subject>
  <dc:creator>Huizhao Wang</dc:creator>
  <cp:keywords/>
  <dc:description/>
  <cp:lastModifiedBy>Huizhao Wang</cp:lastModifiedBy>
  <cp:revision>2</cp:revision>
  <cp:lastPrinted>1900-12-31T23:40:00Z</cp:lastPrinted>
  <dcterms:created xsi:type="dcterms:W3CDTF">2018-01-11T17:40:00Z</dcterms:created>
  <dcterms:modified xsi:type="dcterms:W3CDTF">2018-01-11T17:40:00Z</dcterms:modified>
  <cp:category/>
</cp:coreProperties>
</file>