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915C9F" w:rsidRDefault="00CA09B2">
      <w:pPr>
        <w:pStyle w:val="T1"/>
        <w:pBdr>
          <w:bottom w:val="single" w:sz="6" w:space="0" w:color="auto"/>
        </w:pBdr>
        <w:spacing w:after="240"/>
        <w:rPr>
          <w:color w:val="000000" w:themeColor="text1"/>
        </w:rPr>
      </w:pPr>
      <w:r w:rsidRPr="00915C9F">
        <w:rPr>
          <w:color w:val="000000" w:themeColor="text1"/>
        </w:rPr>
        <w:t>IEEE P802.11</w:t>
      </w:r>
      <w:r w:rsidRPr="00915C9F">
        <w:rPr>
          <w:color w:val="000000" w:themeColor="text1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16"/>
        <w:gridCol w:w="2340"/>
        <w:gridCol w:w="1710"/>
        <w:gridCol w:w="2201"/>
      </w:tblGrid>
      <w:tr w:rsidR="00915C9F" w:rsidRPr="00915C9F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B38B8" w:rsidRPr="00915C9F" w:rsidRDefault="00BB38B8" w:rsidP="00297441">
            <w:pPr>
              <w:pStyle w:val="T2"/>
              <w:ind w:left="0"/>
              <w:rPr>
                <w:color w:val="000000" w:themeColor="text1"/>
                <w:lang w:eastAsia="ko-KR"/>
              </w:rPr>
            </w:pPr>
            <w:r w:rsidRPr="00915C9F">
              <w:rPr>
                <w:bCs/>
                <w:color w:val="000000" w:themeColor="text1"/>
                <w:sz w:val="24"/>
                <w:lang w:val="en-US"/>
              </w:rPr>
              <w:t>30.</w:t>
            </w:r>
            <w:r w:rsidR="00297441">
              <w:rPr>
                <w:rFonts w:hint="eastAsia"/>
                <w:bCs/>
                <w:color w:val="000000" w:themeColor="text1"/>
                <w:sz w:val="24"/>
                <w:lang w:val="en-US" w:eastAsia="ko-KR"/>
              </w:rPr>
              <w:t>9</w:t>
            </w:r>
            <w:r w:rsidRPr="00915C9F">
              <w:rPr>
                <w:bCs/>
                <w:color w:val="000000" w:themeColor="text1"/>
                <w:sz w:val="24"/>
                <w:lang w:val="en-US"/>
              </w:rPr>
              <w:t>.2.</w:t>
            </w:r>
            <w:r w:rsidR="00A813FF" w:rsidRPr="00915C9F">
              <w:rPr>
                <w:rFonts w:hint="eastAsia"/>
                <w:bCs/>
                <w:color w:val="000000" w:themeColor="text1"/>
                <w:sz w:val="24"/>
                <w:lang w:val="en-US" w:eastAsia="ko-KR"/>
              </w:rPr>
              <w:t>2</w:t>
            </w:r>
            <w:r w:rsidR="00297441">
              <w:rPr>
                <w:rFonts w:hint="eastAsia"/>
                <w:bCs/>
                <w:color w:val="000000" w:themeColor="text1"/>
                <w:sz w:val="24"/>
                <w:lang w:val="en-US" w:eastAsia="ko-KR"/>
              </w:rPr>
              <w:t>.7</w:t>
            </w:r>
            <w:r w:rsidR="00A813FF" w:rsidRPr="00915C9F">
              <w:rPr>
                <w:rFonts w:hint="eastAsia"/>
                <w:bCs/>
                <w:color w:val="000000" w:themeColor="text1"/>
                <w:sz w:val="24"/>
                <w:lang w:val="en-US" w:eastAsia="ko-KR"/>
              </w:rPr>
              <w:t xml:space="preserve"> </w:t>
            </w:r>
            <w:r w:rsidR="00297441">
              <w:rPr>
                <w:rFonts w:hint="eastAsia"/>
                <w:bCs/>
                <w:color w:val="000000" w:themeColor="text1"/>
                <w:sz w:val="24"/>
                <w:lang w:val="en-US" w:eastAsia="ko-KR"/>
              </w:rPr>
              <w:t>OFDM TRN Subfield Definition</w:t>
            </w:r>
            <w:r w:rsidR="00A813FF" w:rsidRPr="00915C9F">
              <w:rPr>
                <w:rFonts w:hint="eastAsia"/>
                <w:bCs/>
                <w:color w:val="000000" w:themeColor="text1"/>
                <w:sz w:val="24"/>
                <w:lang w:val="en-US" w:eastAsia="ko-KR"/>
              </w:rPr>
              <w:t xml:space="preserve"> </w:t>
            </w:r>
            <w:r w:rsidRPr="00915C9F">
              <w:rPr>
                <w:bCs/>
                <w:color w:val="000000" w:themeColor="text1"/>
                <w:sz w:val="24"/>
                <w:lang w:val="en-US"/>
              </w:rPr>
              <w:t xml:space="preserve"> </w:t>
            </w:r>
          </w:p>
        </w:tc>
      </w:tr>
      <w:tr w:rsidR="00915C9F" w:rsidRPr="00915C9F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15C9F" w:rsidRDefault="00CA09B2" w:rsidP="00B53BAF">
            <w:pPr>
              <w:pStyle w:val="T2"/>
              <w:ind w:left="0"/>
              <w:rPr>
                <w:color w:val="000000" w:themeColor="text1"/>
                <w:sz w:val="20"/>
                <w:lang w:eastAsia="ko-KR"/>
              </w:rPr>
            </w:pPr>
            <w:r w:rsidRPr="00915C9F">
              <w:rPr>
                <w:color w:val="000000" w:themeColor="text1"/>
                <w:sz w:val="20"/>
              </w:rPr>
              <w:t>Date:</w:t>
            </w:r>
            <w:r w:rsidRPr="00915C9F">
              <w:rPr>
                <w:b w:val="0"/>
                <w:color w:val="000000" w:themeColor="text1"/>
                <w:sz w:val="20"/>
              </w:rPr>
              <w:t xml:space="preserve">  </w:t>
            </w:r>
            <w:r w:rsidR="00F348A3" w:rsidRPr="00915C9F">
              <w:rPr>
                <w:b w:val="0"/>
                <w:color w:val="000000" w:themeColor="text1"/>
                <w:sz w:val="20"/>
              </w:rPr>
              <w:t>201</w:t>
            </w:r>
            <w:r w:rsidR="000853CA" w:rsidRPr="00915C9F">
              <w:rPr>
                <w:b w:val="0"/>
                <w:color w:val="000000" w:themeColor="text1"/>
                <w:sz w:val="20"/>
              </w:rPr>
              <w:t>7</w:t>
            </w:r>
            <w:r w:rsidRPr="00915C9F">
              <w:rPr>
                <w:b w:val="0"/>
                <w:color w:val="000000" w:themeColor="text1"/>
                <w:sz w:val="20"/>
              </w:rPr>
              <w:t>-</w:t>
            </w:r>
            <w:r w:rsidR="00F06F84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1</w:t>
            </w:r>
            <w:r w:rsidR="00B53BA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1</w:t>
            </w:r>
            <w:r w:rsidRPr="00915C9F">
              <w:rPr>
                <w:b w:val="0"/>
                <w:color w:val="000000" w:themeColor="text1"/>
                <w:sz w:val="20"/>
              </w:rPr>
              <w:t>-</w:t>
            </w:r>
            <w:r w:rsidR="00B53BA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06</w:t>
            </w:r>
          </w:p>
        </w:tc>
        <w:bookmarkStart w:id="0" w:name="_GoBack"/>
        <w:bookmarkEnd w:id="0"/>
      </w:tr>
      <w:tr w:rsidR="00915C9F" w:rsidRPr="00915C9F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15C9F" w:rsidRDefault="00CA09B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Author(s):</w:t>
            </w:r>
          </w:p>
        </w:tc>
      </w:tr>
      <w:tr w:rsidR="00915C9F" w:rsidRPr="00915C9F" w:rsidTr="001F7ED6">
        <w:trPr>
          <w:jc w:val="center"/>
        </w:trPr>
        <w:tc>
          <w:tcPr>
            <w:tcW w:w="1809" w:type="dxa"/>
            <w:vAlign w:val="center"/>
          </w:tcPr>
          <w:p w:rsidR="001F7ED6" w:rsidRPr="00915C9F" w:rsidRDefault="001F7ED6" w:rsidP="00861ACE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516" w:type="dxa"/>
            <w:vAlign w:val="center"/>
          </w:tcPr>
          <w:p w:rsidR="001F7ED6" w:rsidRPr="00915C9F" w:rsidRDefault="001F7ED6" w:rsidP="00861ACE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1F7ED6" w:rsidRPr="00915C9F" w:rsidRDefault="001F7ED6" w:rsidP="00861ACE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1F7ED6" w:rsidRPr="00915C9F" w:rsidRDefault="001F7ED6" w:rsidP="00861ACE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1F7ED6" w:rsidRPr="00915C9F" w:rsidRDefault="001F7ED6" w:rsidP="00861ACE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email</w:t>
            </w:r>
          </w:p>
        </w:tc>
      </w:tr>
      <w:tr w:rsidR="00915C9F" w:rsidRPr="00915C9F" w:rsidTr="001F7ED6">
        <w:trPr>
          <w:jc w:val="center"/>
        </w:trPr>
        <w:tc>
          <w:tcPr>
            <w:tcW w:w="1809" w:type="dxa"/>
            <w:vAlign w:val="center"/>
          </w:tcPr>
          <w:p w:rsidR="001F7ED6" w:rsidRPr="00915C9F" w:rsidRDefault="001F7ED6" w:rsidP="00861ACE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Sunwoong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Yun</w:t>
            </w:r>
          </w:p>
        </w:tc>
        <w:tc>
          <w:tcPr>
            <w:tcW w:w="1516" w:type="dxa"/>
            <w:vAlign w:val="center"/>
          </w:tcPr>
          <w:p w:rsidR="001F7ED6" w:rsidRPr="00915C9F" w:rsidRDefault="001F7ED6" w:rsidP="00861ACE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1F7ED6" w:rsidRPr="00915C9F" w:rsidRDefault="001F7ED6" w:rsidP="00861ACE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Seocho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LG R&amp;D Lab, Korea</w:t>
            </w:r>
          </w:p>
        </w:tc>
        <w:tc>
          <w:tcPr>
            <w:tcW w:w="1710" w:type="dxa"/>
            <w:vAlign w:val="center"/>
          </w:tcPr>
          <w:p w:rsidR="001F7ED6" w:rsidRPr="00915C9F" w:rsidRDefault="001F7ED6" w:rsidP="00861ACE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F7ED6" w:rsidRPr="00915C9F" w:rsidRDefault="001F7ED6" w:rsidP="00861ACE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sunwoong.yun</w:t>
            </w:r>
            <w:r w:rsidRPr="00915C9F">
              <w:rPr>
                <w:b w:val="0"/>
                <w:color w:val="000000" w:themeColor="text1"/>
                <w:sz w:val="16"/>
              </w:rPr>
              <w:t>@lge.com</w:t>
            </w:r>
          </w:p>
        </w:tc>
      </w:tr>
      <w:tr w:rsidR="008C10C4" w:rsidRPr="00915C9F" w:rsidTr="001F7ED6">
        <w:trPr>
          <w:jc w:val="center"/>
        </w:trPr>
        <w:tc>
          <w:tcPr>
            <w:tcW w:w="1809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SungJin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Park</w:t>
            </w:r>
          </w:p>
        </w:tc>
        <w:tc>
          <w:tcPr>
            <w:tcW w:w="1516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allen.park@lge.com</w:t>
            </w:r>
          </w:p>
        </w:tc>
      </w:tr>
      <w:tr w:rsidR="008C10C4" w:rsidRPr="00915C9F" w:rsidTr="001F7ED6">
        <w:trPr>
          <w:jc w:val="center"/>
        </w:trPr>
        <w:tc>
          <w:tcPr>
            <w:tcW w:w="1809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Saehee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Bang</w:t>
            </w:r>
          </w:p>
        </w:tc>
        <w:tc>
          <w:tcPr>
            <w:tcW w:w="1516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saehee.bang@lge.com</w:t>
            </w:r>
          </w:p>
        </w:tc>
      </w:tr>
      <w:tr w:rsidR="008C10C4" w:rsidRPr="00915C9F" w:rsidTr="001F7ED6">
        <w:trPr>
          <w:jc w:val="center"/>
        </w:trPr>
        <w:tc>
          <w:tcPr>
            <w:tcW w:w="1809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Jinmin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Kim</w:t>
            </w:r>
          </w:p>
        </w:tc>
        <w:tc>
          <w:tcPr>
            <w:tcW w:w="1516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jinmin1230.kim@lge.com</w:t>
            </w:r>
          </w:p>
        </w:tc>
      </w:tr>
      <w:tr w:rsidR="008C10C4" w:rsidRPr="00915C9F" w:rsidTr="001F7ED6">
        <w:trPr>
          <w:jc w:val="center"/>
        </w:trPr>
        <w:tc>
          <w:tcPr>
            <w:tcW w:w="1809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Jinsoo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Choi</w:t>
            </w:r>
          </w:p>
        </w:tc>
        <w:tc>
          <w:tcPr>
            <w:tcW w:w="1516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js.choi@lge.com</w:t>
            </w:r>
          </w:p>
        </w:tc>
      </w:tr>
      <w:tr w:rsidR="008C10C4" w:rsidRPr="00915C9F" w:rsidTr="001F7ED6">
        <w:trPr>
          <w:jc w:val="center"/>
        </w:trPr>
        <w:tc>
          <w:tcPr>
            <w:tcW w:w="1809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Sanggook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Kim</w:t>
            </w:r>
          </w:p>
        </w:tc>
        <w:tc>
          <w:tcPr>
            <w:tcW w:w="1516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 Diego/California/US</w:t>
            </w:r>
          </w:p>
        </w:tc>
        <w:tc>
          <w:tcPr>
            <w:tcW w:w="1710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C10C4" w:rsidRPr="00915C9F" w:rsidRDefault="008C10C4" w:rsidP="00045D0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sanggook.kim@lge.com</w:t>
            </w:r>
          </w:p>
        </w:tc>
      </w:tr>
    </w:tbl>
    <w:p w:rsidR="00CA09B2" w:rsidRPr="00F90987" w:rsidRDefault="00157EA4">
      <w:pPr>
        <w:pStyle w:val="T1"/>
        <w:spacing w:after="120"/>
        <w:rPr>
          <w:color w:val="FF0000"/>
          <w:sz w:val="22"/>
        </w:rPr>
      </w:pPr>
      <w:r w:rsidRPr="00F90987">
        <w:rPr>
          <w:noProof/>
          <w:color w:val="FF000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C62A7C" wp14:editId="4F58CD2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4D2" w:rsidRDefault="005504D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504D2" w:rsidRDefault="005504D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proposes </w:t>
                            </w:r>
                            <w:r w:rsidR="00DF4555">
                              <w:rPr>
                                <w:rFonts w:hint="eastAsia"/>
                                <w:lang w:eastAsia="ko-KR"/>
                              </w:rPr>
                              <w:t xml:space="preserve">specification text for </w:t>
                            </w:r>
                            <w:proofErr w:type="spellStart"/>
                            <w:r w:rsidR="00DF4555">
                              <w:rPr>
                                <w:rFonts w:hint="eastAsia"/>
                                <w:lang w:eastAsia="ko-KR"/>
                              </w:rPr>
                              <w:t>subcluase</w:t>
                            </w:r>
                            <w:proofErr w:type="spellEnd"/>
                            <w:r w:rsidR="00BB38B8">
                              <w:rPr>
                                <w:rFonts w:hint="eastAsia"/>
                                <w:lang w:eastAsia="ko-KR"/>
                              </w:rPr>
                              <w:t xml:space="preserve"> 30.</w:t>
                            </w:r>
                            <w:r w:rsidR="00297441">
                              <w:rPr>
                                <w:rFonts w:hint="eastAsia"/>
                                <w:lang w:eastAsia="ko-KR"/>
                              </w:rPr>
                              <w:t>9</w:t>
                            </w:r>
                            <w:r w:rsidR="00BB38B8">
                              <w:rPr>
                                <w:rFonts w:hint="eastAsia"/>
                                <w:lang w:eastAsia="ko-KR"/>
                              </w:rPr>
                              <w:t>.2.</w:t>
                            </w:r>
                            <w:r w:rsidR="00A813FF"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 w:rsidR="00297441">
                              <w:rPr>
                                <w:rFonts w:hint="eastAsia"/>
                                <w:lang w:eastAsia="ko-KR"/>
                              </w:rPr>
                              <w:t>.7</w:t>
                            </w:r>
                            <w:r w:rsidR="00BB38B8">
                              <w:rPr>
                                <w:rFonts w:hint="eastAsia"/>
                                <w:lang w:eastAsia="ko-KR"/>
                              </w:rPr>
                              <w:t xml:space="preserve"> of the spec describing </w:t>
                            </w:r>
                            <w:r w:rsidR="00297441">
                              <w:rPr>
                                <w:rFonts w:hint="eastAsia"/>
                                <w:lang w:eastAsia="ko-KR"/>
                              </w:rPr>
                              <w:t>OFDM TRN Subfield 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504D2" w:rsidRDefault="005504D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504D2" w:rsidRDefault="005504D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document proposes </w:t>
                      </w:r>
                      <w:r w:rsidR="00DF4555">
                        <w:rPr>
                          <w:rFonts w:hint="eastAsia"/>
                          <w:lang w:eastAsia="ko-KR"/>
                        </w:rPr>
                        <w:t xml:space="preserve">specification text for </w:t>
                      </w:r>
                      <w:proofErr w:type="spellStart"/>
                      <w:r w:rsidR="00DF4555">
                        <w:rPr>
                          <w:rFonts w:hint="eastAsia"/>
                          <w:lang w:eastAsia="ko-KR"/>
                        </w:rPr>
                        <w:t>subcluase</w:t>
                      </w:r>
                      <w:proofErr w:type="spellEnd"/>
                      <w:r w:rsidR="00BB38B8">
                        <w:rPr>
                          <w:rFonts w:hint="eastAsia"/>
                          <w:lang w:eastAsia="ko-KR"/>
                        </w:rPr>
                        <w:t xml:space="preserve"> 30.</w:t>
                      </w:r>
                      <w:r w:rsidR="00297441">
                        <w:rPr>
                          <w:rFonts w:hint="eastAsia"/>
                          <w:lang w:eastAsia="ko-KR"/>
                        </w:rPr>
                        <w:t>9</w:t>
                      </w:r>
                      <w:r w:rsidR="00BB38B8">
                        <w:rPr>
                          <w:rFonts w:hint="eastAsia"/>
                          <w:lang w:eastAsia="ko-KR"/>
                        </w:rPr>
                        <w:t>.2.</w:t>
                      </w:r>
                      <w:r w:rsidR="00A813FF">
                        <w:rPr>
                          <w:rFonts w:hint="eastAsia"/>
                          <w:lang w:eastAsia="ko-KR"/>
                        </w:rPr>
                        <w:t>2</w:t>
                      </w:r>
                      <w:r w:rsidR="00297441">
                        <w:rPr>
                          <w:rFonts w:hint="eastAsia"/>
                          <w:lang w:eastAsia="ko-KR"/>
                        </w:rPr>
                        <w:t>.7</w:t>
                      </w:r>
                      <w:r w:rsidR="00BB38B8">
                        <w:rPr>
                          <w:rFonts w:hint="eastAsia"/>
                          <w:lang w:eastAsia="ko-KR"/>
                        </w:rPr>
                        <w:t xml:space="preserve"> of the spec describing </w:t>
                      </w:r>
                      <w:r w:rsidR="00297441">
                        <w:rPr>
                          <w:rFonts w:hint="eastAsia"/>
                          <w:lang w:eastAsia="ko-KR"/>
                        </w:rPr>
                        <w:t>OFDM TRN Subfield Definition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Pr="00F90987" w:rsidRDefault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07B4E" w:rsidRPr="00F90987" w:rsidRDefault="00C07B4E" w:rsidP="00C07B4E">
      <w:pPr>
        <w:rPr>
          <w:color w:val="FF0000"/>
        </w:rPr>
      </w:pPr>
    </w:p>
    <w:p w:rsidR="00CA09B2" w:rsidRPr="00F90987" w:rsidRDefault="00CA09B2" w:rsidP="00461356">
      <w:pPr>
        <w:rPr>
          <w:color w:val="FF0000"/>
        </w:rPr>
      </w:pPr>
    </w:p>
    <w:p w:rsidR="00CA09B2" w:rsidRPr="00F90987" w:rsidRDefault="00CA09B2">
      <w:pPr>
        <w:rPr>
          <w:color w:val="FF0000"/>
        </w:rPr>
      </w:pPr>
    </w:p>
    <w:p w:rsidR="00CA09B2" w:rsidRPr="00F90987" w:rsidRDefault="00CA09B2">
      <w:pPr>
        <w:rPr>
          <w:color w:val="FF0000"/>
        </w:rPr>
      </w:pPr>
      <w:r w:rsidRPr="00F90987">
        <w:rPr>
          <w:color w:val="FF0000"/>
        </w:rPr>
        <w:br w:type="page"/>
      </w:r>
    </w:p>
    <w:p w:rsidR="00AC2135" w:rsidRDefault="00105EC6" w:rsidP="00105EC6">
      <w:pPr>
        <w:pStyle w:val="IEEEStdsLevel4Header"/>
        <w:numPr>
          <w:ilvl w:val="0"/>
          <w:numId w:val="0"/>
        </w:numPr>
      </w:pPr>
      <w:r>
        <w:rPr>
          <w:rFonts w:hint="eastAsia"/>
          <w:lang w:eastAsia="ko-KR"/>
        </w:rPr>
        <w:lastRenderedPageBreak/>
        <w:t xml:space="preserve">9.4.2.250 </w:t>
      </w:r>
      <w:r w:rsidR="00AC2135">
        <w:t>EDMG Capabilities element</w:t>
      </w:r>
    </w:p>
    <w:p w:rsidR="00AC2135" w:rsidRPr="00321031" w:rsidRDefault="00105EC6" w:rsidP="00105EC6">
      <w:pPr>
        <w:pStyle w:val="IEEEStdsLevel5Header"/>
        <w:numPr>
          <w:ilvl w:val="0"/>
          <w:numId w:val="0"/>
        </w:numPr>
      </w:pPr>
      <w:r>
        <w:rPr>
          <w:rFonts w:hint="eastAsia"/>
          <w:lang w:eastAsia="ko-KR"/>
        </w:rPr>
        <w:t xml:space="preserve">9.4.2.250.1 </w:t>
      </w:r>
      <w:r w:rsidR="00AC2135">
        <w:t>General</w:t>
      </w:r>
    </w:p>
    <w:p w:rsidR="00AC2135" w:rsidRDefault="00AC2135" w:rsidP="00AC2135">
      <w:pPr>
        <w:pStyle w:val="IEEEStdsParagraph"/>
      </w:pPr>
      <w:r w:rsidRPr="005664C3">
        <w:t>A</w:t>
      </w:r>
      <w:r>
        <w:t xml:space="preserve"> non-AP or non-PCP EDMG</w:t>
      </w:r>
      <w:r w:rsidRPr="005664C3">
        <w:t xml:space="preserve"> STA declares that it is a</w:t>
      </w:r>
      <w:r>
        <w:t>n</w:t>
      </w:r>
      <w:r w:rsidRPr="005664C3">
        <w:t xml:space="preserve"> </w:t>
      </w:r>
      <w:r>
        <w:t>EDMG</w:t>
      </w:r>
      <w:r w:rsidRPr="005664C3">
        <w:t xml:space="preserve"> STA by transmitting the </w:t>
      </w:r>
      <w:r>
        <w:t>EDMG</w:t>
      </w:r>
      <w:r w:rsidRPr="005664C3">
        <w:t xml:space="preserve"> Capabilities element.</w:t>
      </w:r>
      <w:r>
        <w:t xml:space="preserve"> </w:t>
      </w:r>
      <w:r w:rsidRPr="00C56C22">
        <w:t xml:space="preserve">The element is present in </w:t>
      </w:r>
      <w:r>
        <w:t xml:space="preserve">Announce, </w:t>
      </w:r>
      <w:r w:rsidRPr="00C56C22">
        <w:t>Association Re</w:t>
      </w:r>
      <w:r>
        <w:t xml:space="preserve">quest, Association Response, </w:t>
      </w:r>
      <w:proofErr w:type="spellStart"/>
      <w:r>
        <w:t>Re</w:t>
      </w:r>
      <w:r w:rsidRPr="00C56C22">
        <w:t>association</w:t>
      </w:r>
      <w:proofErr w:type="spellEnd"/>
      <w:r w:rsidRPr="00C56C22">
        <w:t xml:space="preserve"> Request, </w:t>
      </w:r>
      <w:proofErr w:type="spellStart"/>
      <w:r w:rsidRPr="00C56C22">
        <w:t>R</w:t>
      </w:r>
      <w:r>
        <w:t>e</w:t>
      </w:r>
      <w:r w:rsidRPr="00C56C22">
        <w:t>association</w:t>
      </w:r>
      <w:proofErr w:type="spellEnd"/>
      <w:r w:rsidRPr="00C56C22">
        <w:t xml:space="preserve"> Response, Probe Request and Probe Response frames and can be present in DMG Beacon, Information Request, and Information Response </w:t>
      </w:r>
      <w:r>
        <w:t>f</w:t>
      </w:r>
      <w:r w:rsidRPr="00C56C22">
        <w:t>rames.</w:t>
      </w:r>
    </w:p>
    <w:p w:rsidR="00AC2135" w:rsidRDefault="00AC2135" w:rsidP="00AC2135">
      <w:pPr>
        <w:pStyle w:val="IEEEStdsParagraph"/>
      </w:pPr>
      <w:r>
        <w:t xml:space="preserve">The format of the EDMG Capabilities element is shown in </w:t>
      </w:r>
      <w:r>
        <w:fldChar w:fldCharType="begin"/>
      </w:r>
      <w:r>
        <w:instrText xml:space="preserve"> REF _Ref461739555 \r \h </w:instrText>
      </w:r>
      <w:r>
        <w:fldChar w:fldCharType="separate"/>
      </w:r>
      <w:r>
        <w:t>Figure 19</w:t>
      </w:r>
      <w:r>
        <w:fldChar w:fldCharType="end"/>
      </w:r>
      <w:r>
        <w:t xml:space="preserve">. </w:t>
      </w:r>
      <w:r w:rsidRPr="00C56C22">
        <w:t>The EDMG Capabilities element contains a fixed length Core Capabilities field</w:t>
      </w:r>
      <w:r>
        <w:t>,</w:t>
      </w:r>
      <w:r w:rsidRPr="00C56C22">
        <w:t xml:space="preserve"> which may be followed by one or more variable length Extended Capabilities </w:t>
      </w:r>
      <w:r>
        <w:t>fields</w:t>
      </w:r>
      <w:r w:rsidRPr="00C56C22">
        <w:t xml:space="preserve">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1013"/>
        <w:gridCol w:w="726"/>
        <w:gridCol w:w="1676"/>
        <w:gridCol w:w="1408"/>
        <w:gridCol w:w="1799"/>
        <w:gridCol w:w="396"/>
        <w:gridCol w:w="1832"/>
      </w:tblGrid>
      <w:tr w:rsidR="00AC2135" w:rsidTr="00732D6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Core Capabilities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Extended Capabilities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Extended Capabilities N</w:t>
            </w:r>
          </w:p>
        </w:tc>
      </w:tr>
      <w:tr w:rsidR="00AC2135" w:rsidTr="00732D63">
        <w:trPr>
          <w:jc w:val="center"/>
        </w:trPr>
        <w:tc>
          <w:tcPr>
            <w:tcW w:w="0" w:type="auto"/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Octets: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Variable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Variable</w:t>
            </w:r>
          </w:p>
        </w:tc>
      </w:tr>
    </w:tbl>
    <w:p w:rsidR="00AC2135" w:rsidRDefault="00105EC6" w:rsidP="00105EC6">
      <w:pPr>
        <w:pStyle w:val="IEEEStdsRegularFigureCaption"/>
        <w:numPr>
          <w:ilvl w:val="0"/>
          <w:numId w:val="0"/>
        </w:numPr>
        <w:ind w:left="288"/>
      </w:pPr>
      <w:bookmarkStart w:id="1" w:name="_Ref461739555"/>
      <w:bookmarkStart w:id="2" w:name="_Toc483411264"/>
      <w:r>
        <w:rPr>
          <w:rFonts w:hint="eastAsia"/>
          <w:lang w:eastAsia="ko-KR"/>
        </w:rPr>
        <w:t>Figure 19</w:t>
      </w:r>
      <w:r w:rsidR="00AC2135">
        <w:t>—EDMG Capabilities element format</w:t>
      </w:r>
      <w:bookmarkEnd w:id="1"/>
      <w:bookmarkEnd w:id="2"/>
    </w:p>
    <w:p w:rsidR="00AC2135" w:rsidRDefault="00AC2135" w:rsidP="00AC2135">
      <w:pPr>
        <w:pStyle w:val="IEEEStdsParagraph"/>
      </w:pPr>
    </w:p>
    <w:p w:rsidR="00AC2135" w:rsidRDefault="00AC2135" w:rsidP="00AC2135">
      <w:pPr>
        <w:pStyle w:val="IEEEStdsParagraph"/>
      </w:pPr>
      <w:r>
        <w:t xml:space="preserve">The Element ID, Length and Element ID Extension fields are defined in </w:t>
      </w:r>
      <w:r>
        <w:fldChar w:fldCharType="begin"/>
      </w:r>
      <w:r>
        <w:instrText xml:space="preserve"> REF _Ref471152630 \r \h </w:instrText>
      </w:r>
      <w:r>
        <w:fldChar w:fldCharType="separate"/>
      </w:r>
      <w:r>
        <w:t>9.4.2.1</w:t>
      </w:r>
      <w:r>
        <w:fldChar w:fldCharType="end"/>
      </w:r>
      <w:r>
        <w:t>.</w:t>
      </w:r>
    </w:p>
    <w:p w:rsidR="00AC2135" w:rsidRDefault="00AC2135" w:rsidP="00AC2135">
      <w:pPr>
        <w:pStyle w:val="IEEEStdsParagraph"/>
      </w:pPr>
      <w:r>
        <w:t xml:space="preserve">The Core Capabilities field is defined in </w:t>
      </w:r>
      <w:r>
        <w:fldChar w:fldCharType="begin"/>
      </w:r>
      <w:r>
        <w:instrText xml:space="preserve"> REF _Ref471145328 \r \h </w:instrText>
      </w:r>
      <w:r>
        <w:fldChar w:fldCharType="separate"/>
      </w:r>
      <w:r>
        <w:t>Figure 20</w:t>
      </w:r>
      <w:r>
        <w:fldChar w:fldCharType="end"/>
      </w:r>
      <w:r>
        <w:t>.</w:t>
      </w:r>
    </w:p>
    <w:tbl>
      <w:tblPr>
        <w:tblW w:w="25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098"/>
        <w:gridCol w:w="1098"/>
        <w:gridCol w:w="1034"/>
        <w:gridCol w:w="958"/>
      </w:tblGrid>
      <w:tr w:rsidR="00AC2135" w:rsidTr="00732D63">
        <w:trPr>
          <w:jc w:val="center"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B0 B6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Del="000A0A89" w:rsidRDefault="00AC2135" w:rsidP="00732D63">
            <w:pPr>
              <w:pStyle w:val="IEEEStdsTableData-Center"/>
            </w:pPr>
            <w:r>
              <w:t>B7 B20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Del="000A0A89" w:rsidRDefault="00AC2135" w:rsidP="00732D63">
            <w:pPr>
              <w:pStyle w:val="IEEEStdsTableData-Center"/>
            </w:pPr>
            <w:r>
              <w:t>B21 B22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B23</w:t>
            </w:r>
          </w:p>
        </w:tc>
      </w:tr>
      <w:tr w:rsidR="00AC2135" w:rsidTr="00732D63">
        <w:trPr>
          <w:jc w:val="center"/>
        </w:trPr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A-MPDU Parameters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TRN Parameters</w:t>
            </w: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Supported MCS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Reserved</w:t>
            </w:r>
          </w:p>
        </w:tc>
      </w:tr>
      <w:tr w:rsidR="00AC2135" w:rsidTr="00732D63">
        <w:trPr>
          <w:jc w:val="center"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Bits: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Del="000A0A89" w:rsidRDefault="00AC2135" w:rsidP="00732D63">
            <w:pPr>
              <w:pStyle w:val="IEEEStdsTableData-Center"/>
            </w:pPr>
            <w:r>
              <w:t>14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Del="000A0A89" w:rsidRDefault="00AC2135" w:rsidP="00732D63">
            <w:pPr>
              <w:pStyle w:val="IEEEStdsTableData-Center"/>
            </w:pPr>
            <w: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</w:tr>
    </w:tbl>
    <w:p w:rsidR="00AC2135" w:rsidRDefault="00391771" w:rsidP="00391771">
      <w:pPr>
        <w:pStyle w:val="IEEEStdsRegularFigureCaption"/>
        <w:numPr>
          <w:ilvl w:val="0"/>
          <w:numId w:val="0"/>
        </w:numPr>
        <w:ind w:left="288"/>
      </w:pPr>
      <w:bookmarkStart w:id="3" w:name="_Ref471145328"/>
      <w:bookmarkStart w:id="4" w:name="_Toc483411265"/>
      <w:r>
        <w:rPr>
          <w:rFonts w:hint="eastAsia"/>
          <w:lang w:eastAsia="ko-KR"/>
        </w:rPr>
        <w:t>Figure 20</w:t>
      </w:r>
      <w:r w:rsidR="00AC2135">
        <w:t>—Core Capabilities field format</w:t>
      </w:r>
      <w:bookmarkEnd w:id="3"/>
      <w:bookmarkEnd w:id="4"/>
    </w:p>
    <w:p w:rsidR="00AC2135" w:rsidRDefault="00AC2135" w:rsidP="00AC2135">
      <w:pPr>
        <w:pStyle w:val="IEEEStdsParagraph"/>
      </w:pPr>
      <w:r>
        <w:t xml:space="preserve">The A-MPDU Parameters field is defined in </w:t>
      </w:r>
      <w:r>
        <w:fldChar w:fldCharType="begin"/>
      </w:r>
      <w:r>
        <w:instrText xml:space="preserve"> REF _Ref471400169 \r \h </w:instrText>
      </w:r>
      <w:r>
        <w:fldChar w:fldCharType="separate"/>
      </w:r>
      <w:r>
        <w:t>Figure 21</w:t>
      </w:r>
      <w:r>
        <w:fldChar w:fldCharType="end"/>
      </w:r>
      <w:r>
        <w:t xml:space="preserve">. The definition of the subfields of the A-MPDU Parameters field is shown in </w:t>
      </w:r>
      <w:r>
        <w:fldChar w:fldCharType="begin"/>
      </w:r>
      <w:r>
        <w:instrText xml:space="preserve"> REF _Ref471400449 \r \h </w:instrText>
      </w:r>
      <w:r>
        <w:fldChar w:fldCharType="separate"/>
      </w:r>
      <w:r>
        <w:t>Table 1</w:t>
      </w:r>
      <w:r>
        <w:fldChar w:fldCharType="end"/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22"/>
        <w:gridCol w:w="1502"/>
      </w:tblGrid>
      <w:tr w:rsidR="00AC2135" w:rsidTr="00732D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B0 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B4 B6</w:t>
            </w:r>
          </w:p>
        </w:tc>
      </w:tr>
      <w:tr w:rsidR="00AC2135" w:rsidTr="00732D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Maximum A-MPDU</w:t>
            </w:r>
          </w:p>
          <w:p w:rsidR="00AC2135" w:rsidRDefault="00AC2135" w:rsidP="00732D63">
            <w:pPr>
              <w:pStyle w:val="IEEEStdsTableData-Center"/>
            </w:pPr>
            <w:r>
              <w:t>Length Exponent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Minimum MPDU</w:t>
            </w:r>
          </w:p>
          <w:p w:rsidR="00AC2135" w:rsidRDefault="00AC2135" w:rsidP="00732D63">
            <w:pPr>
              <w:pStyle w:val="IEEEStdsTableData-Center"/>
            </w:pPr>
            <w:r>
              <w:t>Start Spacing</w:t>
            </w:r>
          </w:p>
        </w:tc>
      </w:tr>
      <w:tr w:rsidR="00AC2135" w:rsidTr="00732D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3</w:t>
            </w:r>
          </w:p>
        </w:tc>
      </w:tr>
    </w:tbl>
    <w:p w:rsidR="00AC2135" w:rsidRDefault="00A90A96" w:rsidP="00A90A96">
      <w:pPr>
        <w:pStyle w:val="IEEEStdsRegularFigureCaption"/>
        <w:numPr>
          <w:ilvl w:val="0"/>
          <w:numId w:val="0"/>
        </w:numPr>
        <w:ind w:left="288"/>
      </w:pPr>
      <w:bookmarkStart w:id="5" w:name="_Ref471400169"/>
      <w:bookmarkStart w:id="6" w:name="_Toc483411266"/>
      <w:r>
        <w:rPr>
          <w:rFonts w:hint="eastAsia"/>
          <w:lang w:eastAsia="ko-KR"/>
        </w:rPr>
        <w:t>Figure 21</w:t>
      </w:r>
      <w:r w:rsidR="00AC2135">
        <w:t>—A-MPDU Parameters field format</w:t>
      </w:r>
      <w:bookmarkEnd w:id="5"/>
      <w:bookmarkEnd w:id="6"/>
    </w:p>
    <w:p w:rsidR="00AC2135" w:rsidRDefault="00AC2135" w:rsidP="00AC2135">
      <w:pPr>
        <w:pStyle w:val="IEEEStdsParagraph"/>
      </w:pPr>
    </w:p>
    <w:p w:rsidR="00AC2135" w:rsidRDefault="00AC2135" w:rsidP="00AC2135">
      <w:pPr>
        <w:pStyle w:val="IEEEStdsRegularTableCaption"/>
      </w:pPr>
      <w:bookmarkStart w:id="7" w:name="_Ref471400449"/>
      <w:bookmarkStart w:id="8" w:name="_Toc483411363"/>
      <w:r>
        <w:t>—A-MPDU Parameters field definition</w:t>
      </w:r>
      <w:bookmarkEnd w:id="7"/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5478"/>
        <w:gridCol w:w="2174"/>
      </w:tblGrid>
      <w:tr w:rsidR="00AC2135" w:rsidTr="00732D63">
        <w:trPr>
          <w:jc w:val="center"/>
        </w:trPr>
        <w:tc>
          <w:tcPr>
            <w:tcW w:w="0" w:type="auto"/>
            <w:shd w:val="clear" w:color="auto" w:fill="auto"/>
          </w:tcPr>
          <w:p w:rsidR="00AC2135" w:rsidRDefault="00AC2135" w:rsidP="00732D63">
            <w:pPr>
              <w:pStyle w:val="IEEEStdsTableColumnHead"/>
            </w:pPr>
            <w:r>
              <w:t>Subfield</w:t>
            </w:r>
          </w:p>
        </w:tc>
        <w:tc>
          <w:tcPr>
            <w:tcW w:w="0" w:type="auto"/>
            <w:shd w:val="clear" w:color="auto" w:fill="auto"/>
          </w:tcPr>
          <w:p w:rsidR="00AC2135" w:rsidRDefault="00AC2135" w:rsidP="00732D63">
            <w:pPr>
              <w:pStyle w:val="IEEEStdsTableColumnHead"/>
            </w:pPr>
            <w:r>
              <w:t>Definition</w:t>
            </w:r>
          </w:p>
        </w:tc>
        <w:tc>
          <w:tcPr>
            <w:tcW w:w="0" w:type="auto"/>
            <w:shd w:val="clear" w:color="auto" w:fill="auto"/>
          </w:tcPr>
          <w:p w:rsidR="00AC2135" w:rsidRDefault="00AC2135" w:rsidP="00732D63">
            <w:pPr>
              <w:pStyle w:val="IEEEStdsTableColumnHead"/>
            </w:pPr>
            <w:r>
              <w:t>Encoding</w:t>
            </w:r>
          </w:p>
        </w:tc>
      </w:tr>
      <w:tr w:rsidR="00AC2135" w:rsidTr="00732D63">
        <w:trPr>
          <w:jc w:val="center"/>
        </w:trPr>
        <w:tc>
          <w:tcPr>
            <w:tcW w:w="0" w:type="auto"/>
            <w:shd w:val="clear" w:color="auto" w:fill="auto"/>
          </w:tcPr>
          <w:p w:rsidR="00AC2135" w:rsidRDefault="00AC2135" w:rsidP="00732D63">
            <w:pPr>
              <w:pStyle w:val="IEEEStdsTableData-Left"/>
            </w:pPr>
            <w:r w:rsidRPr="00B0184B">
              <w:t>Maximum A-MPDU Length Exponent</w:t>
            </w:r>
          </w:p>
        </w:tc>
        <w:tc>
          <w:tcPr>
            <w:tcW w:w="0" w:type="auto"/>
            <w:shd w:val="clear" w:color="auto" w:fill="auto"/>
          </w:tcPr>
          <w:p w:rsidR="00AC2135" w:rsidRDefault="00AC2135" w:rsidP="00732D63">
            <w:pPr>
              <w:pStyle w:val="IEEEStdsTableData-Left"/>
            </w:pPr>
            <w:r w:rsidRPr="00B0184B">
              <w:t>Indicates the maximum length of A-MPDU that the STA can receive.</w:t>
            </w:r>
          </w:p>
        </w:tc>
        <w:tc>
          <w:tcPr>
            <w:tcW w:w="0" w:type="auto"/>
            <w:shd w:val="clear" w:color="auto" w:fill="auto"/>
          </w:tcPr>
          <w:p w:rsidR="00AC2135" w:rsidRDefault="00AC2135" w:rsidP="00732D63">
            <w:pPr>
              <w:pStyle w:val="IEEEStdsTableData-Left"/>
            </w:pPr>
            <w:r>
              <w:t>This subfield is an integer in the range 0 to 9.</w:t>
            </w:r>
          </w:p>
          <w:p w:rsidR="00AC2135" w:rsidRDefault="00AC2135" w:rsidP="00732D63">
            <w:pPr>
              <w:pStyle w:val="IEEEStdsTableData-Left"/>
            </w:pPr>
            <w:r>
              <w:t>The length defined by this subfield is equal to:</w:t>
            </w:r>
          </w:p>
          <w:p w:rsidR="00AC2135" w:rsidRDefault="00AC2135" w:rsidP="00732D63">
            <w:pPr>
              <w:pStyle w:val="IEEEStdsTableData-Left"/>
            </w:pPr>
            <w:r>
              <w:t>2</w:t>
            </w:r>
            <w:r w:rsidRPr="00D70757">
              <w:rPr>
                <w:vertAlign w:val="superscript"/>
              </w:rPr>
              <w:t>(13 + Maximum A-MPDU Length Exponent)</w:t>
            </w:r>
            <w:r>
              <w:t xml:space="preserve"> – 1 octets.</w:t>
            </w:r>
          </w:p>
        </w:tc>
      </w:tr>
      <w:tr w:rsidR="00AC2135" w:rsidTr="00732D63">
        <w:trPr>
          <w:jc w:val="center"/>
        </w:trPr>
        <w:tc>
          <w:tcPr>
            <w:tcW w:w="0" w:type="auto"/>
            <w:shd w:val="clear" w:color="auto" w:fill="auto"/>
          </w:tcPr>
          <w:p w:rsidR="00AC2135" w:rsidRDefault="00AC2135" w:rsidP="00732D63">
            <w:pPr>
              <w:pStyle w:val="IEEEStdsTableData-Left"/>
            </w:pPr>
            <w:r w:rsidRPr="00B0184B">
              <w:t>Minimum MPDU Start Spacing</w:t>
            </w:r>
          </w:p>
        </w:tc>
        <w:tc>
          <w:tcPr>
            <w:tcW w:w="0" w:type="auto"/>
            <w:shd w:val="clear" w:color="auto" w:fill="auto"/>
          </w:tcPr>
          <w:p w:rsidR="00AC2135" w:rsidRDefault="00AC2135" w:rsidP="00732D63">
            <w:pPr>
              <w:pStyle w:val="IEEEStdsTableData-Left"/>
            </w:pPr>
            <w:r w:rsidRPr="00B0184B">
              <w:t>Determines the minimum time between the start of adjacent MPDUs within an A-MPDU that the STA can receive, measured at the PHY SAP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AC2135" w:rsidRDefault="00AC2135" w:rsidP="00732D63">
            <w:pPr>
              <w:pStyle w:val="IEEEStdsTableData-Left"/>
            </w:pPr>
            <w:r>
              <w:t>Set to 0 for no restriction</w:t>
            </w:r>
          </w:p>
          <w:p w:rsidR="00AC2135" w:rsidRDefault="00AC2135" w:rsidP="00732D63">
            <w:pPr>
              <w:pStyle w:val="IEEEStdsTableData-Left"/>
            </w:pPr>
            <w:r>
              <w:t>Set to 1 for 8 ns</w:t>
            </w:r>
          </w:p>
          <w:p w:rsidR="00AC2135" w:rsidRDefault="00AC2135" w:rsidP="00732D63">
            <w:pPr>
              <w:pStyle w:val="IEEEStdsTableData-Left"/>
            </w:pPr>
            <w:r>
              <w:t>Set to 2 for 16 ns</w:t>
            </w:r>
          </w:p>
          <w:p w:rsidR="00AC2135" w:rsidRDefault="00AC2135" w:rsidP="00732D63">
            <w:pPr>
              <w:pStyle w:val="IEEEStdsTableData-Left"/>
            </w:pPr>
            <w:r>
              <w:t>Set to 3 for 32 ns</w:t>
            </w:r>
          </w:p>
          <w:p w:rsidR="00AC2135" w:rsidRDefault="00AC2135" w:rsidP="00732D63">
            <w:pPr>
              <w:pStyle w:val="IEEEStdsTableData-Left"/>
            </w:pPr>
            <w:r>
              <w:t>Set to 4 for 64 ns</w:t>
            </w:r>
          </w:p>
          <w:p w:rsidR="00AC2135" w:rsidRDefault="00AC2135" w:rsidP="00732D63">
            <w:pPr>
              <w:pStyle w:val="IEEEStdsTableData-Left"/>
            </w:pPr>
            <w:r>
              <w:t>Set to 5 for 128 ns</w:t>
            </w:r>
          </w:p>
          <w:p w:rsidR="00AC2135" w:rsidRDefault="00AC2135" w:rsidP="00732D63">
            <w:pPr>
              <w:pStyle w:val="IEEEStdsTableData-Left"/>
            </w:pPr>
            <w:r>
              <w:t>Set to 6 for 256 ns</w:t>
            </w:r>
          </w:p>
          <w:p w:rsidR="00AC2135" w:rsidRDefault="00AC2135" w:rsidP="00732D63">
            <w:pPr>
              <w:pStyle w:val="IEEEStdsTableData-Left"/>
            </w:pPr>
            <w:r>
              <w:t>Set to 7 for 512 ns</w:t>
            </w:r>
          </w:p>
        </w:tc>
      </w:tr>
    </w:tbl>
    <w:p w:rsidR="00AC2135" w:rsidRDefault="00AC2135" w:rsidP="00AC2135">
      <w:pPr>
        <w:pStyle w:val="IEEEStdsParagraph"/>
      </w:pPr>
    </w:p>
    <w:p w:rsidR="00AC2135" w:rsidRDefault="00AC2135" w:rsidP="00AC2135">
      <w:pPr>
        <w:pStyle w:val="IEEEStdsParagraph"/>
      </w:pPr>
      <w:r>
        <w:t xml:space="preserve">The TRN Parameters field is defined in </w:t>
      </w:r>
      <w:r>
        <w:fldChar w:fldCharType="begin"/>
      </w:r>
      <w:r>
        <w:instrText xml:space="preserve"> REF _Ref473638970 \r \h </w:instrText>
      </w:r>
      <w:r>
        <w:fldChar w:fldCharType="separate"/>
      </w:r>
      <w:r>
        <w:t>Figure 22</w:t>
      </w:r>
      <w:r>
        <w:fldChar w:fldCharType="end"/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17"/>
        <w:gridCol w:w="517"/>
        <w:gridCol w:w="517"/>
        <w:gridCol w:w="546"/>
        <w:gridCol w:w="546"/>
        <w:gridCol w:w="546"/>
        <w:gridCol w:w="527"/>
        <w:gridCol w:w="527"/>
        <w:gridCol w:w="527"/>
        <w:gridCol w:w="557"/>
        <w:gridCol w:w="557"/>
        <w:gridCol w:w="557"/>
        <w:gridCol w:w="1012"/>
        <w:gridCol w:w="1001"/>
      </w:tblGrid>
      <w:tr w:rsidR="00AC2135" w:rsidTr="00732D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B0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B13</w:t>
            </w:r>
          </w:p>
        </w:tc>
      </w:tr>
      <w:tr w:rsidR="00AC2135" w:rsidTr="00732D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TP0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TP1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TP4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TN2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TN4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TN8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RP0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RP1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RP4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RN2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RN4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RN8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Short TRN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C2135" w:rsidRDefault="00AC2135" w:rsidP="00732D63">
            <w:pPr>
              <w:pStyle w:val="IEEEStdsTableData-Center"/>
            </w:pPr>
            <w:r>
              <w:t>Long TRN</w:t>
            </w:r>
          </w:p>
        </w:tc>
      </w:tr>
      <w:tr w:rsidR="00AC2135" w:rsidTr="00732D6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135" w:rsidRDefault="00AC2135" w:rsidP="00732D63">
            <w:pPr>
              <w:pStyle w:val="IEEEStdsTableData-Center"/>
            </w:pPr>
            <w:r>
              <w:t>1</w:t>
            </w:r>
          </w:p>
        </w:tc>
      </w:tr>
    </w:tbl>
    <w:p w:rsidR="00AC2135" w:rsidRDefault="00C74C98" w:rsidP="00C74C98">
      <w:pPr>
        <w:pStyle w:val="IEEEStdsRegularFigureCaption"/>
        <w:numPr>
          <w:ilvl w:val="0"/>
          <w:numId w:val="0"/>
        </w:numPr>
        <w:ind w:left="288"/>
      </w:pPr>
      <w:bookmarkStart w:id="9" w:name="_Ref473638970"/>
      <w:bookmarkStart w:id="10" w:name="_Toc483411267"/>
      <w:r>
        <w:rPr>
          <w:rFonts w:hint="eastAsia"/>
          <w:lang w:eastAsia="ko-KR"/>
        </w:rPr>
        <w:t>Figure 22</w:t>
      </w:r>
      <w:r w:rsidR="00AC2135">
        <w:t>—TRN Parameters field format</w:t>
      </w:r>
      <w:bookmarkEnd w:id="9"/>
      <w:bookmarkEnd w:id="10"/>
    </w:p>
    <w:p w:rsidR="00AC2135" w:rsidRDefault="00AC2135" w:rsidP="00AC2135">
      <w:pPr>
        <w:pStyle w:val="IEEEStdsParagraph"/>
      </w:pPr>
      <w:r>
        <w:t>The TP0 subfield indicates that the STA is capable of transmitting an EDMG PPDU with TXVECTOR parameter EDMG_TRN_P equal to 0.</w:t>
      </w:r>
    </w:p>
    <w:p w:rsidR="00AC2135" w:rsidRDefault="00AC2135" w:rsidP="00AC2135">
      <w:pPr>
        <w:pStyle w:val="IEEEStdsParagraph"/>
      </w:pPr>
      <w:r>
        <w:t>The TP1 subfield indicates that the STA is capable of transmitting an EDMG PPDU with TXVECTOR parameter EDMG_TRN_P equal to 1.</w:t>
      </w:r>
    </w:p>
    <w:p w:rsidR="00AC2135" w:rsidRDefault="00AC2135" w:rsidP="00AC2135">
      <w:pPr>
        <w:pStyle w:val="IEEEStdsParagraph"/>
      </w:pPr>
      <w:r>
        <w:t>The TP4 subfield indicates that the STA is capable of transmitting an EDMG PPDU with TXVECTOR parameter EDMG_TRN_P equal to 4.</w:t>
      </w:r>
    </w:p>
    <w:p w:rsidR="00AC2135" w:rsidRDefault="00AC2135" w:rsidP="00AC2135">
      <w:pPr>
        <w:pStyle w:val="IEEEStdsParagraph"/>
      </w:pPr>
      <w:r>
        <w:t>The TN2 subfield indicates that the STA is capable of transmitting an EDMG PPDU with TXVECTOR parameter EDMG_TRN_N equal to 2.</w:t>
      </w:r>
    </w:p>
    <w:p w:rsidR="00AC2135" w:rsidRDefault="00AC2135" w:rsidP="00AC2135">
      <w:pPr>
        <w:pStyle w:val="IEEEStdsParagraph"/>
      </w:pPr>
      <w:r>
        <w:t>The TN4 subfield indicates that the STA is capable of transmitting an EDMG PPDU with TXVECTOR parameter EDMG_TRN_N equal to 4.</w:t>
      </w:r>
    </w:p>
    <w:p w:rsidR="00AC2135" w:rsidRDefault="00AC2135" w:rsidP="00AC2135">
      <w:pPr>
        <w:pStyle w:val="IEEEStdsParagraph"/>
      </w:pPr>
      <w:r>
        <w:t>The TN8 subfield indicates that the STA is capable of transmitting an EDMG PPDU with TXVECTOR parameter EDMG_TRN_N equal to 8.</w:t>
      </w:r>
    </w:p>
    <w:p w:rsidR="00AC2135" w:rsidRDefault="00AC2135" w:rsidP="00AC2135">
      <w:pPr>
        <w:pStyle w:val="IEEEStdsParagraph"/>
      </w:pPr>
      <w:r>
        <w:t>The RP0 subfield indicates that the STA is capable of receiving an EDMG PPDU with RXVECTOR parameter EDMG_TRN_P equal to 0.</w:t>
      </w:r>
    </w:p>
    <w:p w:rsidR="00AC2135" w:rsidRDefault="00AC2135" w:rsidP="00AC2135">
      <w:pPr>
        <w:pStyle w:val="IEEEStdsParagraph"/>
      </w:pPr>
      <w:r>
        <w:t>The RP1 subfield indicates that the STA is capable of receiving an EDMG PPDU with RXVECTOR parameter EDMG_TRN_P equal to 1.</w:t>
      </w:r>
    </w:p>
    <w:p w:rsidR="00AC2135" w:rsidRDefault="00AC2135" w:rsidP="00AC2135">
      <w:pPr>
        <w:pStyle w:val="IEEEStdsParagraph"/>
      </w:pPr>
      <w:r>
        <w:t>The RP4 subfield indicates that the STA is capable of receiving an EDMG PPDU with RXVECTOR parameter EDMG_TRN_P equal to 4.</w:t>
      </w:r>
    </w:p>
    <w:p w:rsidR="00AC2135" w:rsidRDefault="00AC2135" w:rsidP="00AC2135">
      <w:pPr>
        <w:pStyle w:val="IEEEStdsParagraph"/>
      </w:pPr>
      <w:r>
        <w:t>The RN2 subfield indicates that the STA is capable of receiving an EDMG PPDU with RXVECTOR parameter EDMG_TRN_N equal to 2.</w:t>
      </w:r>
    </w:p>
    <w:p w:rsidR="00AC2135" w:rsidRDefault="00AC2135" w:rsidP="00AC2135">
      <w:pPr>
        <w:pStyle w:val="IEEEStdsParagraph"/>
      </w:pPr>
      <w:r>
        <w:t>The RN4 subfield indicates that the STA is capable of receiving an EDMG PPDU with RXVECTOR parameter EDMG_TRN_N equal to 4.</w:t>
      </w:r>
    </w:p>
    <w:p w:rsidR="00AC2135" w:rsidRDefault="00AC2135" w:rsidP="00AC2135">
      <w:pPr>
        <w:pStyle w:val="IEEEStdsParagraph"/>
      </w:pPr>
      <w:r>
        <w:t>The RN8 subfield indicates that the STA is capable of receiving an EDMG PPDU with RXVECTOR parameter EDMG_TRN_N equal to 8.</w:t>
      </w:r>
    </w:p>
    <w:p w:rsidR="00AC2135" w:rsidRDefault="00AC2135" w:rsidP="00AC2135">
      <w:pPr>
        <w:pStyle w:val="IEEEStdsParagraph"/>
      </w:pPr>
      <w:r w:rsidRPr="002D41CE">
        <w:t xml:space="preserve">The </w:t>
      </w:r>
      <w:r>
        <w:t>Short TRN subfield</w:t>
      </w:r>
      <w:r w:rsidRPr="002D41CE">
        <w:t xml:space="preserve"> </w:t>
      </w:r>
      <w:r>
        <w:t xml:space="preserve">is set to one to indicate that the STA is </w:t>
      </w:r>
      <w:r w:rsidRPr="002D41CE">
        <w:t xml:space="preserve">capable of receiving TRN subfields based on short </w:t>
      </w:r>
      <w:proofErr w:type="spellStart"/>
      <w:r w:rsidRPr="002D41CE">
        <w:t>Golay</w:t>
      </w:r>
      <w:proofErr w:type="spellEnd"/>
      <w:r w:rsidRPr="002D41CE">
        <w:t xml:space="preserve"> sequen</w:t>
      </w:r>
      <w:r>
        <w:t xml:space="preserve">ces (see </w:t>
      </w:r>
      <w:r>
        <w:fldChar w:fldCharType="begin"/>
      </w:r>
      <w:r>
        <w:instrText xml:space="preserve"> REF _Ref477621107 \r \h </w:instrText>
      </w:r>
      <w:r>
        <w:fldChar w:fldCharType="separate"/>
      </w:r>
      <w:r>
        <w:t>30.9.2.2.6</w:t>
      </w:r>
      <w:r>
        <w:fldChar w:fldCharType="end"/>
      </w:r>
      <w:r w:rsidR="00860E0E">
        <w:t>)</w:t>
      </w:r>
      <w:r w:rsidR="00860E0E">
        <w:rPr>
          <w:rFonts w:hint="eastAsia"/>
          <w:lang w:eastAsia="ko-KR"/>
        </w:rPr>
        <w:t xml:space="preserve"> </w:t>
      </w:r>
      <w:r w:rsidR="00852135">
        <w:rPr>
          <w:rFonts w:hint="eastAsia"/>
          <w:color w:val="FF0000"/>
          <w:lang w:eastAsia="ko-KR"/>
        </w:rPr>
        <w:t xml:space="preserve">in </w:t>
      </w:r>
      <w:r w:rsidR="00860E0E" w:rsidRPr="00860E0E">
        <w:rPr>
          <w:color w:val="FF0000"/>
        </w:rPr>
        <w:t>SC</w:t>
      </w:r>
      <w:r w:rsidR="00860E0E" w:rsidRPr="00860E0E">
        <w:rPr>
          <w:rFonts w:hint="eastAsia"/>
          <w:color w:val="FF0000"/>
          <w:lang w:eastAsia="ko-KR"/>
        </w:rPr>
        <w:t xml:space="preserve"> mode or short TRN subfields (see 30.9.2.2.7) </w:t>
      </w:r>
      <w:r w:rsidR="00852135">
        <w:rPr>
          <w:rFonts w:hint="eastAsia"/>
          <w:color w:val="FF0000"/>
          <w:lang w:eastAsia="ko-KR"/>
        </w:rPr>
        <w:t>in</w:t>
      </w:r>
      <w:r w:rsidR="00860E0E" w:rsidRPr="00860E0E">
        <w:rPr>
          <w:rFonts w:hint="eastAsia"/>
          <w:color w:val="FF0000"/>
          <w:lang w:eastAsia="ko-KR"/>
        </w:rPr>
        <w:t xml:space="preserve"> OFDM mode</w:t>
      </w:r>
      <w:r w:rsidR="00860E0E">
        <w:rPr>
          <w:rFonts w:hint="eastAsia"/>
          <w:lang w:eastAsia="ko-KR"/>
        </w:rPr>
        <w:t xml:space="preserve">, </w:t>
      </w:r>
      <w:r>
        <w:t>otherwise it is set to 0.</w:t>
      </w:r>
    </w:p>
    <w:p w:rsidR="00AC2135" w:rsidRDefault="00AC2135" w:rsidP="00AC2135">
      <w:pPr>
        <w:pStyle w:val="IEEEStdsParagraph"/>
      </w:pPr>
      <w:r w:rsidRPr="002D41CE">
        <w:t xml:space="preserve">The </w:t>
      </w:r>
      <w:r>
        <w:t>Long TRN subfield</w:t>
      </w:r>
      <w:r w:rsidRPr="002D41CE">
        <w:t xml:space="preserve"> </w:t>
      </w:r>
      <w:r>
        <w:t xml:space="preserve">is set to one to indicate that the STA is </w:t>
      </w:r>
      <w:r w:rsidRPr="002D41CE">
        <w:t xml:space="preserve">capable of receiving TRN subfields based on </w:t>
      </w:r>
      <w:r>
        <w:t>long</w:t>
      </w:r>
      <w:r w:rsidRPr="002D41CE">
        <w:t xml:space="preserve"> </w:t>
      </w:r>
      <w:proofErr w:type="spellStart"/>
      <w:r w:rsidRPr="002D41CE">
        <w:t>Golay</w:t>
      </w:r>
      <w:proofErr w:type="spellEnd"/>
      <w:r w:rsidRPr="002D41CE">
        <w:t xml:space="preserve"> sequen</w:t>
      </w:r>
      <w:r>
        <w:t xml:space="preserve">ces (see </w:t>
      </w:r>
      <w:r>
        <w:fldChar w:fldCharType="begin"/>
      </w:r>
      <w:r>
        <w:instrText xml:space="preserve"> REF _Ref477621107 \r \h </w:instrText>
      </w:r>
      <w:r>
        <w:fldChar w:fldCharType="separate"/>
      </w:r>
      <w:r>
        <w:t>30.9.2.2.6</w:t>
      </w:r>
      <w:r>
        <w:fldChar w:fldCharType="end"/>
      </w:r>
      <w:r>
        <w:t>)</w:t>
      </w:r>
      <w:r w:rsidR="00860E0E">
        <w:rPr>
          <w:rFonts w:hint="eastAsia"/>
          <w:lang w:eastAsia="ko-KR"/>
        </w:rPr>
        <w:t xml:space="preserve"> </w:t>
      </w:r>
      <w:r w:rsidR="00852135">
        <w:rPr>
          <w:rFonts w:hint="eastAsia"/>
          <w:color w:val="FF0000"/>
          <w:lang w:eastAsia="ko-KR"/>
        </w:rPr>
        <w:t>in</w:t>
      </w:r>
      <w:r w:rsidR="00860E0E" w:rsidRPr="00860E0E">
        <w:rPr>
          <w:rFonts w:hint="eastAsia"/>
          <w:color w:val="FF0000"/>
          <w:lang w:eastAsia="ko-KR"/>
        </w:rPr>
        <w:t xml:space="preserve"> </w:t>
      </w:r>
      <w:r w:rsidR="00860E0E" w:rsidRPr="00860E0E">
        <w:rPr>
          <w:color w:val="FF0000"/>
        </w:rPr>
        <w:t>SC</w:t>
      </w:r>
      <w:r w:rsidR="00860E0E" w:rsidRPr="00860E0E">
        <w:rPr>
          <w:rFonts w:hint="eastAsia"/>
          <w:color w:val="FF0000"/>
          <w:lang w:eastAsia="ko-KR"/>
        </w:rPr>
        <w:t xml:space="preserve"> mode or </w:t>
      </w:r>
      <w:r w:rsidR="000C76C2">
        <w:rPr>
          <w:rFonts w:hint="eastAsia"/>
          <w:color w:val="FF0000"/>
          <w:lang w:eastAsia="ko-KR"/>
        </w:rPr>
        <w:t>long</w:t>
      </w:r>
      <w:r w:rsidR="00860E0E" w:rsidRPr="00860E0E">
        <w:rPr>
          <w:rFonts w:hint="eastAsia"/>
          <w:color w:val="FF0000"/>
          <w:lang w:eastAsia="ko-KR"/>
        </w:rPr>
        <w:t xml:space="preserve"> TRN subfields (see 30.9.2.2.7) </w:t>
      </w:r>
      <w:r w:rsidR="00852135">
        <w:rPr>
          <w:rFonts w:hint="eastAsia"/>
          <w:color w:val="FF0000"/>
          <w:lang w:eastAsia="ko-KR"/>
        </w:rPr>
        <w:t>in</w:t>
      </w:r>
      <w:r w:rsidR="00860E0E" w:rsidRPr="00860E0E">
        <w:rPr>
          <w:rFonts w:hint="eastAsia"/>
          <w:color w:val="FF0000"/>
          <w:lang w:eastAsia="ko-KR"/>
        </w:rPr>
        <w:t xml:space="preserve"> OFDM mode</w:t>
      </w:r>
      <w:r w:rsidR="00860E0E">
        <w:rPr>
          <w:rFonts w:hint="eastAsia"/>
          <w:lang w:eastAsia="ko-KR"/>
        </w:rPr>
        <w:t>,</w:t>
      </w:r>
      <w:r>
        <w:t xml:space="preserve"> otherwise it is set to 0.</w:t>
      </w:r>
    </w:p>
    <w:p w:rsidR="00297441" w:rsidRPr="00AC2135" w:rsidRDefault="00297441" w:rsidP="00297441">
      <w:pPr>
        <w:pStyle w:val="IEEEStdsParagraph"/>
      </w:pPr>
    </w:p>
    <w:p w:rsidR="00297441" w:rsidRDefault="00297441" w:rsidP="00297441">
      <w:pPr>
        <w:pStyle w:val="IEEEStdsRegularTableCaption"/>
        <w:numPr>
          <w:ilvl w:val="0"/>
          <w:numId w:val="0"/>
        </w:numPr>
      </w:pPr>
      <w:bookmarkStart w:id="11" w:name="_Ref452660393"/>
      <w:bookmarkStart w:id="12" w:name="_Toc483411379"/>
      <w:r>
        <w:rPr>
          <w:rFonts w:hint="eastAsia"/>
          <w:lang w:eastAsia="ko-KR"/>
        </w:rPr>
        <w:lastRenderedPageBreak/>
        <w:t>Table 24</w:t>
      </w:r>
      <w:r>
        <w:t>—EDMG-Header-A field structure and definition for a SU PPDU</w:t>
      </w:r>
      <w:bookmarkEnd w:id="11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85"/>
        <w:gridCol w:w="669"/>
        <w:gridCol w:w="6617"/>
      </w:tblGrid>
      <w:tr w:rsidR="008C10C4" w:rsidRPr="005A41BF" w:rsidTr="00E3467D">
        <w:tc>
          <w:tcPr>
            <w:tcW w:w="0" w:type="auto"/>
            <w:shd w:val="clear" w:color="auto" w:fill="auto"/>
          </w:tcPr>
          <w:p w:rsidR="00297441" w:rsidRPr="005A41BF" w:rsidRDefault="00297441" w:rsidP="00E3467D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Field</w:t>
            </w:r>
          </w:p>
        </w:tc>
        <w:tc>
          <w:tcPr>
            <w:tcW w:w="0" w:type="auto"/>
            <w:shd w:val="clear" w:color="auto" w:fill="auto"/>
          </w:tcPr>
          <w:p w:rsidR="00297441" w:rsidRPr="005A41BF" w:rsidRDefault="00297441" w:rsidP="00E3467D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Number of bits</w:t>
            </w:r>
          </w:p>
        </w:tc>
        <w:tc>
          <w:tcPr>
            <w:tcW w:w="0" w:type="auto"/>
            <w:shd w:val="clear" w:color="auto" w:fill="auto"/>
          </w:tcPr>
          <w:p w:rsidR="00297441" w:rsidRPr="005A41BF" w:rsidRDefault="00297441" w:rsidP="00E3467D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Start bit</w:t>
            </w:r>
          </w:p>
        </w:tc>
        <w:tc>
          <w:tcPr>
            <w:tcW w:w="0" w:type="auto"/>
            <w:shd w:val="clear" w:color="auto" w:fill="auto"/>
          </w:tcPr>
          <w:p w:rsidR="00297441" w:rsidRPr="005A41BF" w:rsidRDefault="00297441" w:rsidP="00E3467D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Description</w:t>
            </w:r>
          </w:p>
        </w:tc>
      </w:tr>
      <w:tr w:rsidR="008C10C4" w:rsidRPr="005A41BF" w:rsidTr="00E3467D">
        <w:tc>
          <w:tcPr>
            <w:tcW w:w="0" w:type="auto"/>
            <w:shd w:val="clear" w:color="auto" w:fill="auto"/>
          </w:tcPr>
          <w:p w:rsidR="00297441" w:rsidRDefault="00297441" w:rsidP="00E3467D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TRN Subfield Sequence Length</w:t>
            </w:r>
          </w:p>
        </w:tc>
        <w:tc>
          <w:tcPr>
            <w:tcW w:w="0" w:type="auto"/>
            <w:shd w:val="clear" w:color="auto" w:fill="auto"/>
          </w:tcPr>
          <w:p w:rsidR="00297441" w:rsidRDefault="00297441" w:rsidP="00E3467D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97441" w:rsidRDefault="00297441" w:rsidP="00E3467D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297441" w:rsidRDefault="00297441" w:rsidP="00E3467D">
            <w:pPr>
              <w:keepNext/>
              <w:keepLines/>
              <w:rPr>
                <w:sz w:val="18"/>
                <w:lang w:eastAsia="ja-JP"/>
              </w:rPr>
            </w:pPr>
            <w:r w:rsidRPr="00297441">
              <w:rPr>
                <w:rFonts w:hint="eastAsia"/>
                <w:color w:val="FF0000"/>
                <w:sz w:val="18"/>
                <w:lang w:eastAsia="ko-KR"/>
              </w:rPr>
              <w:t>For EDMG SC mode PPDU</w:t>
            </w:r>
            <w:r>
              <w:rPr>
                <w:rFonts w:hint="eastAsia"/>
                <w:sz w:val="18"/>
                <w:lang w:eastAsia="ko-KR"/>
              </w:rPr>
              <w:t>, t</w:t>
            </w:r>
            <w:r>
              <w:rPr>
                <w:sz w:val="18"/>
                <w:lang w:eastAsia="ja-JP"/>
              </w:rPr>
              <w:t>his field is reserved if the value of the EDMG TRN Length field is 0. Otherwise, t</w:t>
            </w:r>
            <w:r w:rsidRPr="00A5347F">
              <w:rPr>
                <w:sz w:val="18"/>
                <w:lang w:eastAsia="ja-JP"/>
              </w:rPr>
              <w:t xml:space="preserve">his field indicates the </w:t>
            </w:r>
            <w:r>
              <w:rPr>
                <w:sz w:val="18"/>
                <w:lang w:eastAsia="ja-JP"/>
              </w:rPr>
              <w:t xml:space="preserve">length of the </w:t>
            </w:r>
            <w:proofErr w:type="spellStart"/>
            <w:r>
              <w:rPr>
                <w:sz w:val="18"/>
                <w:lang w:eastAsia="ja-JP"/>
              </w:rPr>
              <w:t>Golay</w:t>
            </w:r>
            <w:proofErr w:type="spellEnd"/>
            <w:r>
              <w:rPr>
                <w:sz w:val="18"/>
                <w:lang w:eastAsia="ja-JP"/>
              </w:rPr>
              <w:t xml:space="preserve"> sequence used to transmit the TRN subfields present in the TRN field of the PPDU </w:t>
            </w:r>
            <w:r w:rsidRPr="00A5347F">
              <w:rPr>
                <w:sz w:val="18"/>
                <w:lang w:eastAsia="ja-JP"/>
              </w:rPr>
              <w:t xml:space="preserve">and is set as follows: </w:t>
            </w:r>
          </w:p>
          <w:p w:rsidR="00297441" w:rsidRDefault="00297441" w:rsidP="00E3467D">
            <w:pPr>
              <w:pStyle w:val="IEEEStdsUnorderedList"/>
            </w:pPr>
            <w:r>
              <w:t>Set to 0 to indicate normal sequence length of 128×</w:t>
            </w:r>
            <w:r w:rsidRPr="00840D16">
              <w:rPr>
                <w:i/>
              </w:rPr>
              <w:t xml:space="preserve"> N</w:t>
            </w:r>
            <w:r w:rsidRPr="00840D16">
              <w:rPr>
                <w:i/>
                <w:vertAlign w:val="subscript"/>
              </w:rPr>
              <w:t>CB</w:t>
            </w:r>
          </w:p>
          <w:p w:rsidR="00297441" w:rsidRDefault="00297441" w:rsidP="00E3467D">
            <w:pPr>
              <w:pStyle w:val="IEEEStdsUnorderedList"/>
            </w:pPr>
            <w:r>
              <w:t>Set to 1 to indicate long sequence length of 256×</w:t>
            </w:r>
            <w:r w:rsidRPr="00840D16">
              <w:rPr>
                <w:i/>
              </w:rPr>
              <w:t xml:space="preserve"> N</w:t>
            </w:r>
            <w:r w:rsidRPr="00840D16">
              <w:rPr>
                <w:i/>
                <w:vertAlign w:val="subscript"/>
              </w:rPr>
              <w:t>CB</w:t>
            </w:r>
          </w:p>
          <w:p w:rsidR="00297441" w:rsidRDefault="00297441" w:rsidP="00E3467D">
            <w:pPr>
              <w:pStyle w:val="IEEEStdsUnorderedList"/>
            </w:pPr>
            <w:r>
              <w:t>Set to 2 to indicate short sequence length of 64×</w:t>
            </w:r>
            <w:r w:rsidRPr="00840D16">
              <w:rPr>
                <w:i/>
              </w:rPr>
              <w:t xml:space="preserve"> N</w:t>
            </w:r>
            <w:r w:rsidRPr="00840D16">
              <w:rPr>
                <w:i/>
                <w:vertAlign w:val="subscript"/>
              </w:rPr>
              <w:t>CB</w:t>
            </w:r>
          </w:p>
          <w:p w:rsidR="00297441" w:rsidRDefault="00297441" w:rsidP="00E3467D">
            <w:pPr>
              <w:pStyle w:val="IEEEStdsUnorderedList"/>
            </w:pPr>
            <w:r>
              <w:t>Value 3 is reserved</w:t>
            </w:r>
          </w:p>
          <w:p w:rsidR="00297441" w:rsidRDefault="00297441" w:rsidP="00E3467D">
            <w:pPr>
              <w:keepNext/>
              <w:keepLines/>
              <w:rPr>
                <w:sz w:val="18"/>
                <w:lang w:eastAsia="ko-KR"/>
              </w:rPr>
            </w:pPr>
            <w:r w:rsidRPr="00840D16">
              <w:rPr>
                <w:i/>
              </w:rPr>
              <w:t>N</w:t>
            </w:r>
            <w:r w:rsidRPr="00840D16">
              <w:rPr>
                <w:i/>
                <w:vertAlign w:val="subscript"/>
              </w:rPr>
              <w:t>CB</w:t>
            </w:r>
            <w:r w:rsidRPr="00B332DE">
              <w:rPr>
                <w:sz w:val="18"/>
                <w:lang w:eastAsia="ja-JP"/>
              </w:rPr>
              <w:t xml:space="preserve"> represents the integer number of contiguous 2.16 GHz channels over which the TRN subfield is transmitted and 1 ≤ </w:t>
            </w:r>
            <w:r w:rsidRPr="00840D16">
              <w:rPr>
                <w:i/>
              </w:rPr>
              <w:t>N</w:t>
            </w:r>
            <w:r w:rsidRPr="00840D16">
              <w:rPr>
                <w:i/>
                <w:vertAlign w:val="subscript"/>
              </w:rPr>
              <w:t>CB</w:t>
            </w:r>
            <w:r w:rsidRPr="00B332DE">
              <w:rPr>
                <w:sz w:val="18"/>
                <w:lang w:eastAsia="ja-JP"/>
              </w:rPr>
              <w:t xml:space="preserve"> ≤ 4.</w:t>
            </w:r>
          </w:p>
          <w:p w:rsidR="00297441" w:rsidRDefault="00297441" w:rsidP="00E3467D">
            <w:pPr>
              <w:keepNext/>
              <w:keepLines/>
              <w:rPr>
                <w:sz w:val="18"/>
                <w:lang w:eastAsia="ko-KR"/>
              </w:rPr>
            </w:pPr>
          </w:p>
          <w:p w:rsidR="00297441" w:rsidRPr="001B17A6" w:rsidRDefault="00297441" w:rsidP="00E3467D">
            <w:pPr>
              <w:keepNext/>
              <w:keepLines/>
              <w:rPr>
                <w:color w:val="FF0000"/>
                <w:sz w:val="20"/>
                <w:lang w:eastAsia="ko-KR"/>
              </w:rPr>
            </w:pPr>
            <w:r w:rsidRPr="00297441">
              <w:rPr>
                <w:rFonts w:hint="eastAsia"/>
                <w:color w:val="FF0000"/>
                <w:sz w:val="18"/>
                <w:lang w:eastAsia="ko-KR"/>
              </w:rPr>
              <w:t>F</w:t>
            </w:r>
            <w:r w:rsidRPr="001B17A6">
              <w:rPr>
                <w:rFonts w:hint="eastAsia"/>
                <w:color w:val="FF0000"/>
                <w:sz w:val="20"/>
                <w:lang w:eastAsia="ko-KR"/>
              </w:rPr>
              <w:t>or EDMG OFDM mode PPDU, this field is reserved if the value of the EDMG TRN Length field is 0. Otherwise, this field indic</w:t>
            </w:r>
            <w:r w:rsidR="001B17A6">
              <w:rPr>
                <w:rFonts w:hint="eastAsia"/>
                <w:color w:val="FF0000"/>
                <w:sz w:val="20"/>
                <w:lang w:eastAsia="ko-KR"/>
              </w:rPr>
              <w:t xml:space="preserve">ates the number of </w:t>
            </w:r>
            <w:r w:rsidR="008C10C4">
              <w:rPr>
                <w:rFonts w:hint="eastAsia"/>
                <w:color w:val="FF0000"/>
                <w:sz w:val="20"/>
                <w:lang w:eastAsia="ko-KR"/>
              </w:rPr>
              <w:t xml:space="preserve">basic TRN subfield </w:t>
            </w:r>
            <w:r w:rsidR="001B17A6">
              <w:rPr>
                <w:rFonts w:hint="eastAsia"/>
                <w:color w:val="FF0000"/>
                <w:sz w:val="20"/>
                <w:lang w:eastAsia="ko-KR"/>
              </w:rPr>
              <w:t xml:space="preserve">repetition </w:t>
            </w:r>
            <w:r w:rsidRPr="001B17A6">
              <w:rPr>
                <w:rFonts w:hint="eastAsia"/>
                <w:color w:val="FF0000"/>
                <w:sz w:val="20"/>
                <w:lang w:eastAsia="ko-KR"/>
              </w:rPr>
              <w:t>used to transmit the TRN subfields present in the TRN field of the PPDU and is set as follows</w:t>
            </w:r>
          </w:p>
          <w:p w:rsidR="00297441" w:rsidRPr="001B17A6" w:rsidRDefault="00297441" w:rsidP="00297441">
            <w:pPr>
              <w:pStyle w:val="IEEEStdsUnorderedList"/>
              <w:rPr>
                <w:color w:val="FF0000"/>
              </w:rPr>
            </w:pPr>
            <w:r w:rsidRPr="001B17A6">
              <w:rPr>
                <w:color w:val="FF0000"/>
              </w:rPr>
              <w:t xml:space="preserve">Set to 0 to indicate normal </w:t>
            </w:r>
            <w:r w:rsidR="000924EC" w:rsidRPr="001B17A6">
              <w:rPr>
                <w:rFonts w:hint="eastAsia"/>
                <w:color w:val="FF0000"/>
                <w:lang w:eastAsia="ko-KR"/>
              </w:rPr>
              <w:t xml:space="preserve">TRN </w:t>
            </w:r>
            <w:r w:rsidRPr="001B17A6">
              <w:rPr>
                <w:rFonts w:hint="eastAsia"/>
                <w:color w:val="FF0000"/>
                <w:lang w:eastAsia="ko-KR"/>
              </w:rPr>
              <w:t xml:space="preserve">subfield </w:t>
            </w:r>
            <w:r w:rsidR="001B17A6" w:rsidRPr="001B17A6">
              <w:rPr>
                <w:rFonts w:hint="eastAsia"/>
                <w:color w:val="FF0000"/>
                <w:lang w:eastAsia="ko-KR"/>
              </w:rPr>
              <w:t>composed</w:t>
            </w:r>
            <w:r w:rsidRPr="001B17A6">
              <w:rPr>
                <w:rFonts w:hint="eastAsia"/>
                <w:color w:val="FF0000"/>
                <w:lang w:eastAsia="ko-KR"/>
              </w:rPr>
              <w:t xml:space="preserve"> of 2</w:t>
            </w:r>
            <w:r w:rsidR="000924EC" w:rsidRPr="001B17A6">
              <w:rPr>
                <w:rFonts w:hint="eastAsia"/>
                <w:color w:val="FF0000"/>
                <w:lang w:eastAsia="ko-KR"/>
              </w:rPr>
              <w:t xml:space="preserve"> repetition of</w:t>
            </w:r>
            <w:r w:rsidRPr="001B17A6">
              <w:rPr>
                <w:rFonts w:hint="eastAsia"/>
                <w:color w:val="FF0000"/>
                <w:lang w:eastAsia="ko-KR"/>
              </w:rPr>
              <w:t xml:space="preserve"> </w:t>
            </w:r>
            <w:r w:rsidR="003619D2">
              <w:rPr>
                <w:rFonts w:hint="eastAsia"/>
                <w:color w:val="FF0000"/>
                <w:lang w:eastAsia="ko-KR"/>
              </w:rPr>
              <w:t>basic TRN subfield</w:t>
            </w:r>
          </w:p>
          <w:p w:rsidR="00297441" w:rsidRPr="001B17A6" w:rsidRDefault="00297441" w:rsidP="00297441">
            <w:pPr>
              <w:pStyle w:val="IEEEStdsUnorderedList"/>
              <w:rPr>
                <w:color w:val="FF0000"/>
              </w:rPr>
            </w:pPr>
            <w:r w:rsidRPr="001B17A6">
              <w:rPr>
                <w:color w:val="FF0000"/>
              </w:rPr>
              <w:t xml:space="preserve">Set to 1 to indicate long </w:t>
            </w:r>
            <w:r w:rsidR="000924EC" w:rsidRPr="001B17A6">
              <w:rPr>
                <w:rFonts w:hint="eastAsia"/>
                <w:color w:val="FF0000"/>
                <w:lang w:eastAsia="ko-KR"/>
              </w:rPr>
              <w:t xml:space="preserve">TRN </w:t>
            </w:r>
            <w:r w:rsidR="001B17A6" w:rsidRPr="001B17A6">
              <w:rPr>
                <w:rFonts w:hint="eastAsia"/>
                <w:color w:val="FF0000"/>
                <w:lang w:eastAsia="ko-KR"/>
              </w:rPr>
              <w:t>subfield composed</w:t>
            </w:r>
            <w:r w:rsidRPr="001B17A6">
              <w:rPr>
                <w:rFonts w:hint="eastAsia"/>
                <w:color w:val="FF0000"/>
                <w:lang w:eastAsia="ko-KR"/>
              </w:rPr>
              <w:t xml:space="preserve"> of 4 </w:t>
            </w:r>
            <w:r w:rsidR="000924EC" w:rsidRPr="001B17A6">
              <w:rPr>
                <w:rFonts w:hint="eastAsia"/>
                <w:color w:val="FF0000"/>
                <w:lang w:eastAsia="ko-KR"/>
              </w:rPr>
              <w:t xml:space="preserve">repetition of </w:t>
            </w:r>
            <w:r w:rsidR="003619D2">
              <w:rPr>
                <w:rFonts w:hint="eastAsia"/>
                <w:color w:val="FF0000"/>
                <w:lang w:eastAsia="ko-KR"/>
              </w:rPr>
              <w:t>basic TRN subfield</w:t>
            </w:r>
          </w:p>
          <w:p w:rsidR="00297441" w:rsidRPr="001B17A6" w:rsidRDefault="00297441" w:rsidP="00297441">
            <w:pPr>
              <w:pStyle w:val="IEEEStdsUnorderedList"/>
              <w:rPr>
                <w:color w:val="FF0000"/>
              </w:rPr>
            </w:pPr>
            <w:r w:rsidRPr="001B17A6">
              <w:rPr>
                <w:color w:val="FF0000"/>
              </w:rPr>
              <w:t xml:space="preserve">Set to 2 to indicate short </w:t>
            </w:r>
            <w:r w:rsidR="000924EC" w:rsidRPr="001B17A6">
              <w:rPr>
                <w:rFonts w:hint="eastAsia"/>
                <w:color w:val="FF0000"/>
                <w:lang w:eastAsia="ko-KR"/>
              </w:rPr>
              <w:t xml:space="preserve">TRN </w:t>
            </w:r>
            <w:r w:rsidR="001B17A6" w:rsidRPr="001B17A6">
              <w:rPr>
                <w:rFonts w:hint="eastAsia"/>
                <w:color w:val="FF0000"/>
                <w:lang w:eastAsia="ko-KR"/>
              </w:rPr>
              <w:t>subfield composed</w:t>
            </w:r>
            <w:r w:rsidRPr="001B17A6">
              <w:rPr>
                <w:rFonts w:hint="eastAsia"/>
                <w:color w:val="FF0000"/>
                <w:lang w:eastAsia="ko-KR"/>
              </w:rPr>
              <w:t xml:space="preserve"> of 1 </w:t>
            </w:r>
            <w:r w:rsidR="000924EC" w:rsidRPr="001B17A6">
              <w:rPr>
                <w:rFonts w:hint="eastAsia"/>
                <w:color w:val="FF0000"/>
                <w:lang w:eastAsia="ko-KR"/>
              </w:rPr>
              <w:t xml:space="preserve">repetition of </w:t>
            </w:r>
            <w:r w:rsidR="003619D2">
              <w:rPr>
                <w:rFonts w:hint="eastAsia"/>
                <w:color w:val="FF0000"/>
                <w:lang w:eastAsia="ko-KR"/>
              </w:rPr>
              <w:t xml:space="preserve"> basic TRN subfield</w:t>
            </w:r>
          </w:p>
          <w:p w:rsidR="00297441" w:rsidRPr="001B17A6" w:rsidRDefault="00297441" w:rsidP="00297441">
            <w:pPr>
              <w:pStyle w:val="IEEEStdsUnorderedList"/>
              <w:rPr>
                <w:color w:val="FF0000"/>
              </w:rPr>
            </w:pPr>
            <w:r w:rsidRPr="001B17A6">
              <w:rPr>
                <w:color w:val="FF0000"/>
              </w:rPr>
              <w:t>Value 3 is reserved</w:t>
            </w:r>
          </w:p>
          <w:p w:rsidR="00297441" w:rsidRDefault="00297441" w:rsidP="00E3467D">
            <w:pPr>
              <w:keepNext/>
              <w:keepLines/>
              <w:rPr>
                <w:sz w:val="18"/>
                <w:lang w:eastAsia="ko-KR"/>
              </w:rPr>
            </w:pPr>
          </w:p>
        </w:tc>
      </w:tr>
    </w:tbl>
    <w:p w:rsidR="00297441" w:rsidRDefault="00297441" w:rsidP="00297441">
      <w:pPr>
        <w:rPr>
          <w:b/>
          <w:szCs w:val="22"/>
          <w:lang w:eastAsia="ko-KR"/>
        </w:rPr>
      </w:pPr>
    </w:p>
    <w:p w:rsidR="00243D53" w:rsidRPr="00297441" w:rsidRDefault="00243D53" w:rsidP="00297441">
      <w:pPr>
        <w:rPr>
          <w:b/>
          <w:szCs w:val="22"/>
          <w:lang w:eastAsia="ko-KR"/>
        </w:rPr>
      </w:pPr>
    </w:p>
    <w:p w:rsidR="00297441" w:rsidRDefault="00297441" w:rsidP="00297441">
      <w:pPr>
        <w:rPr>
          <w:b/>
          <w:szCs w:val="22"/>
          <w:lang w:eastAsia="ko-KR"/>
        </w:rPr>
      </w:pPr>
    </w:p>
    <w:p w:rsidR="00297441" w:rsidRPr="00DE031A" w:rsidRDefault="00297441" w:rsidP="00297441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9.2.2.7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OFDM TRN subfield definition</w:t>
      </w:r>
    </w:p>
    <w:p w:rsidR="00297441" w:rsidRDefault="00297441" w:rsidP="00297441">
      <w:pPr>
        <w:jc w:val="both"/>
        <w:rPr>
          <w:sz w:val="20"/>
          <w:lang w:val="en-US" w:eastAsia="ja-JP"/>
        </w:rPr>
      </w:pPr>
    </w:p>
    <w:p w:rsidR="00961CD6" w:rsidRPr="00E95794" w:rsidRDefault="00961CD6" w:rsidP="00961CD6">
      <w:pPr>
        <w:jc w:val="both"/>
        <w:rPr>
          <w:i/>
          <w:sz w:val="20"/>
          <w:lang w:val="en-US" w:eastAsia="ja-JP"/>
        </w:rPr>
      </w:pPr>
      <w:r w:rsidRPr="00E95794">
        <w:rPr>
          <w:i/>
          <w:sz w:val="20"/>
          <w:lang w:val="en-US" w:eastAsia="ja-JP"/>
        </w:rPr>
        <w:t xml:space="preserve">Editor: add </w:t>
      </w:r>
      <w:proofErr w:type="spellStart"/>
      <w:r w:rsidRPr="00E95794">
        <w:rPr>
          <w:i/>
          <w:sz w:val="20"/>
          <w:lang w:val="en-US" w:eastAsia="ja-JP"/>
        </w:rPr>
        <w:t>subclause</w:t>
      </w:r>
      <w:proofErr w:type="spellEnd"/>
      <w:r w:rsidRPr="00E95794">
        <w:rPr>
          <w:i/>
          <w:sz w:val="20"/>
          <w:lang w:val="en-US" w:eastAsia="ja-JP"/>
        </w:rPr>
        <w:t xml:space="preserve"> 30.9.2.2.7 in D0.5</w:t>
      </w:r>
      <w:r>
        <w:rPr>
          <w:i/>
          <w:sz w:val="20"/>
          <w:lang w:val="en-US" w:eastAsia="ja-JP"/>
        </w:rPr>
        <w:t xml:space="preserve">, shift the rest of </w:t>
      </w:r>
      <w:proofErr w:type="spellStart"/>
      <w:r>
        <w:rPr>
          <w:i/>
          <w:sz w:val="20"/>
          <w:lang w:val="en-US" w:eastAsia="ja-JP"/>
        </w:rPr>
        <w:t>subclauses</w:t>
      </w:r>
      <w:proofErr w:type="spellEnd"/>
      <w:r>
        <w:rPr>
          <w:i/>
          <w:sz w:val="20"/>
          <w:lang w:val="en-US" w:eastAsia="ja-JP"/>
        </w:rPr>
        <w:t xml:space="preserve"> by one</w:t>
      </w:r>
    </w:p>
    <w:p w:rsidR="00F93613" w:rsidRDefault="00F93613" w:rsidP="00CA46F0">
      <w:pPr>
        <w:rPr>
          <w:szCs w:val="22"/>
          <w:lang w:eastAsia="ko-KR"/>
        </w:rPr>
      </w:pPr>
    </w:p>
    <w:p w:rsidR="00CA46F0" w:rsidRPr="00B07B8E" w:rsidRDefault="00CA46F0" w:rsidP="00CA46F0">
      <w:pPr>
        <w:rPr>
          <w:color w:val="FF0000"/>
          <w:sz w:val="20"/>
          <w:lang w:val="en-US" w:eastAsia="ja-JP"/>
        </w:rPr>
      </w:pPr>
      <w:r w:rsidRPr="00B07B8E">
        <w:rPr>
          <w:color w:val="FF0000"/>
          <w:szCs w:val="22"/>
        </w:rPr>
        <w:t xml:space="preserve">The </w:t>
      </w:r>
      <w:r w:rsidR="00B63696" w:rsidRPr="00B07B8E">
        <w:rPr>
          <w:rFonts w:hint="eastAsia"/>
          <w:color w:val="FF0000"/>
          <w:szCs w:val="22"/>
          <w:lang w:eastAsia="ko-KR"/>
        </w:rPr>
        <w:t>basic T</w:t>
      </w:r>
      <w:r w:rsidRPr="00B07B8E">
        <w:rPr>
          <w:color w:val="FF0000"/>
          <w:szCs w:val="22"/>
        </w:rPr>
        <w:t xml:space="preserve">RN subfield waveform for the </w:t>
      </w:r>
      <w:proofErr w:type="spellStart"/>
      <w:r w:rsidRPr="00B07B8E">
        <w:rPr>
          <w:i/>
          <w:color w:val="FF0000"/>
          <w:szCs w:val="22"/>
        </w:rPr>
        <w:t>i</w:t>
      </w:r>
      <w:r w:rsidRPr="00B07B8E">
        <w:rPr>
          <w:i/>
          <w:color w:val="FF0000"/>
          <w:szCs w:val="22"/>
          <w:vertAlign w:val="subscript"/>
        </w:rPr>
        <w:t>TX</w:t>
      </w:r>
      <w:r w:rsidRPr="00B07B8E">
        <w:rPr>
          <w:color w:val="FF0000"/>
          <w:szCs w:val="22"/>
        </w:rPr>
        <w:t>-th</w:t>
      </w:r>
      <w:proofErr w:type="spellEnd"/>
      <w:r w:rsidRPr="00B07B8E">
        <w:rPr>
          <w:color w:val="FF0000"/>
          <w:szCs w:val="22"/>
        </w:rPr>
        <w:t xml:space="preserve"> transmit chain </w:t>
      </w:r>
      <w:r w:rsidRPr="00B07B8E">
        <w:rPr>
          <w:color w:val="FF0000"/>
          <w:sz w:val="20"/>
          <w:lang w:val="en-US" w:eastAsia="ja-JP"/>
        </w:rPr>
        <w:t xml:space="preserve">in time domain shall be defined at the OFDM sampling rate </w:t>
      </w:r>
      <w:r w:rsidRPr="00B07B8E">
        <w:rPr>
          <w:i/>
          <w:color w:val="FF0000"/>
          <w:sz w:val="20"/>
          <w:lang w:val="en-US" w:eastAsia="ja-JP"/>
        </w:rPr>
        <w:t>F</w:t>
      </w:r>
      <w:r w:rsidRPr="00B07B8E">
        <w:rPr>
          <w:i/>
          <w:color w:val="FF0000"/>
          <w:sz w:val="20"/>
          <w:vertAlign w:val="subscript"/>
          <w:lang w:val="en-US" w:eastAsia="ja-JP"/>
        </w:rPr>
        <w:t>s</w:t>
      </w:r>
      <w:r w:rsidRPr="00B07B8E">
        <w:rPr>
          <w:color w:val="FF0000"/>
          <w:sz w:val="20"/>
          <w:lang w:val="en-US" w:eastAsia="ja-JP"/>
        </w:rPr>
        <w:t xml:space="preserve"> equal to </w:t>
      </w:r>
      <w:r w:rsidRPr="00B07B8E">
        <w:rPr>
          <w:i/>
          <w:color w:val="FF0000"/>
          <w:sz w:val="20"/>
          <w:lang w:val="en-US" w:eastAsia="ja-JP"/>
        </w:rPr>
        <w:t>N</w:t>
      </w:r>
      <w:r w:rsidRPr="00B07B8E">
        <w:rPr>
          <w:i/>
          <w:color w:val="FF0000"/>
          <w:sz w:val="20"/>
          <w:vertAlign w:val="subscript"/>
          <w:lang w:val="en-US" w:eastAsia="ja-JP"/>
        </w:rPr>
        <w:t>CB</w:t>
      </w:r>
      <w:r w:rsidRPr="00B07B8E">
        <w:rPr>
          <w:color w:val="FF0000"/>
          <w:sz w:val="20"/>
          <w:lang w:val="en-US" w:eastAsia="ja-JP"/>
        </w:rPr>
        <w:t xml:space="preserve">*2.64 GHz and sample time duration </w:t>
      </w:r>
      <w:proofErr w:type="spellStart"/>
      <w:r w:rsidRPr="00B07B8E">
        <w:rPr>
          <w:i/>
          <w:color w:val="FF0000"/>
          <w:sz w:val="20"/>
          <w:lang w:val="en-US" w:eastAsia="ja-JP"/>
        </w:rPr>
        <w:t>T</w:t>
      </w:r>
      <w:r w:rsidRPr="00B07B8E">
        <w:rPr>
          <w:i/>
          <w:color w:val="FF0000"/>
          <w:sz w:val="20"/>
          <w:vertAlign w:val="subscript"/>
          <w:lang w:val="en-US" w:eastAsia="ja-JP"/>
        </w:rPr>
        <w:t>s</w:t>
      </w:r>
      <w:proofErr w:type="spellEnd"/>
      <w:r w:rsidRPr="00B07B8E">
        <w:rPr>
          <w:color w:val="FF0000"/>
          <w:sz w:val="20"/>
          <w:lang w:val="en-US" w:eastAsia="ja-JP"/>
        </w:rPr>
        <w:t xml:space="preserve"> = 1/</w:t>
      </w:r>
      <w:r w:rsidRPr="00B07B8E">
        <w:rPr>
          <w:i/>
          <w:color w:val="FF0000"/>
          <w:sz w:val="20"/>
          <w:lang w:val="en-US" w:eastAsia="ja-JP"/>
        </w:rPr>
        <w:t>F</w:t>
      </w:r>
      <w:r w:rsidRPr="00B07B8E">
        <w:rPr>
          <w:i/>
          <w:color w:val="FF0000"/>
          <w:sz w:val="20"/>
          <w:vertAlign w:val="subscript"/>
          <w:lang w:val="en-US" w:eastAsia="ja-JP"/>
        </w:rPr>
        <w:t>s</w:t>
      </w:r>
      <w:r w:rsidRPr="00B07B8E">
        <w:rPr>
          <w:color w:val="FF0000"/>
          <w:sz w:val="20"/>
          <w:lang w:val="en-US" w:eastAsia="ja-JP"/>
        </w:rPr>
        <w:t xml:space="preserve"> ns as follows:</w:t>
      </w:r>
    </w:p>
    <w:p w:rsidR="003619D2" w:rsidRPr="00B07B8E" w:rsidRDefault="003619D2" w:rsidP="003619D2">
      <w:pPr>
        <w:rPr>
          <w:color w:val="FF0000"/>
        </w:rPr>
      </w:pPr>
      <w:r w:rsidRPr="00B07B8E">
        <w:rPr>
          <w:color w:val="FF0000"/>
          <w:position w:val="-28"/>
        </w:rPr>
        <w:object w:dxaOrig="54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9pt;height:40.3pt" o:ole="">
            <v:imagedata r:id="rId9" o:title=""/>
          </v:shape>
          <o:OLEObject Type="Embed" ProgID="Equation.3" ShapeID="_x0000_i1025" DrawAspect="Content" ObjectID="_1571472480" r:id="rId10"/>
        </w:object>
      </w:r>
    </w:p>
    <w:p w:rsidR="003619D2" w:rsidRPr="00B07B8E" w:rsidRDefault="003619D2" w:rsidP="003619D2">
      <w:pPr>
        <w:rPr>
          <w:color w:val="FF0000"/>
        </w:rPr>
      </w:pPr>
      <w:proofErr w:type="gramStart"/>
      <w:r w:rsidRPr="00B07B8E">
        <w:rPr>
          <w:color w:val="FF0000"/>
        </w:rPr>
        <w:t>where</w:t>
      </w:r>
      <w:proofErr w:type="gramEnd"/>
    </w:p>
    <w:p w:rsidR="00961CD6" w:rsidRPr="00B07B8E" w:rsidRDefault="00F06F84" w:rsidP="003619D2">
      <w:pPr>
        <w:jc w:val="both"/>
        <w:rPr>
          <w:color w:val="FF0000"/>
          <w:sz w:val="20"/>
          <w:lang w:val="en-US" w:eastAsia="ko-KR"/>
        </w:rPr>
      </w:pPr>
      <w:r w:rsidRPr="00B07B8E">
        <w:rPr>
          <w:rFonts w:ascii="Arial" w:hAnsi="Arial" w:cs="Arial"/>
          <w:color w:val="FF0000"/>
          <w:position w:val="-72"/>
        </w:rPr>
        <w:object w:dxaOrig="6860" w:dyaOrig="1560">
          <v:shape id="_x0000_i1026" type="#_x0000_t75" style="width:342.8pt;height:78.45pt" o:ole="">
            <v:imagedata r:id="rId11" o:title=""/>
          </v:shape>
          <o:OLEObject Type="Embed" ProgID="Equation.3" ShapeID="_x0000_i1026" DrawAspect="Content" ObjectID="_1571472481" r:id="rId12"/>
        </w:object>
      </w:r>
    </w:p>
    <w:p w:rsidR="00B63696" w:rsidRPr="00B07B8E" w:rsidRDefault="00B63696" w:rsidP="003619D2">
      <w:pPr>
        <w:rPr>
          <w:color w:val="FF0000"/>
          <w:lang w:eastAsia="ko-KR"/>
        </w:rPr>
      </w:pPr>
    </w:p>
    <w:p w:rsidR="003619D2" w:rsidRPr="00B07B8E" w:rsidRDefault="00B63696" w:rsidP="003619D2">
      <w:pPr>
        <w:rPr>
          <w:color w:val="FF0000"/>
          <w:lang w:eastAsia="ko-KR"/>
        </w:rPr>
      </w:pPr>
      <w:r w:rsidRPr="00B07B8E">
        <w:rPr>
          <w:color w:val="FF0000"/>
          <w:lang w:eastAsia="ko-KR"/>
        </w:rPr>
        <w:t>T</w:t>
      </w:r>
      <w:r w:rsidRPr="00B07B8E">
        <w:rPr>
          <w:rFonts w:hint="eastAsia"/>
          <w:color w:val="FF0000"/>
          <w:lang w:eastAsia="ko-KR"/>
        </w:rPr>
        <w:t xml:space="preserve">he normal TRN subfield, short TRN subfield and long TRN subfield are defined as follow: </w:t>
      </w:r>
    </w:p>
    <w:p w:rsidR="00B63696" w:rsidRPr="00B07B8E" w:rsidRDefault="00B63696" w:rsidP="003619D2">
      <w:pPr>
        <w:rPr>
          <w:color w:val="FF0000"/>
          <w:lang w:eastAsia="ko-KR"/>
        </w:rPr>
      </w:pPr>
      <w:r w:rsidRPr="00B07B8E">
        <w:rPr>
          <w:color w:val="FF0000"/>
          <w:position w:val="-28"/>
        </w:rPr>
        <w:object w:dxaOrig="4959" w:dyaOrig="680">
          <v:shape id="_x0000_i1027" type="#_x0000_t75" style="width:247.7pt;height:33.85pt" o:ole="">
            <v:imagedata r:id="rId13" o:title=""/>
          </v:shape>
          <o:OLEObject Type="Embed" ProgID="Equation.3" ShapeID="_x0000_i1027" DrawAspect="Content" ObjectID="_1571472482" r:id="rId14"/>
        </w:object>
      </w:r>
    </w:p>
    <w:p w:rsidR="003619D2" w:rsidRPr="00B07B8E" w:rsidRDefault="003619D2" w:rsidP="003619D2">
      <w:pPr>
        <w:rPr>
          <w:color w:val="FF0000"/>
        </w:rPr>
      </w:pPr>
      <w:r w:rsidRPr="00B07B8E">
        <w:rPr>
          <w:color w:val="FF0000"/>
          <w:position w:val="-14"/>
        </w:rPr>
        <w:object w:dxaOrig="3159" w:dyaOrig="440">
          <v:shape id="_x0000_i1028" type="#_x0000_t75" style="width:157.95pt;height:22.05pt" o:ole="">
            <v:imagedata r:id="rId15" o:title=""/>
          </v:shape>
          <o:OLEObject Type="Embed" ProgID="Equation.3" ShapeID="_x0000_i1028" DrawAspect="Content" ObjectID="_1571472483" r:id="rId16"/>
        </w:object>
      </w:r>
    </w:p>
    <w:p w:rsidR="003619D2" w:rsidRDefault="00243D53" w:rsidP="003619D2">
      <w:pPr>
        <w:jc w:val="both"/>
        <w:rPr>
          <w:sz w:val="20"/>
          <w:lang w:val="en-US" w:eastAsia="ko-KR"/>
        </w:rPr>
      </w:pPr>
      <w:r w:rsidRPr="00B07B8E">
        <w:rPr>
          <w:color w:val="FF0000"/>
          <w:position w:val="-28"/>
        </w:rPr>
        <w:object w:dxaOrig="4760" w:dyaOrig="680">
          <v:shape id="_x0000_i1029" type="#_x0000_t75" style="width:238.05pt;height:33.85pt" o:ole="">
            <v:imagedata r:id="rId17" o:title=""/>
          </v:shape>
          <o:OLEObject Type="Embed" ProgID="Equation.3" ShapeID="_x0000_i1029" DrawAspect="Content" ObjectID="_1571472484" r:id="rId18"/>
        </w:object>
      </w:r>
    </w:p>
    <w:p w:rsidR="00961CD6" w:rsidRDefault="00961CD6" w:rsidP="00961CD6">
      <w:pPr>
        <w:jc w:val="both"/>
        <w:rPr>
          <w:sz w:val="20"/>
          <w:lang w:val="en-US" w:eastAsia="ja-JP"/>
        </w:rPr>
      </w:pPr>
    </w:p>
    <w:p w:rsidR="00961CD6" w:rsidRPr="00245703" w:rsidRDefault="00961CD6" w:rsidP="00961CD6">
      <w:pPr>
        <w:jc w:val="both"/>
        <w:rPr>
          <w:sz w:val="20"/>
          <w:lang w:val="ru-RU" w:eastAsia="ja-JP"/>
        </w:rPr>
      </w:pPr>
      <w:proofErr w:type="gramStart"/>
      <w:r>
        <w:rPr>
          <w:sz w:val="20"/>
          <w:lang w:val="en-US" w:eastAsia="ja-JP"/>
        </w:rPr>
        <w:t>where</w:t>
      </w:r>
      <w:proofErr w:type="gramEnd"/>
      <w:r>
        <w:rPr>
          <w:sz w:val="20"/>
          <w:lang w:val="en-US" w:eastAsia="ja-JP"/>
        </w:rPr>
        <w:t>:</w:t>
      </w:r>
    </w:p>
    <w:p w:rsidR="003619D2" w:rsidRDefault="003619D2" w:rsidP="003619D2">
      <w:pPr>
        <w:pStyle w:val="IEEEStdsUnorderedList"/>
      </w:pPr>
      <w:r w:rsidRPr="005C5F9C">
        <w:rPr>
          <w:position w:val="-12"/>
        </w:rPr>
        <w:object w:dxaOrig="1840" w:dyaOrig="380">
          <v:shape id="_x0000_i1030" type="#_x0000_t75" style="width:91.9pt;height:19.35pt" o:ole="">
            <v:imagedata r:id="rId19" o:title=""/>
          </v:shape>
          <o:OLEObject Type="Embed" ProgID="Equation.3" ShapeID="_x0000_i1030" DrawAspect="Content" ObjectID="_1571472485" r:id="rId20"/>
        </w:object>
      </w:r>
      <w:r>
        <w:t xml:space="preserve"> is the total number of active tones</w:t>
      </w:r>
    </w:p>
    <w:p w:rsidR="003619D2" w:rsidRDefault="003619D2" w:rsidP="003619D2">
      <w:pPr>
        <w:pStyle w:val="IEEEStdsUnorderedList"/>
      </w:pPr>
      <w:r w:rsidRPr="005C5F9C">
        <w:rPr>
          <w:position w:val="-12"/>
        </w:rPr>
        <w:object w:dxaOrig="460" w:dyaOrig="380">
          <v:shape id="_x0000_i1031" type="#_x0000_t75" style="width:22.55pt;height:19.35pt" o:ole="">
            <v:imagedata r:id="rId21" o:title=""/>
          </v:shape>
          <o:OLEObject Type="Embed" ProgID="Equation.3" ShapeID="_x0000_i1031" DrawAspect="Content" ObjectID="_1571472486" r:id="rId22"/>
        </w:object>
      </w:r>
      <w:r>
        <w:t xml:space="preserve"> is the TRN mapping matrix defined below</w:t>
      </w:r>
    </w:p>
    <w:p w:rsidR="003619D2" w:rsidRDefault="003619D2" w:rsidP="003619D2">
      <w:pPr>
        <w:pStyle w:val="IEEEStdsUnorderedList"/>
      </w:pPr>
      <w:r w:rsidRPr="005C5F9C">
        <w:rPr>
          <w:position w:val="-12"/>
        </w:rPr>
        <w:object w:dxaOrig="540" w:dyaOrig="420">
          <v:shape id="_x0000_i1032" type="#_x0000_t75" style="width:27.4pt;height:22.05pt" o:ole="">
            <v:imagedata r:id="rId23" o:title=""/>
          </v:shape>
          <o:OLEObject Type="Embed" ProgID="Equation.3" ShapeID="_x0000_i1032" DrawAspect="Content" ObjectID="_1571472487" r:id="rId24"/>
        </w:object>
      </w:r>
      <w:r>
        <w:t xml:space="preserve"> is the number of OFDM symbols in TRN subfield for given total number of transmit chains </w:t>
      </w:r>
      <w:r w:rsidRPr="007B7EA4">
        <w:rPr>
          <w:i/>
        </w:rPr>
        <w:t>N</w:t>
      </w:r>
      <w:r w:rsidRPr="007B7EA4">
        <w:rPr>
          <w:i/>
          <w:vertAlign w:val="subscript"/>
        </w:rPr>
        <w:t>T</w:t>
      </w:r>
      <w:r>
        <w:rPr>
          <w:i/>
          <w:vertAlign w:val="subscript"/>
        </w:rPr>
        <w:t>X</w:t>
      </w:r>
      <w:r>
        <w:t xml:space="preserve"> defined below</w:t>
      </w:r>
    </w:p>
    <w:p w:rsidR="003619D2" w:rsidRDefault="003619D2" w:rsidP="003619D2">
      <w:pPr>
        <w:pStyle w:val="IEEEStdsUnorderedList"/>
      </w:pPr>
      <w:r w:rsidRPr="0049231C">
        <w:rPr>
          <w:position w:val="-14"/>
        </w:rPr>
        <w:object w:dxaOrig="540" w:dyaOrig="420">
          <v:shape id="_x0000_i1033" type="#_x0000_t75" style="width:27.4pt;height:22.05pt" o:ole="">
            <v:imagedata r:id="rId25" o:title=""/>
          </v:shape>
          <o:OLEObject Type="Embed" ProgID="Equation.3" ShapeID="_x0000_i1033" DrawAspect="Content" ObjectID="_1571472488" r:id="rId26"/>
        </w:object>
      </w:r>
      <w:r>
        <w:t xml:space="preserve"> is a matrix element from </w:t>
      </w:r>
      <w:r w:rsidRPr="0049231C">
        <w:rPr>
          <w:i/>
        </w:rPr>
        <w:t>m</w:t>
      </w:r>
      <w:r>
        <w:t xml:space="preserve">-th row and </w:t>
      </w:r>
      <w:r w:rsidRPr="0049231C">
        <w:rPr>
          <w:i/>
        </w:rPr>
        <w:t>n</w:t>
      </w:r>
      <w:r>
        <w:t>-th column</w:t>
      </w:r>
    </w:p>
    <w:p w:rsidR="003619D2" w:rsidRDefault="003619D2" w:rsidP="003619D2">
      <w:pPr>
        <w:pStyle w:val="IEEEStdsUnorderedList"/>
      </w:pPr>
      <w:r w:rsidRPr="00412E39">
        <w:rPr>
          <w:position w:val="-12"/>
        </w:rPr>
        <w:object w:dxaOrig="740" w:dyaOrig="380">
          <v:shape id="_x0000_i1034" type="#_x0000_t75" style="width:37.05pt;height:19.35pt" o:ole="">
            <v:imagedata r:id="rId27" o:title=""/>
          </v:shape>
          <o:OLEObject Type="Embed" ProgID="Equation.3" ShapeID="_x0000_i1034" DrawAspect="Content" ObjectID="_1571472489" r:id="rId28"/>
        </w:object>
      </w:r>
      <w:r>
        <w:t xml:space="preserve"> is window function applied to smooth the transitions between consecutive OFDM symbols, it’s definition is implementation specific</w:t>
      </w:r>
    </w:p>
    <w:p w:rsidR="003619D2" w:rsidRDefault="003619D2" w:rsidP="003619D2">
      <w:pPr>
        <w:pStyle w:val="IEEEStdsUnorderedList"/>
      </w:pPr>
      <w:r w:rsidRPr="00B4014B">
        <w:rPr>
          <w:position w:val="-10"/>
        </w:rPr>
        <w:object w:dxaOrig="200" w:dyaOrig="260">
          <v:shape id="_x0000_i1035" type="#_x0000_t75" style="width:10.2pt;height:12.9pt" o:ole="">
            <v:imagedata r:id="rId29" o:title=""/>
          </v:shape>
          <o:OLEObject Type="Embed" ProgID="Equation.3" ShapeID="_x0000_i1035" DrawAspect="Content" ObjectID="_1571472490" r:id="rId30"/>
        </w:object>
      </w:r>
      <w:r>
        <w:t xml:space="preserve"> is a time sample index</w:t>
      </w:r>
    </w:p>
    <w:p w:rsidR="00243D53" w:rsidRDefault="00243D53" w:rsidP="003619D2">
      <w:pPr>
        <w:pStyle w:val="IEEEStdsUnorderedList"/>
      </w:pPr>
      <w:r w:rsidRPr="00CD055C">
        <w:rPr>
          <w:position w:val="-12"/>
        </w:rPr>
        <w:object w:dxaOrig="580" w:dyaOrig="380">
          <v:shape id="_x0000_i1036" type="#_x0000_t75" style="width:29pt;height:18.8pt" o:ole="">
            <v:imagedata r:id="rId31" o:title=""/>
          </v:shape>
          <o:OLEObject Type="Embed" ProgID="Equation.3" ShapeID="_x0000_i1036" DrawAspect="Content" ObjectID="_1571472491" r:id="rId32"/>
        </w:object>
      </w:r>
      <w:r>
        <w:rPr>
          <w:rFonts w:hint="eastAsia"/>
          <w:lang w:eastAsia="ko-KR"/>
        </w:rPr>
        <w:t>is duration of basic TRN subfield</w:t>
      </w:r>
    </w:p>
    <w:p w:rsidR="00B63696" w:rsidRPr="00B63696" w:rsidRDefault="00B63696" w:rsidP="00961CD6">
      <w:pPr>
        <w:jc w:val="both"/>
        <w:rPr>
          <w:lang w:val="en-US" w:eastAsia="ko-KR"/>
        </w:rPr>
      </w:pPr>
    </w:p>
    <w:p w:rsidR="00B63696" w:rsidRPr="00E4623A" w:rsidRDefault="004866DD" w:rsidP="00B63696">
      <w:pPr>
        <w:jc w:val="both"/>
        <w:rPr>
          <w:color w:val="000000" w:themeColor="text1"/>
          <w:lang w:val="en-US" w:eastAsia="ko-KR"/>
        </w:rPr>
      </w:pPr>
      <w:r w:rsidRPr="00E4623A">
        <w:rPr>
          <w:rFonts w:hint="eastAsia"/>
          <w:color w:val="000000" w:themeColor="text1"/>
          <w:lang w:val="en-US" w:eastAsia="ko-KR"/>
        </w:rPr>
        <w:t>If Maximum OFDM MCS subfield in PHY capability field is set to greater than 0, a</w:t>
      </w:r>
      <w:r w:rsidR="00B63696" w:rsidRPr="00E4623A">
        <w:rPr>
          <w:rFonts w:hint="eastAsia"/>
          <w:color w:val="000000" w:themeColor="text1"/>
          <w:lang w:val="en-US" w:eastAsia="ko-KR"/>
        </w:rPr>
        <w:t>n EDMG STA shall support 2 repetition of basic TRN subfield</w:t>
      </w:r>
      <w:r w:rsidRPr="00E4623A">
        <w:rPr>
          <w:rFonts w:hint="eastAsia"/>
          <w:color w:val="000000" w:themeColor="text1"/>
          <w:lang w:val="en-US" w:eastAsia="ko-KR"/>
        </w:rPr>
        <w:t>. O</w:t>
      </w:r>
      <w:r w:rsidR="00B63696" w:rsidRPr="00E4623A">
        <w:rPr>
          <w:rFonts w:hint="eastAsia"/>
          <w:color w:val="000000" w:themeColor="text1"/>
          <w:lang w:val="en-US" w:eastAsia="ko-KR"/>
        </w:rPr>
        <w:t xml:space="preserve">ther repetitions are optional </w:t>
      </w:r>
      <w:r w:rsidR="001B7033" w:rsidRPr="00E4623A">
        <w:rPr>
          <w:rFonts w:hint="eastAsia"/>
          <w:color w:val="000000" w:themeColor="text1"/>
          <w:lang w:val="en-US" w:eastAsia="ko-KR"/>
        </w:rPr>
        <w:t xml:space="preserve">and </w:t>
      </w:r>
      <w:r w:rsidR="00B63696" w:rsidRPr="00E4623A">
        <w:rPr>
          <w:rFonts w:hint="eastAsia"/>
          <w:color w:val="000000" w:themeColor="text1"/>
          <w:lang w:val="en-US" w:eastAsia="ko-KR"/>
        </w:rPr>
        <w:t>support is indicated in the STA</w:t>
      </w:r>
      <w:r w:rsidR="00B63696" w:rsidRPr="00E4623A">
        <w:rPr>
          <w:color w:val="000000" w:themeColor="text1"/>
          <w:lang w:val="en-US" w:eastAsia="ko-KR"/>
        </w:rPr>
        <w:t>’</w:t>
      </w:r>
      <w:r w:rsidR="00B63696" w:rsidRPr="00E4623A">
        <w:rPr>
          <w:rFonts w:hint="eastAsia"/>
          <w:color w:val="000000" w:themeColor="text1"/>
          <w:lang w:val="en-US" w:eastAsia="ko-KR"/>
        </w:rPr>
        <w:t>s EDMG Capabilities element.</w:t>
      </w:r>
    </w:p>
    <w:p w:rsidR="00961CD6" w:rsidRDefault="00961CD6" w:rsidP="00961CD6">
      <w:pPr>
        <w:jc w:val="both"/>
        <w:rPr>
          <w:lang w:val="en-US"/>
        </w:rPr>
      </w:pPr>
    </w:p>
    <w:p w:rsidR="00390095" w:rsidRPr="00CA46F0" w:rsidRDefault="00390095" w:rsidP="00961CD6">
      <w:pPr>
        <w:jc w:val="both"/>
        <w:rPr>
          <w:lang w:val="en-US" w:eastAsia="ko-KR"/>
        </w:rPr>
      </w:pPr>
    </w:p>
    <w:p w:rsidR="00961CD6" w:rsidRDefault="00961CD6" w:rsidP="00961CD6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OFDM TRN mapping matrix for </w:t>
      </w:r>
      <w:r w:rsidRPr="00CD626F">
        <w:rPr>
          <w:i/>
          <w:sz w:val="20"/>
          <w:lang w:val="en-US" w:eastAsia="ja-JP"/>
        </w:rPr>
        <w:t>N</w:t>
      </w:r>
      <w:r>
        <w:rPr>
          <w:i/>
          <w:sz w:val="20"/>
          <w:vertAlign w:val="subscript"/>
          <w:lang w:val="en-US" w:eastAsia="ja-JP"/>
        </w:rPr>
        <w:t>TX</w:t>
      </w:r>
      <w:r>
        <w:rPr>
          <w:sz w:val="20"/>
          <w:lang w:val="en-US" w:eastAsia="ja-JP"/>
        </w:rPr>
        <w:t xml:space="preserve"> = 1 is defined as follows:</w:t>
      </w:r>
    </w:p>
    <w:p w:rsidR="00961CD6" w:rsidRDefault="00961CD6" w:rsidP="00961CD6">
      <w:pPr>
        <w:jc w:val="both"/>
        <w:rPr>
          <w:sz w:val="20"/>
          <w:lang w:val="en-US" w:eastAsia="ja-JP"/>
        </w:rPr>
      </w:pPr>
    </w:p>
    <w:p w:rsidR="00961CD6" w:rsidRDefault="00961CD6" w:rsidP="00961CD6">
      <w:pPr>
        <w:jc w:val="both"/>
      </w:pPr>
      <w:r w:rsidRPr="000A5B33">
        <w:rPr>
          <w:position w:val="-12"/>
        </w:rPr>
        <w:object w:dxaOrig="2600" w:dyaOrig="420">
          <v:shape id="_x0000_i1037" type="#_x0000_t75" style="width:130.05pt;height:22.05pt" o:ole="">
            <v:imagedata r:id="rId33" o:title=""/>
          </v:shape>
          <o:OLEObject Type="Embed" ProgID="Equation.3" ShapeID="_x0000_i1037" DrawAspect="Content" ObjectID="_1571472492" r:id="rId34"/>
        </w:object>
      </w:r>
    </w:p>
    <w:p w:rsidR="00961CD6" w:rsidRDefault="00961CD6" w:rsidP="00961CD6">
      <w:pPr>
        <w:jc w:val="both"/>
      </w:pPr>
    </w:p>
    <w:p w:rsidR="00961CD6" w:rsidRDefault="00961CD6" w:rsidP="00961CD6">
      <w:pPr>
        <w:jc w:val="both"/>
      </w:pPr>
      <w:r>
        <w:t xml:space="preserve">The </w:t>
      </w:r>
      <w:r>
        <w:rPr>
          <w:sz w:val="20"/>
          <w:lang w:val="en-US" w:eastAsia="ja-JP"/>
        </w:rPr>
        <w:t xml:space="preserve">OFDM TRN </w:t>
      </w:r>
      <w:r>
        <w:t xml:space="preserve">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T</w:t>
      </w:r>
      <w:r>
        <w:rPr>
          <w:i/>
          <w:vertAlign w:val="subscript"/>
        </w:rPr>
        <w:t>X</w:t>
      </w:r>
      <w:r>
        <w:t xml:space="preserve"> = 2 is defined as follows:</w:t>
      </w:r>
    </w:p>
    <w:p w:rsidR="00961CD6" w:rsidRDefault="00961CD6" w:rsidP="00961CD6">
      <w:pPr>
        <w:jc w:val="both"/>
        <w:rPr>
          <w:sz w:val="20"/>
          <w:lang w:val="en-US" w:eastAsia="ja-JP"/>
        </w:rPr>
      </w:pPr>
    </w:p>
    <w:p w:rsidR="00961CD6" w:rsidRDefault="00961CD6" w:rsidP="00961CD6">
      <w:pPr>
        <w:jc w:val="both"/>
        <w:rPr>
          <w:sz w:val="20"/>
          <w:lang w:val="en-US" w:eastAsia="ja-JP"/>
        </w:rPr>
      </w:pPr>
      <w:r w:rsidRPr="00534CCC">
        <w:rPr>
          <w:position w:val="-30"/>
        </w:rPr>
        <w:object w:dxaOrig="2659" w:dyaOrig="720">
          <v:shape id="_x0000_i1038" type="#_x0000_t75" style="width:133.25pt;height:36.55pt" o:ole="">
            <v:imagedata r:id="rId35" o:title=""/>
          </v:shape>
          <o:OLEObject Type="Embed" ProgID="Equation.3" ShapeID="_x0000_i1038" DrawAspect="Content" ObjectID="_1571472493" r:id="rId36"/>
        </w:object>
      </w:r>
    </w:p>
    <w:p w:rsidR="00961CD6" w:rsidRDefault="00961CD6" w:rsidP="00961CD6">
      <w:pPr>
        <w:jc w:val="both"/>
        <w:rPr>
          <w:sz w:val="20"/>
          <w:lang w:val="en-US" w:eastAsia="ja-JP"/>
        </w:rPr>
      </w:pPr>
    </w:p>
    <w:p w:rsidR="00961CD6" w:rsidRDefault="00961CD6" w:rsidP="00961CD6">
      <w:pPr>
        <w:jc w:val="both"/>
      </w:pPr>
      <w:r>
        <w:t xml:space="preserve">The </w:t>
      </w:r>
      <w:r>
        <w:rPr>
          <w:sz w:val="20"/>
          <w:lang w:val="en-US" w:eastAsia="ja-JP"/>
        </w:rPr>
        <w:t xml:space="preserve">OFDM TRN </w:t>
      </w:r>
      <w:r>
        <w:t xml:space="preserve">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T</w:t>
      </w:r>
      <w:r>
        <w:rPr>
          <w:i/>
          <w:vertAlign w:val="subscript"/>
        </w:rPr>
        <w:t>X</w:t>
      </w:r>
      <w:r>
        <w:t xml:space="preserve"> = 3 is defined as follows:</w:t>
      </w:r>
    </w:p>
    <w:p w:rsidR="00961CD6" w:rsidRDefault="00961CD6" w:rsidP="00961CD6">
      <w:pPr>
        <w:jc w:val="both"/>
        <w:rPr>
          <w:sz w:val="20"/>
          <w:lang w:eastAsia="ja-JP"/>
        </w:rPr>
      </w:pPr>
    </w:p>
    <w:p w:rsidR="00961CD6" w:rsidRPr="00545532" w:rsidRDefault="00961CD6" w:rsidP="00961CD6">
      <w:pPr>
        <w:jc w:val="both"/>
        <w:rPr>
          <w:sz w:val="20"/>
          <w:lang w:eastAsia="ja-JP"/>
        </w:rPr>
      </w:pPr>
      <w:r w:rsidRPr="00F360D9">
        <w:rPr>
          <w:position w:val="-50"/>
        </w:rPr>
        <w:object w:dxaOrig="5260" w:dyaOrig="1120">
          <v:shape id="_x0000_i1039" type="#_x0000_t75" style="width:262.75pt;height:55.9pt" o:ole="">
            <v:imagedata r:id="rId37" o:title=""/>
          </v:shape>
          <o:OLEObject Type="Embed" ProgID="Equation.3" ShapeID="_x0000_i1039" DrawAspect="Content" ObjectID="_1571472494" r:id="rId38"/>
        </w:object>
      </w:r>
    </w:p>
    <w:p w:rsidR="00961CD6" w:rsidRDefault="00961CD6" w:rsidP="00961CD6">
      <w:pPr>
        <w:jc w:val="both"/>
        <w:rPr>
          <w:sz w:val="20"/>
          <w:lang w:val="en-US" w:eastAsia="ja-JP"/>
        </w:rPr>
      </w:pPr>
    </w:p>
    <w:p w:rsidR="00961CD6" w:rsidRDefault="00961CD6" w:rsidP="00961CD6">
      <w:pPr>
        <w:jc w:val="both"/>
      </w:pPr>
      <w:r>
        <w:t xml:space="preserve">The </w:t>
      </w:r>
      <w:r>
        <w:rPr>
          <w:sz w:val="20"/>
          <w:lang w:val="en-US" w:eastAsia="ja-JP"/>
        </w:rPr>
        <w:t xml:space="preserve">OFDM TRN </w:t>
      </w:r>
      <w:r>
        <w:t xml:space="preserve">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T</w:t>
      </w:r>
      <w:r>
        <w:rPr>
          <w:i/>
          <w:vertAlign w:val="subscript"/>
        </w:rPr>
        <w:t>X</w:t>
      </w:r>
      <w:r>
        <w:t xml:space="preserve"> = 4 is defined as follows:</w:t>
      </w:r>
    </w:p>
    <w:p w:rsidR="00961CD6" w:rsidRPr="00B37083" w:rsidRDefault="00961CD6" w:rsidP="00961CD6">
      <w:pPr>
        <w:jc w:val="both"/>
        <w:rPr>
          <w:sz w:val="20"/>
          <w:lang w:eastAsia="ja-JP"/>
        </w:rPr>
      </w:pPr>
    </w:p>
    <w:p w:rsidR="00961CD6" w:rsidRDefault="00961CD6" w:rsidP="00961CD6">
      <w:pPr>
        <w:jc w:val="both"/>
        <w:rPr>
          <w:sz w:val="20"/>
          <w:lang w:val="en-US" w:eastAsia="ja-JP"/>
        </w:rPr>
      </w:pPr>
      <w:r w:rsidRPr="00BC0183">
        <w:rPr>
          <w:position w:val="-66"/>
        </w:rPr>
        <w:object w:dxaOrig="4260" w:dyaOrig="1440">
          <v:shape id="_x0000_i1040" type="#_x0000_t75" style="width:213.3pt;height:1in" o:ole="">
            <v:imagedata r:id="rId39" o:title=""/>
          </v:shape>
          <o:OLEObject Type="Embed" ProgID="Equation.3" ShapeID="_x0000_i1040" DrawAspect="Content" ObjectID="_1571472495" r:id="rId40"/>
        </w:object>
      </w:r>
    </w:p>
    <w:p w:rsidR="00961CD6" w:rsidRDefault="00961CD6" w:rsidP="00961CD6">
      <w:pPr>
        <w:jc w:val="both"/>
        <w:rPr>
          <w:sz w:val="20"/>
          <w:lang w:val="en-US" w:eastAsia="ja-JP"/>
        </w:rPr>
      </w:pPr>
    </w:p>
    <w:p w:rsidR="00961CD6" w:rsidRDefault="00961CD6" w:rsidP="00961CD6">
      <w:pPr>
        <w:jc w:val="both"/>
      </w:pPr>
      <w:r>
        <w:t xml:space="preserve">The </w:t>
      </w:r>
      <w:r>
        <w:rPr>
          <w:sz w:val="20"/>
          <w:lang w:val="en-US" w:eastAsia="ja-JP"/>
        </w:rPr>
        <w:t xml:space="preserve">OFDM TRN </w:t>
      </w:r>
      <w:r>
        <w:t xml:space="preserve">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T</w:t>
      </w:r>
      <w:r>
        <w:rPr>
          <w:i/>
          <w:vertAlign w:val="subscript"/>
        </w:rPr>
        <w:t>X</w:t>
      </w:r>
      <w:r>
        <w:t xml:space="preserve"> = 5, 6 is defined as follows:</w:t>
      </w:r>
    </w:p>
    <w:p w:rsidR="00961CD6" w:rsidRDefault="00961CD6" w:rsidP="00961CD6">
      <w:pPr>
        <w:jc w:val="both"/>
        <w:rPr>
          <w:sz w:val="20"/>
          <w:lang w:eastAsia="ja-JP"/>
        </w:rPr>
      </w:pPr>
    </w:p>
    <w:p w:rsidR="00961CD6" w:rsidRDefault="00961CD6" w:rsidP="00961CD6">
      <w:pPr>
        <w:jc w:val="both"/>
        <w:rPr>
          <w:sz w:val="20"/>
          <w:lang w:eastAsia="ja-JP"/>
        </w:rPr>
      </w:pPr>
      <w:r w:rsidRPr="0062759A">
        <w:rPr>
          <w:position w:val="-104"/>
        </w:rPr>
        <w:object w:dxaOrig="7180" w:dyaOrig="2200">
          <v:shape id="_x0000_i1041" type="#_x0000_t75" style="width:357.85pt;height:109.6pt" o:ole="">
            <v:imagedata r:id="rId41" o:title=""/>
          </v:shape>
          <o:OLEObject Type="Embed" ProgID="Equation.3" ShapeID="_x0000_i1041" DrawAspect="Content" ObjectID="_1571472496" r:id="rId42"/>
        </w:object>
      </w:r>
    </w:p>
    <w:p w:rsidR="00961CD6" w:rsidRPr="001E2923" w:rsidRDefault="00961CD6" w:rsidP="00961CD6">
      <w:pPr>
        <w:jc w:val="both"/>
        <w:rPr>
          <w:sz w:val="20"/>
          <w:lang w:eastAsia="ja-JP"/>
        </w:rPr>
      </w:pPr>
    </w:p>
    <w:p w:rsidR="00961CD6" w:rsidRDefault="00961CD6" w:rsidP="00961CD6">
      <w:pPr>
        <w:jc w:val="both"/>
      </w:pPr>
      <w:r>
        <w:t xml:space="preserve">The </w:t>
      </w:r>
      <w:r>
        <w:rPr>
          <w:sz w:val="20"/>
          <w:lang w:val="en-US" w:eastAsia="ja-JP"/>
        </w:rPr>
        <w:t xml:space="preserve">OFDM TRN </w:t>
      </w:r>
      <w:r>
        <w:t xml:space="preserve">mapping matrix for </w:t>
      </w:r>
      <w:r w:rsidRPr="00545532">
        <w:rPr>
          <w:i/>
        </w:rPr>
        <w:t>N</w:t>
      </w:r>
      <w:r w:rsidRPr="00545532">
        <w:rPr>
          <w:i/>
          <w:vertAlign w:val="subscript"/>
        </w:rPr>
        <w:t>T</w:t>
      </w:r>
      <w:r>
        <w:rPr>
          <w:i/>
          <w:vertAlign w:val="subscript"/>
        </w:rPr>
        <w:t>X</w:t>
      </w:r>
      <w:r>
        <w:t xml:space="preserve"> = 7, 8 is defined as follows:</w:t>
      </w:r>
    </w:p>
    <w:p w:rsidR="00961CD6" w:rsidRDefault="00961CD6" w:rsidP="00961CD6">
      <w:pPr>
        <w:jc w:val="both"/>
        <w:rPr>
          <w:sz w:val="20"/>
          <w:lang w:eastAsia="ja-JP"/>
        </w:rPr>
      </w:pPr>
    </w:p>
    <w:p w:rsidR="00961CD6" w:rsidRDefault="00961CD6" w:rsidP="00961CD6">
      <w:pPr>
        <w:jc w:val="both"/>
        <w:rPr>
          <w:sz w:val="20"/>
          <w:lang w:eastAsia="ja-JP"/>
        </w:rPr>
      </w:pPr>
      <w:r w:rsidRPr="008223F9">
        <w:rPr>
          <w:position w:val="-32"/>
        </w:rPr>
        <w:object w:dxaOrig="3040" w:dyaOrig="760">
          <v:shape id="_x0000_i1042" type="#_x0000_t75" style="width:152.05pt;height:37.6pt" o:ole="">
            <v:imagedata r:id="rId43" o:title=""/>
          </v:shape>
          <o:OLEObject Type="Embed" ProgID="Equation.3" ShapeID="_x0000_i1042" DrawAspect="Content" ObjectID="_1571472497" r:id="rId44"/>
        </w:object>
      </w:r>
    </w:p>
    <w:p w:rsidR="00961CD6" w:rsidRDefault="00961CD6" w:rsidP="00297441">
      <w:pPr>
        <w:jc w:val="both"/>
        <w:rPr>
          <w:lang w:val="en-US" w:eastAsia="ko-KR"/>
        </w:rPr>
      </w:pPr>
    </w:p>
    <w:p w:rsidR="00961CD6" w:rsidRDefault="00961CD6" w:rsidP="00297441">
      <w:pPr>
        <w:jc w:val="both"/>
        <w:rPr>
          <w:lang w:val="en-US" w:eastAsia="ko-KR"/>
        </w:rPr>
      </w:pPr>
    </w:p>
    <w:p w:rsidR="00297441" w:rsidRDefault="00297441" w:rsidP="00364382">
      <w:pPr>
        <w:rPr>
          <w:b/>
          <w:color w:val="000000" w:themeColor="text1"/>
          <w:sz w:val="24"/>
          <w:lang w:eastAsia="ko-KR"/>
        </w:rPr>
      </w:pPr>
    </w:p>
    <w:p w:rsidR="00961CD6" w:rsidRDefault="00961CD6" w:rsidP="00364382">
      <w:pPr>
        <w:rPr>
          <w:b/>
          <w:color w:val="000000" w:themeColor="text1"/>
          <w:sz w:val="24"/>
          <w:lang w:eastAsia="ko-KR"/>
        </w:rPr>
      </w:pPr>
    </w:p>
    <w:p w:rsidR="00961CD6" w:rsidRDefault="00961CD6" w:rsidP="00364382">
      <w:pPr>
        <w:rPr>
          <w:b/>
          <w:color w:val="000000" w:themeColor="text1"/>
          <w:sz w:val="24"/>
          <w:lang w:eastAsia="ko-KR"/>
        </w:rPr>
      </w:pPr>
    </w:p>
    <w:p w:rsidR="00364382" w:rsidRPr="00F90987" w:rsidRDefault="00364382" w:rsidP="00364382">
      <w:pPr>
        <w:rPr>
          <w:b/>
          <w:color w:val="000000" w:themeColor="text1"/>
          <w:sz w:val="24"/>
        </w:rPr>
      </w:pPr>
      <w:r w:rsidRPr="00F90987">
        <w:rPr>
          <w:b/>
          <w:color w:val="000000" w:themeColor="text1"/>
          <w:sz w:val="24"/>
        </w:rPr>
        <w:t>References:</w:t>
      </w:r>
    </w:p>
    <w:p w:rsidR="00364382" w:rsidRDefault="00364382" w:rsidP="00364382">
      <w:pPr>
        <w:pStyle w:val="a7"/>
        <w:numPr>
          <w:ilvl w:val="0"/>
          <w:numId w:val="1"/>
        </w:numPr>
        <w:rPr>
          <w:color w:val="000000" w:themeColor="text1"/>
        </w:rPr>
      </w:pPr>
      <w:r w:rsidRPr="00F90987">
        <w:rPr>
          <w:color w:val="000000" w:themeColor="text1"/>
        </w:rPr>
        <w:t>Draft P802.11ay_D0.</w:t>
      </w:r>
      <w:r w:rsidR="00E4623A">
        <w:rPr>
          <w:rFonts w:hint="eastAsia"/>
          <w:color w:val="000000" w:themeColor="text1"/>
          <w:lang w:eastAsia="ko-KR"/>
        </w:rPr>
        <w:t>8</w:t>
      </w:r>
    </w:p>
    <w:p w:rsidR="00CA09B2" w:rsidRPr="00F90987" w:rsidRDefault="00CA09B2">
      <w:pPr>
        <w:rPr>
          <w:color w:val="000000" w:themeColor="text1"/>
        </w:rPr>
      </w:pPr>
    </w:p>
    <w:p w:rsidR="00F90987" w:rsidRPr="00F90987" w:rsidRDefault="00F90987">
      <w:pPr>
        <w:rPr>
          <w:color w:val="000000" w:themeColor="text1"/>
        </w:rPr>
      </w:pPr>
    </w:p>
    <w:sectPr w:rsidR="00F90987" w:rsidRPr="00F90987">
      <w:headerReference w:type="default" r:id="rId45"/>
      <w:footerReference w:type="default" r:id="rId4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64" w:rsidRDefault="00985B64">
      <w:r>
        <w:separator/>
      </w:r>
    </w:p>
  </w:endnote>
  <w:endnote w:type="continuationSeparator" w:id="0">
    <w:p w:rsidR="00985B64" w:rsidRDefault="009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D2" w:rsidRDefault="00FD4EFC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934A72">
        <w:t>Submission</w:t>
      </w:r>
    </w:fldSimple>
    <w:r w:rsidR="005504D2">
      <w:tab/>
      <w:t xml:space="preserve">page </w:t>
    </w:r>
    <w:r w:rsidR="005504D2">
      <w:fldChar w:fldCharType="begin"/>
    </w:r>
    <w:r w:rsidR="005504D2">
      <w:instrText xml:space="preserve">page </w:instrText>
    </w:r>
    <w:r w:rsidR="005504D2">
      <w:fldChar w:fldCharType="separate"/>
    </w:r>
    <w:r w:rsidR="00E4623A">
      <w:rPr>
        <w:noProof/>
      </w:rPr>
      <w:t>1</w:t>
    </w:r>
    <w:r w:rsidR="005504D2">
      <w:fldChar w:fldCharType="end"/>
    </w:r>
    <w:r w:rsidR="005504D2">
      <w:tab/>
    </w:r>
    <w:r w:rsidR="00AC39B1">
      <w:fldChar w:fldCharType="begin"/>
    </w:r>
    <w:r w:rsidR="00AC39B1">
      <w:instrText xml:space="preserve"> COMMENTS  \* MERGEFORMAT </w:instrText>
    </w:r>
    <w:r w:rsidR="00AC39B1">
      <w:fldChar w:fldCharType="separate"/>
    </w:r>
    <w:proofErr w:type="spellStart"/>
    <w:r w:rsidR="00E82B64">
      <w:rPr>
        <w:rFonts w:hint="eastAsia"/>
        <w:lang w:eastAsia="ko-KR"/>
      </w:rPr>
      <w:t>Sunwoong</w:t>
    </w:r>
    <w:proofErr w:type="spellEnd"/>
    <w:r w:rsidR="00E82B64">
      <w:rPr>
        <w:rFonts w:hint="eastAsia"/>
        <w:lang w:eastAsia="ko-KR"/>
      </w:rPr>
      <w:t xml:space="preserve"> Yun</w:t>
    </w:r>
    <w:r w:rsidR="00934A72">
      <w:t xml:space="preserve">, </w:t>
    </w:r>
    <w:r w:rsidR="00AC39B1">
      <w:fldChar w:fldCharType="end"/>
    </w:r>
    <w:r w:rsidR="00E82B64">
      <w:rPr>
        <w:rFonts w:hint="eastAsia"/>
        <w:lang w:eastAsia="ko-KR"/>
      </w:rPr>
      <w:t>LG Electronics</w:t>
    </w:r>
  </w:p>
  <w:p w:rsidR="005504D2" w:rsidRDefault="005504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64" w:rsidRDefault="00985B64">
      <w:r>
        <w:separator/>
      </w:r>
    </w:p>
  </w:footnote>
  <w:footnote w:type="continuationSeparator" w:id="0">
    <w:p w:rsidR="00985B64" w:rsidRDefault="0098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D2" w:rsidRDefault="00B53BAF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N</w:t>
    </w:r>
    <w:r w:rsidR="00917FDB">
      <w:rPr>
        <w:rFonts w:hint="eastAsia"/>
        <w:lang w:eastAsia="ko-KR"/>
      </w:rPr>
      <w:t>ovember</w:t>
    </w:r>
    <w:r>
      <w:rPr>
        <w:rFonts w:hint="eastAsia"/>
        <w:lang w:eastAsia="ko-KR"/>
      </w:rPr>
      <w:t xml:space="preserve"> 2017</w:t>
    </w:r>
    <w:r w:rsidR="005504D2">
      <w:tab/>
    </w:r>
    <w:r w:rsidR="005504D2">
      <w:tab/>
    </w:r>
    <w:fldSimple w:instr=" TITLE  \* MERGEFORMAT ">
      <w:r w:rsidR="00934A72">
        <w:t>doc.: IEEE 802.11-</w:t>
      </w:r>
      <w:r>
        <w:rPr>
          <w:rFonts w:hint="eastAsia"/>
          <w:lang w:eastAsia="ko-KR"/>
        </w:rPr>
        <w:t>17</w:t>
      </w:r>
      <w:r w:rsidR="00934A72">
        <w:t>/</w:t>
      </w:r>
      <w:r>
        <w:rPr>
          <w:rFonts w:hint="eastAsia"/>
          <w:lang w:eastAsia="ko-KR"/>
        </w:rPr>
        <w:t>1654r</w:t>
      </w:r>
      <w:r w:rsidR="00934A72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03403"/>
    <w:multiLevelType w:val="hybridMultilevel"/>
    <w:tmpl w:val="34DEB30A"/>
    <w:lvl w:ilvl="0" w:tplc="DD6C264A">
      <w:start w:val="3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5224E"/>
    <w:multiLevelType w:val="hybridMultilevel"/>
    <w:tmpl w:val="65529320"/>
    <w:lvl w:ilvl="0" w:tplc="B33473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7D057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92012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298F3D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4444F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E3ED7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85872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B42B1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0C846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0D20"/>
    <w:multiLevelType w:val="hybridMultilevel"/>
    <w:tmpl w:val="1A92C72A"/>
    <w:lvl w:ilvl="0" w:tplc="666EFF42">
      <w:start w:val="3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B854148"/>
    <w:multiLevelType w:val="hybridMultilevel"/>
    <w:tmpl w:val="B2E44C16"/>
    <w:lvl w:ilvl="0" w:tplc="EEFE2194">
      <w:start w:val="3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56C21"/>
    <w:multiLevelType w:val="multilevel"/>
    <w:tmpl w:val="A17A2D3E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3"/>
  </w:num>
  <w:num w:numId="18">
    <w:abstractNumId w:val="1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진민/선임연구원/차세대표준(연)IoT팀(jinmin1230.kim@lge.com)">
    <w15:presenceInfo w15:providerId="AD" w15:userId="S-1-5-21-2543426832-1914326140-3112152631-808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93"/>
    <w:rsid w:val="0000347E"/>
    <w:rsid w:val="000108A5"/>
    <w:rsid w:val="00011893"/>
    <w:rsid w:val="0001256F"/>
    <w:rsid w:val="00013CB4"/>
    <w:rsid w:val="00016F41"/>
    <w:rsid w:val="00021112"/>
    <w:rsid w:val="00021C19"/>
    <w:rsid w:val="00023E6E"/>
    <w:rsid w:val="00023FAB"/>
    <w:rsid w:val="00035C2C"/>
    <w:rsid w:val="00041AF4"/>
    <w:rsid w:val="00041EDC"/>
    <w:rsid w:val="000434EA"/>
    <w:rsid w:val="0005054C"/>
    <w:rsid w:val="00054F44"/>
    <w:rsid w:val="00057F36"/>
    <w:rsid w:val="00071A34"/>
    <w:rsid w:val="000853CA"/>
    <w:rsid w:val="00085F27"/>
    <w:rsid w:val="00086535"/>
    <w:rsid w:val="000924EC"/>
    <w:rsid w:val="000A0D6B"/>
    <w:rsid w:val="000A1323"/>
    <w:rsid w:val="000A1A22"/>
    <w:rsid w:val="000A2F4B"/>
    <w:rsid w:val="000A6D14"/>
    <w:rsid w:val="000B0FCF"/>
    <w:rsid w:val="000B1E1A"/>
    <w:rsid w:val="000B37C4"/>
    <w:rsid w:val="000B72B9"/>
    <w:rsid w:val="000C6E7A"/>
    <w:rsid w:val="000C76C2"/>
    <w:rsid w:val="000D4729"/>
    <w:rsid w:val="000D6E92"/>
    <w:rsid w:val="000D6EBC"/>
    <w:rsid w:val="000D6F12"/>
    <w:rsid w:val="000E1B9E"/>
    <w:rsid w:val="000E5438"/>
    <w:rsid w:val="000E596A"/>
    <w:rsid w:val="000F1D0B"/>
    <w:rsid w:val="000F623F"/>
    <w:rsid w:val="000F646A"/>
    <w:rsid w:val="00101476"/>
    <w:rsid w:val="00104B4E"/>
    <w:rsid w:val="001056CF"/>
    <w:rsid w:val="00105EC6"/>
    <w:rsid w:val="001112E3"/>
    <w:rsid w:val="001166D1"/>
    <w:rsid w:val="0012123B"/>
    <w:rsid w:val="00124F53"/>
    <w:rsid w:val="00136917"/>
    <w:rsid w:val="001417D2"/>
    <w:rsid w:val="00143241"/>
    <w:rsid w:val="0014677D"/>
    <w:rsid w:val="0015056E"/>
    <w:rsid w:val="00152F30"/>
    <w:rsid w:val="00155356"/>
    <w:rsid w:val="00157EA4"/>
    <w:rsid w:val="001654CD"/>
    <w:rsid w:val="0017376A"/>
    <w:rsid w:val="00175C36"/>
    <w:rsid w:val="00176848"/>
    <w:rsid w:val="00176D9E"/>
    <w:rsid w:val="001812CC"/>
    <w:rsid w:val="00184088"/>
    <w:rsid w:val="00187C63"/>
    <w:rsid w:val="001906CC"/>
    <w:rsid w:val="00190C5C"/>
    <w:rsid w:val="001A19A1"/>
    <w:rsid w:val="001A3559"/>
    <w:rsid w:val="001A437F"/>
    <w:rsid w:val="001A6C28"/>
    <w:rsid w:val="001B0387"/>
    <w:rsid w:val="001B13C8"/>
    <w:rsid w:val="001B17A6"/>
    <w:rsid w:val="001B5D2D"/>
    <w:rsid w:val="001B7033"/>
    <w:rsid w:val="001D1012"/>
    <w:rsid w:val="001D1B04"/>
    <w:rsid w:val="001D53F3"/>
    <w:rsid w:val="001D6E81"/>
    <w:rsid w:val="001D723B"/>
    <w:rsid w:val="001E1957"/>
    <w:rsid w:val="001E54BF"/>
    <w:rsid w:val="001E581A"/>
    <w:rsid w:val="001F240B"/>
    <w:rsid w:val="001F5218"/>
    <w:rsid w:val="001F7A6A"/>
    <w:rsid w:val="001F7ED6"/>
    <w:rsid w:val="002006B2"/>
    <w:rsid w:val="00200DAB"/>
    <w:rsid w:val="002146E7"/>
    <w:rsid w:val="0022724D"/>
    <w:rsid w:val="00230D69"/>
    <w:rsid w:val="002350B5"/>
    <w:rsid w:val="00237FB3"/>
    <w:rsid w:val="00242273"/>
    <w:rsid w:val="00243D53"/>
    <w:rsid w:val="0024428D"/>
    <w:rsid w:val="00245899"/>
    <w:rsid w:val="0025027D"/>
    <w:rsid w:val="002504F0"/>
    <w:rsid w:val="002533B0"/>
    <w:rsid w:val="002577B1"/>
    <w:rsid w:val="0026322D"/>
    <w:rsid w:val="00263AD8"/>
    <w:rsid w:val="00265130"/>
    <w:rsid w:val="00265C1D"/>
    <w:rsid w:val="00266495"/>
    <w:rsid w:val="00272561"/>
    <w:rsid w:val="00277486"/>
    <w:rsid w:val="00281345"/>
    <w:rsid w:val="00286E24"/>
    <w:rsid w:val="00287F7E"/>
    <w:rsid w:val="0029020B"/>
    <w:rsid w:val="00291C36"/>
    <w:rsid w:val="0029293E"/>
    <w:rsid w:val="00294FF9"/>
    <w:rsid w:val="00297441"/>
    <w:rsid w:val="002A50E3"/>
    <w:rsid w:val="002A5706"/>
    <w:rsid w:val="002B0B71"/>
    <w:rsid w:val="002B0F4C"/>
    <w:rsid w:val="002B10B4"/>
    <w:rsid w:val="002B5139"/>
    <w:rsid w:val="002C6851"/>
    <w:rsid w:val="002C70CA"/>
    <w:rsid w:val="002D2A1D"/>
    <w:rsid w:val="002D44BE"/>
    <w:rsid w:val="002E586A"/>
    <w:rsid w:val="002E7E1C"/>
    <w:rsid w:val="002F01EF"/>
    <w:rsid w:val="002F2C1C"/>
    <w:rsid w:val="00303E46"/>
    <w:rsid w:val="0031594A"/>
    <w:rsid w:val="003203DA"/>
    <w:rsid w:val="00325D2C"/>
    <w:rsid w:val="0032709A"/>
    <w:rsid w:val="00332A65"/>
    <w:rsid w:val="00334DC7"/>
    <w:rsid w:val="0033658A"/>
    <w:rsid w:val="00336EE4"/>
    <w:rsid w:val="00351219"/>
    <w:rsid w:val="00353F0B"/>
    <w:rsid w:val="003547C2"/>
    <w:rsid w:val="00356B46"/>
    <w:rsid w:val="00357893"/>
    <w:rsid w:val="003619D2"/>
    <w:rsid w:val="00364382"/>
    <w:rsid w:val="00371B0A"/>
    <w:rsid w:val="00375364"/>
    <w:rsid w:val="00377AF3"/>
    <w:rsid w:val="00384D92"/>
    <w:rsid w:val="00384E00"/>
    <w:rsid w:val="00386D40"/>
    <w:rsid w:val="00390095"/>
    <w:rsid w:val="00391771"/>
    <w:rsid w:val="00393E1C"/>
    <w:rsid w:val="00394117"/>
    <w:rsid w:val="00394789"/>
    <w:rsid w:val="003A214B"/>
    <w:rsid w:val="003A7784"/>
    <w:rsid w:val="003B4A39"/>
    <w:rsid w:val="003B4EF9"/>
    <w:rsid w:val="003B7998"/>
    <w:rsid w:val="003C24F4"/>
    <w:rsid w:val="003D0B34"/>
    <w:rsid w:val="003D4707"/>
    <w:rsid w:val="003D7AB2"/>
    <w:rsid w:val="003E2330"/>
    <w:rsid w:val="003F1C91"/>
    <w:rsid w:val="003F3041"/>
    <w:rsid w:val="003F484B"/>
    <w:rsid w:val="003F4F01"/>
    <w:rsid w:val="003F60B5"/>
    <w:rsid w:val="003F66CC"/>
    <w:rsid w:val="004029AB"/>
    <w:rsid w:val="00402C58"/>
    <w:rsid w:val="0041211F"/>
    <w:rsid w:val="00414BEE"/>
    <w:rsid w:val="00421F25"/>
    <w:rsid w:val="004316A5"/>
    <w:rsid w:val="0043664F"/>
    <w:rsid w:val="00440E10"/>
    <w:rsid w:val="00442037"/>
    <w:rsid w:val="00442886"/>
    <w:rsid w:val="004505E1"/>
    <w:rsid w:val="00452A6D"/>
    <w:rsid w:val="0045352F"/>
    <w:rsid w:val="00454DBD"/>
    <w:rsid w:val="004553BF"/>
    <w:rsid w:val="00456D6D"/>
    <w:rsid w:val="00456E4D"/>
    <w:rsid w:val="0045715B"/>
    <w:rsid w:val="004578C2"/>
    <w:rsid w:val="004607C5"/>
    <w:rsid w:val="00461356"/>
    <w:rsid w:val="004679EB"/>
    <w:rsid w:val="004718BD"/>
    <w:rsid w:val="00474C30"/>
    <w:rsid w:val="00477C68"/>
    <w:rsid w:val="004835F5"/>
    <w:rsid w:val="004866DD"/>
    <w:rsid w:val="00487085"/>
    <w:rsid w:val="00487FEF"/>
    <w:rsid w:val="004939CB"/>
    <w:rsid w:val="004945DD"/>
    <w:rsid w:val="004A1ECC"/>
    <w:rsid w:val="004B04B6"/>
    <w:rsid w:val="004B064B"/>
    <w:rsid w:val="004C408E"/>
    <w:rsid w:val="004C5B49"/>
    <w:rsid w:val="004D0592"/>
    <w:rsid w:val="004D20A3"/>
    <w:rsid w:val="004D33B8"/>
    <w:rsid w:val="004D3F07"/>
    <w:rsid w:val="004D5347"/>
    <w:rsid w:val="004D7E3E"/>
    <w:rsid w:val="004F00D7"/>
    <w:rsid w:val="004F6869"/>
    <w:rsid w:val="004F6E43"/>
    <w:rsid w:val="0050266A"/>
    <w:rsid w:val="00503BC7"/>
    <w:rsid w:val="0050511B"/>
    <w:rsid w:val="00506E7C"/>
    <w:rsid w:val="005130B0"/>
    <w:rsid w:val="005252E2"/>
    <w:rsid w:val="00525D80"/>
    <w:rsid w:val="00525E5B"/>
    <w:rsid w:val="00527FE7"/>
    <w:rsid w:val="00547B2E"/>
    <w:rsid w:val="005504D2"/>
    <w:rsid w:val="005604EE"/>
    <w:rsid w:val="00565371"/>
    <w:rsid w:val="005753C5"/>
    <w:rsid w:val="00580B4E"/>
    <w:rsid w:val="005853D5"/>
    <w:rsid w:val="00586B7F"/>
    <w:rsid w:val="00592AA1"/>
    <w:rsid w:val="005957DF"/>
    <w:rsid w:val="00597A71"/>
    <w:rsid w:val="005A21E6"/>
    <w:rsid w:val="005A7759"/>
    <w:rsid w:val="005B13C3"/>
    <w:rsid w:val="005B6F93"/>
    <w:rsid w:val="005C0E3B"/>
    <w:rsid w:val="005C1190"/>
    <w:rsid w:val="005C4EB8"/>
    <w:rsid w:val="005D3DAD"/>
    <w:rsid w:val="005D5A7C"/>
    <w:rsid w:val="005D753E"/>
    <w:rsid w:val="005E1080"/>
    <w:rsid w:val="005E16B2"/>
    <w:rsid w:val="005E69CE"/>
    <w:rsid w:val="005F158B"/>
    <w:rsid w:val="005F36E1"/>
    <w:rsid w:val="005F60A5"/>
    <w:rsid w:val="005F7CD9"/>
    <w:rsid w:val="005F7DCD"/>
    <w:rsid w:val="00610BCE"/>
    <w:rsid w:val="00616ABE"/>
    <w:rsid w:val="0062440B"/>
    <w:rsid w:val="0063000C"/>
    <w:rsid w:val="00632573"/>
    <w:rsid w:val="00642CCE"/>
    <w:rsid w:val="006463C3"/>
    <w:rsid w:val="00660D2E"/>
    <w:rsid w:val="00661321"/>
    <w:rsid w:val="00665779"/>
    <w:rsid w:val="006720EF"/>
    <w:rsid w:val="006739DB"/>
    <w:rsid w:val="00674A44"/>
    <w:rsid w:val="00677C78"/>
    <w:rsid w:val="006848A0"/>
    <w:rsid w:val="00685925"/>
    <w:rsid w:val="00691CFA"/>
    <w:rsid w:val="00694C3D"/>
    <w:rsid w:val="006958D2"/>
    <w:rsid w:val="006A3C45"/>
    <w:rsid w:val="006B34B2"/>
    <w:rsid w:val="006C0727"/>
    <w:rsid w:val="006C18F2"/>
    <w:rsid w:val="006C1CFD"/>
    <w:rsid w:val="006C2A77"/>
    <w:rsid w:val="006C4DAB"/>
    <w:rsid w:val="006D1031"/>
    <w:rsid w:val="006D1AAF"/>
    <w:rsid w:val="006E145F"/>
    <w:rsid w:val="006E2085"/>
    <w:rsid w:val="006E2919"/>
    <w:rsid w:val="006E3B90"/>
    <w:rsid w:val="006F2B52"/>
    <w:rsid w:val="006F71E6"/>
    <w:rsid w:val="006F721B"/>
    <w:rsid w:val="00702010"/>
    <w:rsid w:val="00702414"/>
    <w:rsid w:val="00702AB2"/>
    <w:rsid w:val="007074CD"/>
    <w:rsid w:val="007118D8"/>
    <w:rsid w:val="00713B74"/>
    <w:rsid w:val="00714396"/>
    <w:rsid w:val="0071444E"/>
    <w:rsid w:val="00723B0C"/>
    <w:rsid w:val="00730A5D"/>
    <w:rsid w:val="00735539"/>
    <w:rsid w:val="00740E93"/>
    <w:rsid w:val="00744871"/>
    <w:rsid w:val="00756E72"/>
    <w:rsid w:val="00762C0A"/>
    <w:rsid w:val="00762E20"/>
    <w:rsid w:val="00764BAD"/>
    <w:rsid w:val="007704C2"/>
    <w:rsid w:val="00770572"/>
    <w:rsid w:val="007708D6"/>
    <w:rsid w:val="00773A84"/>
    <w:rsid w:val="00774DA0"/>
    <w:rsid w:val="00784B31"/>
    <w:rsid w:val="007935FF"/>
    <w:rsid w:val="007964F2"/>
    <w:rsid w:val="00796CFE"/>
    <w:rsid w:val="00796EBE"/>
    <w:rsid w:val="0079775E"/>
    <w:rsid w:val="007A1EF9"/>
    <w:rsid w:val="007B4B71"/>
    <w:rsid w:val="007B6321"/>
    <w:rsid w:val="007B6971"/>
    <w:rsid w:val="007C05BB"/>
    <w:rsid w:val="007D2204"/>
    <w:rsid w:val="007D37D7"/>
    <w:rsid w:val="007D5E89"/>
    <w:rsid w:val="007D6210"/>
    <w:rsid w:val="007F6F53"/>
    <w:rsid w:val="00805B11"/>
    <w:rsid w:val="00813292"/>
    <w:rsid w:val="0081611E"/>
    <w:rsid w:val="00816F6C"/>
    <w:rsid w:val="008255E9"/>
    <w:rsid w:val="00825877"/>
    <w:rsid w:val="008335D9"/>
    <w:rsid w:val="0083586B"/>
    <w:rsid w:val="00836EFB"/>
    <w:rsid w:val="00841B55"/>
    <w:rsid w:val="00843A9F"/>
    <w:rsid w:val="0084460E"/>
    <w:rsid w:val="00844D84"/>
    <w:rsid w:val="00852135"/>
    <w:rsid w:val="00855205"/>
    <w:rsid w:val="00860E0E"/>
    <w:rsid w:val="00873AA6"/>
    <w:rsid w:val="008763E0"/>
    <w:rsid w:val="00880162"/>
    <w:rsid w:val="00884E8E"/>
    <w:rsid w:val="00887EFB"/>
    <w:rsid w:val="008948AF"/>
    <w:rsid w:val="008957A1"/>
    <w:rsid w:val="00897557"/>
    <w:rsid w:val="008A3282"/>
    <w:rsid w:val="008C10C4"/>
    <w:rsid w:val="008C1982"/>
    <w:rsid w:val="008C508D"/>
    <w:rsid w:val="008C79D3"/>
    <w:rsid w:val="008D0FD5"/>
    <w:rsid w:val="008D11B0"/>
    <w:rsid w:val="009040DB"/>
    <w:rsid w:val="0090653E"/>
    <w:rsid w:val="00906DEB"/>
    <w:rsid w:val="00914A76"/>
    <w:rsid w:val="00915C9F"/>
    <w:rsid w:val="00917FDB"/>
    <w:rsid w:val="009264AB"/>
    <w:rsid w:val="00926C42"/>
    <w:rsid w:val="0093092D"/>
    <w:rsid w:val="00931387"/>
    <w:rsid w:val="00934804"/>
    <w:rsid w:val="00934A72"/>
    <w:rsid w:val="00935C46"/>
    <w:rsid w:val="00947270"/>
    <w:rsid w:val="00950BDE"/>
    <w:rsid w:val="009538E2"/>
    <w:rsid w:val="00953DAB"/>
    <w:rsid w:val="00960982"/>
    <w:rsid w:val="00961CD6"/>
    <w:rsid w:val="00962D9F"/>
    <w:rsid w:val="009640BC"/>
    <w:rsid w:val="00967C64"/>
    <w:rsid w:val="009708A3"/>
    <w:rsid w:val="00976050"/>
    <w:rsid w:val="009840FB"/>
    <w:rsid w:val="0098546E"/>
    <w:rsid w:val="009859C9"/>
    <w:rsid w:val="00985B64"/>
    <w:rsid w:val="00987C7D"/>
    <w:rsid w:val="00990793"/>
    <w:rsid w:val="00992798"/>
    <w:rsid w:val="009A000D"/>
    <w:rsid w:val="009A0A75"/>
    <w:rsid w:val="009A22F4"/>
    <w:rsid w:val="009A3956"/>
    <w:rsid w:val="009A39C4"/>
    <w:rsid w:val="009A3BAC"/>
    <w:rsid w:val="009A3E19"/>
    <w:rsid w:val="009A709F"/>
    <w:rsid w:val="009B00E9"/>
    <w:rsid w:val="009B320F"/>
    <w:rsid w:val="009D02A9"/>
    <w:rsid w:val="009D2E18"/>
    <w:rsid w:val="009D3897"/>
    <w:rsid w:val="009D49AD"/>
    <w:rsid w:val="009E0022"/>
    <w:rsid w:val="009E210A"/>
    <w:rsid w:val="009E7912"/>
    <w:rsid w:val="009F0AD3"/>
    <w:rsid w:val="009F2FBC"/>
    <w:rsid w:val="00A050D8"/>
    <w:rsid w:val="00A06FD7"/>
    <w:rsid w:val="00A17289"/>
    <w:rsid w:val="00A437F2"/>
    <w:rsid w:val="00A45290"/>
    <w:rsid w:val="00A464BA"/>
    <w:rsid w:val="00A46C5F"/>
    <w:rsid w:val="00A47D73"/>
    <w:rsid w:val="00A50221"/>
    <w:rsid w:val="00A6154E"/>
    <w:rsid w:val="00A61764"/>
    <w:rsid w:val="00A70795"/>
    <w:rsid w:val="00A72C9E"/>
    <w:rsid w:val="00A74351"/>
    <w:rsid w:val="00A804FE"/>
    <w:rsid w:val="00A813FF"/>
    <w:rsid w:val="00A84193"/>
    <w:rsid w:val="00A86C86"/>
    <w:rsid w:val="00A86F25"/>
    <w:rsid w:val="00A90A96"/>
    <w:rsid w:val="00A91364"/>
    <w:rsid w:val="00A91D65"/>
    <w:rsid w:val="00A92196"/>
    <w:rsid w:val="00A94A01"/>
    <w:rsid w:val="00AA24E3"/>
    <w:rsid w:val="00AA427C"/>
    <w:rsid w:val="00AA4B4B"/>
    <w:rsid w:val="00AA570C"/>
    <w:rsid w:val="00AB3D6C"/>
    <w:rsid w:val="00AB6B69"/>
    <w:rsid w:val="00AC2135"/>
    <w:rsid w:val="00AC39B1"/>
    <w:rsid w:val="00AC4C14"/>
    <w:rsid w:val="00AC7EA7"/>
    <w:rsid w:val="00AD0260"/>
    <w:rsid w:val="00AD04F9"/>
    <w:rsid w:val="00AD1624"/>
    <w:rsid w:val="00AD4FFB"/>
    <w:rsid w:val="00AE02FA"/>
    <w:rsid w:val="00AE120E"/>
    <w:rsid w:val="00AE1596"/>
    <w:rsid w:val="00AE1A75"/>
    <w:rsid w:val="00AE1E05"/>
    <w:rsid w:val="00AE354C"/>
    <w:rsid w:val="00AF20C5"/>
    <w:rsid w:val="00AF4C61"/>
    <w:rsid w:val="00AF4D7F"/>
    <w:rsid w:val="00B03D01"/>
    <w:rsid w:val="00B0511B"/>
    <w:rsid w:val="00B07B8E"/>
    <w:rsid w:val="00B1307A"/>
    <w:rsid w:val="00B16307"/>
    <w:rsid w:val="00B20E78"/>
    <w:rsid w:val="00B21AAB"/>
    <w:rsid w:val="00B269B6"/>
    <w:rsid w:val="00B27467"/>
    <w:rsid w:val="00B42A5E"/>
    <w:rsid w:val="00B43903"/>
    <w:rsid w:val="00B44AFD"/>
    <w:rsid w:val="00B45F02"/>
    <w:rsid w:val="00B51FFA"/>
    <w:rsid w:val="00B52CD1"/>
    <w:rsid w:val="00B53BAF"/>
    <w:rsid w:val="00B53D74"/>
    <w:rsid w:val="00B63696"/>
    <w:rsid w:val="00B70F7A"/>
    <w:rsid w:val="00B72FAD"/>
    <w:rsid w:val="00B7504C"/>
    <w:rsid w:val="00B91057"/>
    <w:rsid w:val="00B92AB3"/>
    <w:rsid w:val="00B95AA4"/>
    <w:rsid w:val="00B95B8A"/>
    <w:rsid w:val="00B973B1"/>
    <w:rsid w:val="00B977BB"/>
    <w:rsid w:val="00BA28A0"/>
    <w:rsid w:val="00BA5C56"/>
    <w:rsid w:val="00BA5FE8"/>
    <w:rsid w:val="00BA7510"/>
    <w:rsid w:val="00BA7ABF"/>
    <w:rsid w:val="00BB38B8"/>
    <w:rsid w:val="00BB3FA8"/>
    <w:rsid w:val="00BB5F3B"/>
    <w:rsid w:val="00BB7869"/>
    <w:rsid w:val="00BC2931"/>
    <w:rsid w:val="00BD240F"/>
    <w:rsid w:val="00BE0363"/>
    <w:rsid w:val="00BE0E58"/>
    <w:rsid w:val="00BE68C2"/>
    <w:rsid w:val="00BE71FE"/>
    <w:rsid w:val="00BF1FE2"/>
    <w:rsid w:val="00BF2E47"/>
    <w:rsid w:val="00C00D71"/>
    <w:rsid w:val="00C07B4E"/>
    <w:rsid w:val="00C17973"/>
    <w:rsid w:val="00C22224"/>
    <w:rsid w:val="00C312AF"/>
    <w:rsid w:val="00C41B43"/>
    <w:rsid w:val="00C4503E"/>
    <w:rsid w:val="00C606ED"/>
    <w:rsid w:val="00C74C98"/>
    <w:rsid w:val="00C829C6"/>
    <w:rsid w:val="00C84392"/>
    <w:rsid w:val="00C8526B"/>
    <w:rsid w:val="00C859B3"/>
    <w:rsid w:val="00C90522"/>
    <w:rsid w:val="00C911C8"/>
    <w:rsid w:val="00C92456"/>
    <w:rsid w:val="00C928D0"/>
    <w:rsid w:val="00C95F35"/>
    <w:rsid w:val="00CA09B2"/>
    <w:rsid w:val="00CA14A6"/>
    <w:rsid w:val="00CA1B72"/>
    <w:rsid w:val="00CA34E1"/>
    <w:rsid w:val="00CA46F0"/>
    <w:rsid w:val="00CB1290"/>
    <w:rsid w:val="00CC3546"/>
    <w:rsid w:val="00CD15C8"/>
    <w:rsid w:val="00CD2126"/>
    <w:rsid w:val="00CE315D"/>
    <w:rsid w:val="00CE568A"/>
    <w:rsid w:val="00CE5E73"/>
    <w:rsid w:val="00CF7826"/>
    <w:rsid w:val="00D0636C"/>
    <w:rsid w:val="00D240D8"/>
    <w:rsid w:val="00D2521E"/>
    <w:rsid w:val="00D3265B"/>
    <w:rsid w:val="00D35893"/>
    <w:rsid w:val="00D4148A"/>
    <w:rsid w:val="00D42EAD"/>
    <w:rsid w:val="00D45909"/>
    <w:rsid w:val="00D548DE"/>
    <w:rsid w:val="00D55733"/>
    <w:rsid w:val="00D563A4"/>
    <w:rsid w:val="00D71F76"/>
    <w:rsid w:val="00D74FB7"/>
    <w:rsid w:val="00D76858"/>
    <w:rsid w:val="00D8762B"/>
    <w:rsid w:val="00D91A59"/>
    <w:rsid w:val="00D92E86"/>
    <w:rsid w:val="00D93F80"/>
    <w:rsid w:val="00D948BF"/>
    <w:rsid w:val="00DA000D"/>
    <w:rsid w:val="00DA582D"/>
    <w:rsid w:val="00DB50FD"/>
    <w:rsid w:val="00DB70DE"/>
    <w:rsid w:val="00DB73F8"/>
    <w:rsid w:val="00DC0BC5"/>
    <w:rsid w:val="00DC1CC5"/>
    <w:rsid w:val="00DC3235"/>
    <w:rsid w:val="00DC3C7C"/>
    <w:rsid w:val="00DC4B29"/>
    <w:rsid w:val="00DC5A7B"/>
    <w:rsid w:val="00DD10E2"/>
    <w:rsid w:val="00DD13A5"/>
    <w:rsid w:val="00DD3C2E"/>
    <w:rsid w:val="00DD5A77"/>
    <w:rsid w:val="00DD76E2"/>
    <w:rsid w:val="00DE23ED"/>
    <w:rsid w:val="00DE4362"/>
    <w:rsid w:val="00DE6804"/>
    <w:rsid w:val="00DE73BF"/>
    <w:rsid w:val="00DE7F17"/>
    <w:rsid w:val="00DF18FA"/>
    <w:rsid w:val="00DF22CC"/>
    <w:rsid w:val="00DF3D54"/>
    <w:rsid w:val="00DF4555"/>
    <w:rsid w:val="00DF58D1"/>
    <w:rsid w:val="00DF6F35"/>
    <w:rsid w:val="00E0142F"/>
    <w:rsid w:val="00E15386"/>
    <w:rsid w:val="00E211EB"/>
    <w:rsid w:val="00E23841"/>
    <w:rsid w:val="00E2676E"/>
    <w:rsid w:val="00E31BEA"/>
    <w:rsid w:val="00E4623A"/>
    <w:rsid w:val="00E47AA5"/>
    <w:rsid w:val="00E501A6"/>
    <w:rsid w:val="00E559E4"/>
    <w:rsid w:val="00E60BAD"/>
    <w:rsid w:val="00E612F5"/>
    <w:rsid w:val="00E65C50"/>
    <w:rsid w:val="00E70E8D"/>
    <w:rsid w:val="00E71862"/>
    <w:rsid w:val="00E71B4E"/>
    <w:rsid w:val="00E7637D"/>
    <w:rsid w:val="00E8072C"/>
    <w:rsid w:val="00E813A5"/>
    <w:rsid w:val="00E82B64"/>
    <w:rsid w:val="00E82F04"/>
    <w:rsid w:val="00E845E9"/>
    <w:rsid w:val="00E86FD6"/>
    <w:rsid w:val="00E90F59"/>
    <w:rsid w:val="00EA2C74"/>
    <w:rsid w:val="00EA554F"/>
    <w:rsid w:val="00EA7552"/>
    <w:rsid w:val="00EB0580"/>
    <w:rsid w:val="00EB5529"/>
    <w:rsid w:val="00EB7A2D"/>
    <w:rsid w:val="00EC7D9E"/>
    <w:rsid w:val="00ED7CF7"/>
    <w:rsid w:val="00EE20BF"/>
    <w:rsid w:val="00EE6D33"/>
    <w:rsid w:val="00EF0C19"/>
    <w:rsid w:val="00F06F84"/>
    <w:rsid w:val="00F06FEC"/>
    <w:rsid w:val="00F10657"/>
    <w:rsid w:val="00F12027"/>
    <w:rsid w:val="00F123F8"/>
    <w:rsid w:val="00F140C1"/>
    <w:rsid w:val="00F15E60"/>
    <w:rsid w:val="00F27159"/>
    <w:rsid w:val="00F311F4"/>
    <w:rsid w:val="00F348A3"/>
    <w:rsid w:val="00F37E12"/>
    <w:rsid w:val="00F43071"/>
    <w:rsid w:val="00F4623B"/>
    <w:rsid w:val="00F474CA"/>
    <w:rsid w:val="00F476B3"/>
    <w:rsid w:val="00F509B9"/>
    <w:rsid w:val="00F64FF8"/>
    <w:rsid w:val="00F67047"/>
    <w:rsid w:val="00F67311"/>
    <w:rsid w:val="00F90987"/>
    <w:rsid w:val="00F90BA2"/>
    <w:rsid w:val="00F93613"/>
    <w:rsid w:val="00F96716"/>
    <w:rsid w:val="00FA6F85"/>
    <w:rsid w:val="00FB138E"/>
    <w:rsid w:val="00FC15D8"/>
    <w:rsid w:val="00FC5B96"/>
    <w:rsid w:val="00FC5F52"/>
    <w:rsid w:val="00FD3BEF"/>
    <w:rsid w:val="00FD4EFC"/>
    <w:rsid w:val="00FD5218"/>
    <w:rsid w:val="00FE5711"/>
    <w:rsid w:val="00FF232D"/>
    <w:rsid w:val="00FF3AC5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RegularFigureCaption">
    <w:name w:val="IEEEStds Regular Figure Caption"/>
    <w:basedOn w:val="IEEEStdsParagraph"/>
    <w:next w:val="IEEEStdsParagraph"/>
    <w:rsid w:val="00DF22CC"/>
    <w:pPr>
      <w:keepLines/>
      <w:numPr>
        <w:numId w:val="9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Image">
    <w:name w:val="IEEEStds Image"/>
    <w:basedOn w:val="IEEEStdsParagraph"/>
    <w:next w:val="IEEEStdsParagraph"/>
    <w:rsid w:val="00DF22CC"/>
    <w:pPr>
      <w:keepNext/>
      <w:keepLines/>
      <w:spacing w:before="240" w:after="0"/>
      <w:jc w:val="center"/>
    </w:pPr>
  </w:style>
  <w:style w:type="paragraph" w:styleId="aa">
    <w:name w:val="Normal (Web)"/>
    <w:basedOn w:val="a"/>
    <w:uiPriority w:val="99"/>
    <w:unhideWhenUsed/>
    <w:rsid w:val="00402C58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Default">
    <w:name w:val="Default"/>
    <w:rsid w:val="00525E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525E5B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525E5B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525E5B"/>
    <w:rPr>
      <w:color w:val="auto"/>
    </w:rPr>
  </w:style>
  <w:style w:type="paragraph" w:customStyle="1" w:styleId="SP13118796">
    <w:name w:val="SP.13.118796"/>
    <w:basedOn w:val="Default"/>
    <w:next w:val="Default"/>
    <w:uiPriority w:val="99"/>
    <w:rsid w:val="00525E5B"/>
    <w:rPr>
      <w:color w:val="auto"/>
    </w:rPr>
  </w:style>
  <w:style w:type="character" w:customStyle="1" w:styleId="SC13303113">
    <w:name w:val="SC.13.303113"/>
    <w:uiPriority w:val="99"/>
    <w:rsid w:val="00525E5B"/>
    <w:rPr>
      <w:color w:val="000000"/>
      <w:sz w:val="18"/>
      <w:szCs w:val="18"/>
    </w:rPr>
  </w:style>
  <w:style w:type="paragraph" w:customStyle="1" w:styleId="SP13118797">
    <w:name w:val="SP.13.118797"/>
    <w:basedOn w:val="Default"/>
    <w:next w:val="Default"/>
    <w:uiPriority w:val="99"/>
    <w:rsid w:val="00525E5B"/>
    <w:rPr>
      <w:color w:val="auto"/>
    </w:rPr>
  </w:style>
  <w:style w:type="character" w:customStyle="1" w:styleId="SC13303120">
    <w:name w:val="SC.13.303120"/>
    <w:uiPriority w:val="99"/>
    <w:rsid w:val="00525E5B"/>
    <w:rPr>
      <w:rFonts w:ascii="Symbol" w:hAnsi="Symbol" w:cs="Symbol"/>
      <w:color w:val="000000"/>
      <w:sz w:val="20"/>
      <w:szCs w:val="20"/>
    </w:rPr>
  </w:style>
  <w:style w:type="paragraph" w:customStyle="1" w:styleId="SP13118793">
    <w:name w:val="SP.13.118793"/>
    <w:basedOn w:val="Default"/>
    <w:next w:val="Default"/>
    <w:uiPriority w:val="99"/>
    <w:rsid w:val="00525E5B"/>
    <w:rPr>
      <w:color w:val="auto"/>
    </w:rPr>
  </w:style>
  <w:style w:type="character" w:styleId="ab">
    <w:name w:val="Placeholder Text"/>
    <w:basedOn w:val="a0"/>
    <w:uiPriority w:val="99"/>
    <w:semiHidden/>
    <w:rsid w:val="000E5438"/>
    <w:rPr>
      <w:color w:val="808080"/>
    </w:rPr>
  </w:style>
  <w:style w:type="paragraph" w:styleId="ac">
    <w:name w:val="caption"/>
    <w:basedOn w:val="a"/>
    <w:next w:val="a"/>
    <w:unhideWhenUsed/>
    <w:qFormat/>
    <w:rsid w:val="0036438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041AF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Level1Header">
    <w:name w:val="IEEEStds Level 1 Header"/>
    <w:basedOn w:val="IEEEStdsParagraph"/>
    <w:next w:val="IEEEStdsParagraph"/>
    <w:rsid w:val="009A3BAC"/>
    <w:pPr>
      <w:keepNext/>
      <w:keepLines/>
      <w:numPr>
        <w:numId w:val="11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A3BA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A3BA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A3BA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A3BA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A3BAC"/>
    <w:pPr>
      <w:numPr>
        <w:ilvl w:val="5"/>
      </w:numPr>
      <w:outlineLvl w:val="5"/>
    </w:pPr>
  </w:style>
  <w:style w:type="paragraph" w:customStyle="1" w:styleId="IEEEStdsSingleNote">
    <w:name w:val="IEEEStds Single Note"/>
    <w:basedOn w:val="IEEEStdsParagraph"/>
    <w:next w:val="IEEEStdsParagraph"/>
    <w:rsid w:val="009A3BAC"/>
    <w:pPr>
      <w:keepLines/>
      <w:spacing w:before="120" w:after="120"/>
    </w:pPr>
    <w:rPr>
      <w:sz w:val="18"/>
    </w:rPr>
  </w:style>
  <w:style w:type="paragraph" w:customStyle="1" w:styleId="IEEEStdsLevel7Header">
    <w:name w:val="IEEEStds Level 7 Header"/>
    <w:basedOn w:val="IEEEStdsLevel6Header"/>
    <w:next w:val="IEEEStdsParagraph"/>
    <w:rsid w:val="009A3BA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A3BA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A3BAC"/>
    <w:pPr>
      <w:numPr>
        <w:ilvl w:val="8"/>
      </w:numPr>
      <w:outlineLvl w:val="8"/>
    </w:pPr>
  </w:style>
  <w:style w:type="paragraph" w:styleId="ad">
    <w:name w:val="Revision"/>
    <w:hidden/>
    <w:uiPriority w:val="99"/>
    <w:semiHidden/>
    <w:rsid w:val="00CA46F0"/>
    <w:rPr>
      <w:sz w:val="22"/>
      <w:lang w:val="en-GB"/>
    </w:rPr>
  </w:style>
  <w:style w:type="paragraph" w:customStyle="1" w:styleId="IEEEStdsTableData-Left">
    <w:name w:val="IEEEStds Table Data - Left"/>
    <w:basedOn w:val="IEEEStdsParagraph"/>
    <w:rsid w:val="00AC2135"/>
    <w:pPr>
      <w:keepNext/>
      <w:keepLines/>
      <w:spacing w:after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RegularFigureCaption">
    <w:name w:val="IEEEStds Regular Figure Caption"/>
    <w:basedOn w:val="IEEEStdsParagraph"/>
    <w:next w:val="IEEEStdsParagraph"/>
    <w:rsid w:val="00DF22CC"/>
    <w:pPr>
      <w:keepLines/>
      <w:numPr>
        <w:numId w:val="9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Image">
    <w:name w:val="IEEEStds Image"/>
    <w:basedOn w:val="IEEEStdsParagraph"/>
    <w:next w:val="IEEEStdsParagraph"/>
    <w:rsid w:val="00DF22CC"/>
    <w:pPr>
      <w:keepNext/>
      <w:keepLines/>
      <w:spacing w:before="240" w:after="0"/>
      <w:jc w:val="center"/>
    </w:pPr>
  </w:style>
  <w:style w:type="paragraph" w:styleId="aa">
    <w:name w:val="Normal (Web)"/>
    <w:basedOn w:val="a"/>
    <w:uiPriority w:val="99"/>
    <w:unhideWhenUsed/>
    <w:rsid w:val="00402C58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Default">
    <w:name w:val="Default"/>
    <w:rsid w:val="00525E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525E5B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525E5B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525E5B"/>
    <w:rPr>
      <w:color w:val="auto"/>
    </w:rPr>
  </w:style>
  <w:style w:type="paragraph" w:customStyle="1" w:styleId="SP13118796">
    <w:name w:val="SP.13.118796"/>
    <w:basedOn w:val="Default"/>
    <w:next w:val="Default"/>
    <w:uiPriority w:val="99"/>
    <w:rsid w:val="00525E5B"/>
    <w:rPr>
      <w:color w:val="auto"/>
    </w:rPr>
  </w:style>
  <w:style w:type="character" w:customStyle="1" w:styleId="SC13303113">
    <w:name w:val="SC.13.303113"/>
    <w:uiPriority w:val="99"/>
    <w:rsid w:val="00525E5B"/>
    <w:rPr>
      <w:color w:val="000000"/>
      <w:sz w:val="18"/>
      <w:szCs w:val="18"/>
    </w:rPr>
  </w:style>
  <w:style w:type="paragraph" w:customStyle="1" w:styleId="SP13118797">
    <w:name w:val="SP.13.118797"/>
    <w:basedOn w:val="Default"/>
    <w:next w:val="Default"/>
    <w:uiPriority w:val="99"/>
    <w:rsid w:val="00525E5B"/>
    <w:rPr>
      <w:color w:val="auto"/>
    </w:rPr>
  </w:style>
  <w:style w:type="character" w:customStyle="1" w:styleId="SC13303120">
    <w:name w:val="SC.13.303120"/>
    <w:uiPriority w:val="99"/>
    <w:rsid w:val="00525E5B"/>
    <w:rPr>
      <w:rFonts w:ascii="Symbol" w:hAnsi="Symbol" w:cs="Symbol"/>
      <w:color w:val="000000"/>
      <w:sz w:val="20"/>
      <w:szCs w:val="20"/>
    </w:rPr>
  </w:style>
  <w:style w:type="paragraph" w:customStyle="1" w:styleId="SP13118793">
    <w:name w:val="SP.13.118793"/>
    <w:basedOn w:val="Default"/>
    <w:next w:val="Default"/>
    <w:uiPriority w:val="99"/>
    <w:rsid w:val="00525E5B"/>
    <w:rPr>
      <w:color w:val="auto"/>
    </w:rPr>
  </w:style>
  <w:style w:type="character" w:styleId="ab">
    <w:name w:val="Placeholder Text"/>
    <w:basedOn w:val="a0"/>
    <w:uiPriority w:val="99"/>
    <w:semiHidden/>
    <w:rsid w:val="000E5438"/>
    <w:rPr>
      <w:color w:val="808080"/>
    </w:rPr>
  </w:style>
  <w:style w:type="paragraph" w:styleId="ac">
    <w:name w:val="caption"/>
    <w:basedOn w:val="a"/>
    <w:next w:val="a"/>
    <w:unhideWhenUsed/>
    <w:qFormat/>
    <w:rsid w:val="0036438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041AF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Level1Header">
    <w:name w:val="IEEEStds Level 1 Header"/>
    <w:basedOn w:val="IEEEStdsParagraph"/>
    <w:next w:val="IEEEStdsParagraph"/>
    <w:rsid w:val="009A3BAC"/>
    <w:pPr>
      <w:keepNext/>
      <w:keepLines/>
      <w:numPr>
        <w:numId w:val="11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9A3BA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9A3BA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9A3BA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9A3BA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9A3BAC"/>
    <w:pPr>
      <w:numPr>
        <w:ilvl w:val="5"/>
      </w:numPr>
      <w:outlineLvl w:val="5"/>
    </w:pPr>
  </w:style>
  <w:style w:type="paragraph" w:customStyle="1" w:styleId="IEEEStdsSingleNote">
    <w:name w:val="IEEEStds Single Note"/>
    <w:basedOn w:val="IEEEStdsParagraph"/>
    <w:next w:val="IEEEStdsParagraph"/>
    <w:rsid w:val="009A3BAC"/>
    <w:pPr>
      <w:keepLines/>
      <w:spacing w:before="120" w:after="120"/>
    </w:pPr>
    <w:rPr>
      <w:sz w:val="18"/>
    </w:rPr>
  </w:style>
  <w:style w:type="paragraph" w:customStyle="1" w:styleId="IEEEStdsLevel7Header">
    <w:name w:val="IEEEStds Level 7 Header"/>
    <w:basedOn w:val="IEEEStdsLevel6Header"/>
    <w:next w:val="IEEEStdsParagraph"/>
    <w:rsid w:val="009A3BA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9A3BA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9A3BAC"/>
    <w:pPr>
      <w:numPr>
        <w:ilvl w:val="8"/>
      </w:numPr>
      <w:outlineLvl w:val="8"/>
    </w:pPr>
  </w:style>
  <w:style w:type="paragraph" w:styleId="ad">
    <w:name w:val="Revision"/>
    <w:hidden/>
    <w:uiPriority w:val="99"/>
    <w:semiHidden/>
    <w:rsid w:val="00CA46F0"/>
    <w:rPr>
      <w:sz w:val="22"/>
      <w:lang w:val="en-GB"/>
    </w:rPr>
  </w:style>
  <w:style w:type="paragraph" w:customStyle="1" w:styleId="IEEEStdsTableData-Left">
    <w:name w:val="IEEEStds Table Data - Left"/>
    <w:basedOn w:val="IEEEStdsParagraph"/>
    <w:rsid w:val="00AC2135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10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1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Relationship Id="rId69" Type="http://schemas.microsoft.com/office/2011/relationships/people" Target="people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0D2B-B0EE-484F-BAF7-FE9EB531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315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김진민/선임연구원/차세대표준(연)ICS팀(jinmin1230.kim@lge.com)</dc:creator>
  <cp:keywords>Month Year</cp:keywords>
  <dc:description>John Doe, Some Company</dc:description>
  <cp:lastModifiedBy>admin</cp:lastModifiedBy>
  <cp:revision>12</cp:revision>
  <cp:lastPrinted>2017-09-07T01:22:00Z</cp:lastPrinted>
  <dcterms:created xsi:type="dcterms:W3CDTF">2017-10-13T06:58:00Z</dcterms:created>
  <dcterms:modified xsi:type="dcterms:W3CDTF">2017-11-06T16:21:00Z</dcterms:modified>
</cp:coreProperties>
</file>