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rPr>
                <w:lang w:eastAsia="ja-JP"/>
              </w:rPr>
            </w:pPr>
            <w:r w:rsidRPr="000E7898">
              <w:rPr>
                <w:lang w:eastAsia="ja-JP"/>
              </w:rPr>
              <w:t xml:space="preserve">IEEE 802.11 </w:t>
            </w:r>
            <w:r w:rsidR="00531865">
              <w:rPr>
                <w:bCs/>
                <w:lang w:eastAsia="ja-JP"/>
              </w:rPr>
              <w:t>Study</w:t>
            </w:r>
            <w:r w:rsidRPr="000E7898">
              <w:rPr>
                <w:bCs/>
                <w:lang w:eastAsia="ja-JP"/>
              </w:rPr>
              <w:t xml:space="preserve"> Group on Light Communications </w:t>
            </w:r>
          </w:p>
          <w:p w:rsidR="00D13DD9" w:rsidRPr="000E7898" w:rsidRDefault="00847585" w:rsidP="00847585">
            <w:pPr>
              <w:pStyle w:val="T2"/>
            </w:pPr>
            <w:r>
              <w:rPr>
                <w:lang w:eastAsia="ja-JP"/>
              </w:rPr>
              <w:t>September</w:t>
            </w:r>
            <w:r w:rsidR="00C32042" w:rsidRPr="000E7898">
              <w:rPr>
                <w:lang w:eastAsia="ja-JP"/>
              </w:rPr>
              <w:t xml:space="preserve">, </w:t>
            </w:r>
            <w:r w:rsidR="00C32042" w:rsidRPr="000E7898">
              <w:t xml:space="preserve">2017 </w:t>
            </w:r>
            <w:r>
              <w:rPr>
                <w:lang w:eastAsia="ja-JP"/>
              </w:rPr>
              <w:t>Kona</w:t>
            </w:r>
            <w:r w:rsidR="00CC3631">
              <w:rPr>
                <w:lang w:eastAsia="ja-JP"/>
              </w:rPr>
              <w:t xml:space="preserve"> </w:t>
            </w:r>
            <w:r w:rsidR="00C32042" w:rsidRPr="000E7898">
              <w:rPr>
                <w:lang w:eastAsia="ja-JP"/>
              </w:rPr>
              <w:t>Meeting</w:t>
            </w:r>
            <w:r w:rsidR="00C32042" w:rsidRPr="000E7898">
              <w:t xml:space="preserve"> Minutes</w:t>
            </w:r>
          </w:p>
        </w:tc>
      </w:tr>
      <w:tr w:rsidR="00D13DD9" w:rsidRPr="000E7898">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rsidP="00C12AD4">
            <w:pPr>
              <w:pStyle w:val="T2"/>
              <w:ind w:left="0"/>
              <w:rPr>
                <w:sz w:val="20"/>
                <w:lang w:eastAsia="ja-JP"/>
              </w:rPr>
            </w:pPr>
            <w:r w:rsidRPr="000E7898">
              <w:rPr>
                <w:sz w:val="20"/>
              </w:rPr>
              <w:t>Date:</w:t>
            </w:r>
            <w:r w:rsidR="00C877BE" w:rsidRPr="000E7898">
              <w:rPr>
                <w:b w:val="0"/>
                <w:sz w:val="20"/>
              </w:rPr>
              <w:t xml:space="preserve">  2017-0</w:t>
            </w:r>
            <w:r w:rsidR="00744E59">
              <w:rPr>
                <w:b w:val="0"/>
                <w:sz w:val="20"/>
              </w:rPr>
              <w:t>9</w:t>
            </w:r>
            <w:r w:rsidR="00C877BE" w:rsidRPr="000E7898">
              <w:rPr>
                <w:b w:val="0"/>
                <w:sz w:val="20"/>
              </w:rPr>
              <w:t>-</w:t>
            </w:r>
            <w:r w:rsidR="00744E59">
              <w:rPr>
                <w:b w:val="0"/>
                <w:sz w:val="20"/>
              </w:rPr>
              <w:t>14</w:t>
            </w:r>
          </w:p>
        </w:tc>
      </w:tr>
      <w:tr w:rsidR="00D13DD9" w:rsidRPr="000E7898">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Author:</w:t>
            </w:r>
          </w:p>
        </w:tc>
      </w:tr>
      <w:tr w:rsidR="00D13DD9" w:rsidRPr="000E7898" w:rsidTr="0024129C">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Name</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Affiliation</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Address</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Phone</w:t>
            </w:r>
          </w:p>
        </w:tc>
        <w:tc>
          <w:tcPr>
            <w:tcW w:w="2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627E4F" w:rsidRPr="000E7898" w:rsidTr="0024129C">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8B32F7" w:rsidP="00627E4F">
            <w:pPr>
              <w:pStyle w:val="T2"/>
              <w:spacing w:after="0"/>
              <w:ind w:left="0" w:right="0"/>
              <w:jc w:val="left"/>
              <w:rPr>
                <w:rFonts w:eastAsiaTheme="minorEastAsia"/>
                <w:b w:val="0"/>
                <w:sz w:val="20"/>
                <w:lang w:eastAsia="zh-CN"/>
              </w:rPr>
            </w:pPr>
            <w:r>
              <w:rPr>
                <w:rFonts w:eastAsiaTheme="minorEastAsia"/>
                <w:b w:val="0"/>
                <w:sz w:val="20"/>
                <w:lang w:eastAsia="zh-CN"/>
              </w:rPr>
              <w:t>J</w:t>
            </w:r>
            <w:r w:rsidR="00627E4F" w:rsidRPr="000E7898">
              <w:rPr>
                <w:rFonts w:eastAsiaTheme="minorEastAsia"/>
                <w:b w:val="0"/>
                <w:sz w:val="20"/>
                <w:lang w:eastAsia="zh-CN"/>
              </w:rPr>
              <w:t>ohn Li</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627E4F" w:rsidP="00627E4F">
            <w:pPr>
              <w:pStyle w:val="T2"/>
              <w:spacing w:after="0"/>
              <w:ind w:left="0" w:right="0"/>
              <w:jc w:val="left"/>
              <w:rPr>
                <w:rFonts w:eastAsiaTheme="minorEastAsia"/>
                <w:b w:val="0"/>
                <w:sz w:val="20"/>
                <w:lang w:eastAsia="zh-CN"/>
              </w:rPr>
            </w:pPr>
            <w:r w:rsidRPr="000E7898">
              <w:rPr>
                <w:rFonts w:eastAsiaTheme="minorEastAsia"/>
                <w:b w:val="0"/>
                <w:sz w:val="20"/>
                <w:lang w:eastAsia="zh-CN"/>
              </w:rPr>
              <w:t>Huawei</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627E4F" w:rsidP="00627E4F">
            <w:pPr>
              <w:pStyle w:val="T2"/>
              <w:spacing w:after="0"/>
              <w:ind w:left="0" w:right="0"/>
              <w:jc w:val="left"/>
              <w:rPr>
                <w:b w:val="0"/>
                <w:sz w:val="20"/>
                <w:lang w:eastAsia="ja-JP"/>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627E4F" w:rsidP="00627E4F">
            <w:pPr>
              <w:pStyle w:val="T2"/>
              <w:spacing w:after="0"/>
              <w:ind w:left="0" w:right="0"/>
              <w:jc w:val="left"/>
              <w:rPr>
                <w:b w:val="0"/>
                <w:sz w:val="20"/>
                <w:lang w:eastAsia="ja-JP"/>
              </w:rPr>
            </w:pPr>
          </w:p>
        </w:tc>
        <w:tc>
          <w:tcPr>
            <w:tcW w:w="2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A413D4" w:rsidP="00627E4F">
            <w:pPr>
              <w:pStyle w:val="T2"/>
              <w:spacing w:after="0"/>
              <w:ind w:left="0" w:right="0"/>
              <w:jc w:val="left"/>
              <w:rPr>
                <w:rFonts w:eastAsiaTheme="minorEastAsia"/>
                <w:b w:val="0"/>
                <w:sz w:val="20"/>
                <w:lang w:eastAsia="zh-CN"/>
              </w:rPr>
            </w:pPr>
            <w:hyperlink r:id="rId8" w:history="1">
              <w:r w:rsidR="00627E4F" w:rsidRPr="000E7898">
                <w:rPr>
                  <w:rStyle w:val="Hyperlink"/>
                  <w:rFonts w:eastAsiaTheme="minorEastAsia"/>
                  <w:b w:val="0"/>
                  <w:sz w:val="20"/>
                  <w:lang w:eastAsia="zh-CN"/>
                </w:rPr>
                <w:t>john.liqiang@huawei.com</w:t>
              </w:r>
            </w:hyperlink>
          </w:p>
        </w:tc>
      </w:tr>
      <w:tr w:rsidR="00627E4F" w:rsidRPr="000E7898" w:rsidTr="0024129C">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B7281A"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B7281A" w:rsidP="00627E4F">
            <w:pPr>
              <w:pStyle w:val="T2"/>
              <w:spacing w:after="0"/>
              <w:ind w:left="0" w:right="0"/>
              <w:jc w:val="left"/>
              <w:rPr>
                <w:rFonts w:eastAsiaTheme="minorEastAsia"/>
                <w:b w:val="0"/>
                <w:sz w:val="20"/>
                <w:lang w:eastAsia="zh-CN"/>
              </w:rPr>
            </w:pPr>
            <w:r>
              <w:rPr>
                <w:rFonts w:eastAsiaTheme="minorEastAsia" w:hint="eastAsia"/>
                <w:b w:val="0"/>
                <w:sz w:val="20"/>
                <w:lang w:eastAsia="zh-CN"/>
              </w:rPr>
              <w:t>HHI</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B7281A" w:rsidRDefault="00627E4F" w:rsidP="00627E4F">
            <w:pPr>
              <w:pStyle w:val="T2"/>
              <w:spacing w:after="0"/>
              <w:ind w:left="0" w:right="0"/>
              <w:jc w:val="left"/>
              <w:rPr>
                <w:rFonts w:eastAsiaTheme="minorEastAsia"/>
                <w:b w:val="0"/>
                <w:sz w:val="20"/>
                <w:lang w:eastAsia="zh-CN"/>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B7281A" w:rsidRDefault="00627E4F" w:rsidP="00627E4F">
            <w:pPr>
              <w:pStyle w:val="T2"/>
              <w:spacing w:after="0"/>
              <w:ind w:left="0" w:right="0"/>
              <w:jc w:val="left"/>
              <w:rPr>
                <w:rFonts w:eastAsiaTheme="minorEastAsia"/>
                <w:b w:val="0"/>
                <w:sz w:val="20"/>
                <w:lang w:eastAsia="zh-CN"/>
              </w:rPr>
            </w:pPr>
          </w:p>
        </w:tc>
        <w:tc>
          <w:tcPr>
            <w:tcW w:w="2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A413D4" w:rsidP="00627E4F">
            <w:pPr>
              <w:pStyle w:val="T2"/>
              <w:spacing w:after="0"/>
              <w:ind w:left="0" w:right="0"/>
              <w:jc w:val="left"/>
              <w:rPr>
                <w:rFonts w:eastAsiaTheme="minorEastAsia"/>
                <w:b w:val="0"/>
                <w:sz w:val="20"/>
                <w:lang w:eastAsia="zh-CN"/>
              </w:rPr>
            </w:pPr>
            <w:hyperlink r:id="rId9" w:history="1">
              <w:r w:rsidR="00354A89" w:rsidRPr="00F630A4">
                <w:rPr>
                  <w:rStyle w:val="Hyperlink"/>
                  <w:rFonts w:eastAsiaTheme="minorEastAsia"/>
                  <w:b w:val="0"/>
                  <w:sz w:val="20"/>
                  <w:lang w:eastAsia="zh-CN"/>
                </w:rPr>
                <w:t>volker.jungnickel@hhi.fraunhofer.de</w:t>
              </w:r>
            </w:hyperlink>
            <w:r w:rsidR="00354A89">
              <w:rPr>
                <w:rFonts w:eastAsiaTheme="minorEastAsia"/>
                <w:b w:val="0"/>
                <w:sz w:val="20"/>
                <w:lang w:eastAsia="zh-CN"/>
              </w:rPr>
              <w:t xml:space="preserve"> </w:t>
            </w:r>
          </w:p>
        </w:tc>
      </w:tr>
      <w:tr w:rsidR="00B7281A" w:rsidRPr="000E7898" w:rsidTr="0024129C">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7281A" w:rsidRPr="00B7281A" w:rsidRDefault="00B7281A"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Nikola Serafimovski</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7281A" w:rsidRDefault="00884671" w:rsidP="00627E4F">
            <w:pPr>
              <w:pStyle w:val="T2"/>
              <w:spacing w:after="0"/>
              <w:ind w:left="0" w:right="0"/>
              <w:jc w:val="left"/>
              <w:rPr>
                <w:rFonts w:eastAsiaTheme="minorEastAsia"/>
                <w:b w:val="0"/>
                <w:sz w:val="20"/>
                <w:lang w:eastAsia="zh-CN"/>
              </w:rPr>
            </w:pPr>
            <w:r>
              <w:rPr>
                <w:rFonts w:eastAsiaTheme="minorEastAsia" w:hint="eastAsia"/>
                <w:b w:val="0"/>
                <w:sz w:val="20"/>
                <w:lang w:eastAsia="zh-CN"/>
              </w:rPr>
              <w:t>PureLifi</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7281A" w:rsidRPr="00B7281A" w:rsidRDefault="00B7281A" w:rsidP="00627E4F">
            <w:pPr>
              <w:pStyle w:val="T2"/>
              <w:spacing w:after="0"/>
              <w:ind w:left="0" w:right="0"/>
              <w:jc w:val="left"/>
              <w:rPr>
                <w:rFonts w:eastAsiaTheme="minorEastAsia"/>
                <w:b w:val="0"/>
                <w:sz w:val="20"/>
                <w:lang w:eastAsia="zh-CN"/>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7281A" w:rsidRPr="00B7281A" w:rsidRDefault="00B7281A" w:rsidP="00627E4F">
            <w:pPr>
              <w:pStyle w:val="T2"/>
              <w:spacing w:after="0"/>
              <w:ind w:left="0" w:right="0"/>
              <w:jc w:val="left"/>
              <w:rPr>
                <w:rFonts w:eastAsiaTheme="minorEastAsia"/>
                <w:b w:val="0"/>
                <w:sz w:val="20"/>
                <w:lang w:eastAsia="zh-CN"/>
              </w:rPr>
            </w:pPr>
          </w:p>
        </w:tc>
        <w:tc>
          <w:tcPr>
            <w:tcW w:w="2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7281A" w:rsidRPr="000E7898" w:rsidRDefault="00354A89" w:rsidP="00627E4F">
            <w:pPr>
              <w:pStyle w:val="T2"/>
              <w:spacing w:after="0"/>
              <w:ind w:left="0" w:right="0"/>
              <w:jc w:val="left"/>
              <w:rPr>
                <w:rFonts w:eastAsiaTheme="minorEastAsia"/>
                <w:b w:val="0"/>
                <w:sz w:val="20"/>
                <w:lang w:eastAsia="zh-CN"/>
              </w:rPr>
            </w:pPr>
            <w:r>
              <w:rPr>
                <w:rFonts w:eastAsiaTheme="minorEastAsia"/>
                <w:b w:val="0"/>
                <w:sz w:val="20"/>
                <w:lang w:eastAsia="zh-CN"/>
              </w:rPr>
              <w:t xml:space="preserve"> </w:t>
            </w:r>
            <w:hyperlink r:id="rId10" w:history="1">
              <w:r w:rsidRPr="00F630A4">
                <w:rPr>
                  <w:rStyle w:val="Hyperlink"/>
                  <w:rFonts w:eastAsiaTheme="minorEastAsia"/>
                  <w:b w:val="0"/>
                  <w:sz w:val="20"/>
                  <w:lang w:eastAsia="zh-CN"/>
                </w:rPr>
                <w:t>nikola.serafimovski@purelifi.com</w:t>
              </w:r>
            </w:hyperlink>
            <w:r>
              <w:rPr>
                <w:rFonts w:eastAsiaTheme="minorEastAsia"/>
                <w:b w:val="0"/>
                <w:sz w:val="20"/>
                <w:lang w:eastAsia="zh-CN"/>
              </w:rPr>
              <w:t xml:space="preserve"> </w:t>
            </w:r>
          </w:p>
        </w:tc>
      </w:tr>
    </w:tbl>
    <w:p w:rsidR="00D13DD9" w:rsidRPr="000E7898" w:rsidRDefault="00C32042">
      <w:pPr>
        <w:pStyle w:val="T1"/>
        <w:spacing w:after="120"/>
        <w:rPr>
          <w:sz w:val="22"/>
          <w:highlight w:val="yellow"/>
        </w:rPr>
      </w:pPr>
      <w:r w:rsidRPr="000E7898">
        <w:rPr>
          <w:noProof/>
          <w:sz w:val="22"/>
          <w:highlight w:val="yellow"/>
          <w:lang w:eastAsia="zh-CN"/>
        </w:rPr>
        <mc:AlternateContent>
          <mc:Choice Requires="wps">
            <w:drawing>
              <wp:anchor distT="0" distB="0" distL="114300" distR="114300" simplePos="0" relativeHeight="251642880"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7279ED" w:rsidRDefault="007279ED">
                            <w:pPr>
                              <w:pStyle w:val="T1"/>
                              <w:spacing w:after="120"/>
                            </w:pPr>
                            <w:r>
                              <w:t>Abstract</w:t>
                            </w:r>
                          </w:p>
                          <w:p w:rsidR="007279ED" w:rsidRDefault="00531865">
                            <w:pPr>
                              <w:pStyle w:val="FrameContents"/>
                              <w:jc w:val="both"/>
                            </w:pPr>
                            <w:r>
                              <w:rPr>
                                <w:lang w:eastAsia="ja-JP"/>
                              </w:rPr>
                              <w:t>Study</w:t>
                            </w:r>
                            <w:r w:rsidR="007279ED">
                              <w:rPr>
                                <w:lang w:eastAsia="ja-JP"/>
                              </w:rPr>
                              <w:t xml:space="preserve"> Group on Light Communications </w:t>
                            </w:r>
                            <w:r w:rsidR="007279ED">
                              <w:t xml:space="preserve">meeting minutes </w:t>
                            </w:r>
                            <w:r w:rsidR="007279ED">
                              <w:rPr>
                                <w:lang w:eastAsia="ja-JP"/>
                              </w:rPr>
                              <w:t>from</w:t>
                            </w:r>
                            <w:r w:rsidR="007279ED">
                              <w:t xml:space="preserve"> the IEEE 802.11 </w:t>
                            </w:r>
                            <w:r w:rsidR="00C61787">
                              <w:t>Kona</w:t>
                            </w:r>
                            <w:r w:rsidR="00EC27D5">
                              <w:t xml:space="preserve"> </w:t>
                            </w:r>
                            <w:r w:rsidR="007279ED">
                              <w:rPr>
                                <w:lang w:eastAsia="ja-JP"/>
                              </w:rPr>
                              <w:t>meeting</w:t>
                            </w:r>
                            <w:r w:rsidR="00C877BE">
                              <w:t xml:space="preserve">, </w:t>
                            </w:r>
                            <w:r w:rsidR="00C61787">
                              <w:t>September</w:t>
                            </w:r>
                            <w:r w:rsidR="007279ED">
                              <w:t xml:space="preserve"> 201</w:t>
                            </w:r>
                            <w:r w:rsidR="007279ED">
                              <w:rPr>
                                <w:lang w:eastAsia="ja-JP"/>
                              </w:rPr>
                              <w:t>7</w:t>
                            </w:r>
                            <w:r w:rsidR="007279ED">
                              <w:t>.</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rsidR="007279ED" w:rsidRDefault="007279ED">
                      <w:pPr>
                        <w:pStyle w:val="T1"/>
                        <w:spacing w:after="120"/>
                      </w:pPr>
                      <w:r>
                        <w:t>Abstract</w:t>
                      </w:r>
                    </w:p>
                    <w:p w:rsidR="007279ED" w:rsidRDefault="00531865">
                      <w:pPr>
                        <w:pStyle w:val="FrameContents"/>
                        <w:jc w:val="both"/>
                      </w:pPr>
                      <w:r>
                        <w:rPr>
                          <w:lang w:eastAsia="ja-JP"/>
                        </w:rPr>
                        <w:t>Study</w:t>
                      </w:r>
                      <w:r w:rsidR="007279ED">
                        <w:rPr>
                          <w:lang w:eastAsia="ja-JP"/>
                        </w:rPr>
                        <w:t xml:space="preserve"> Group on Light Communications </w:t>
                      </w:r>
                      <w:r w:rsidR="007279ED">
                        <w:t xml:space="preserve">meeting minutes </w:t>
                      </w:r>
                      <w:r w:rsidR="007279ED">
                        <w:rPr>
                          <w:lang w:eastAsia="ja-JP"/>
                        </w:rPr>
                        <w:t>from</w:t>
                      </w:r>
                      <w:r w:rsidR="007279ED">
                        <w:t xml:space="preserve"> the IEEE 802.11 </w:t>
                      </w:r>
                      <w:r w:rsidR="00C61787">
                        <w:t>Kona</w:t>
                      </w:r>
                      <w:r w:rsidR="00EC27D5">
                        <w:t xml:space="preserve"> </w:t>
                      </w:r>
                      <w:r w:rsidR="007279ED">
                        <w:rPr>
                          <w:lang w:eastAsia="ja-JP"/>
                        </w:rPr>
                        <w:t>meeting</w:t>
                      </w:r>
                      <w:r w:rsidR="00C877BE">
                        <w:t xml:space="preserve">, </w:t>
                      </w:r>
                      <w:r w:rsidR="00C61787">
                        <w:t>September</w:t>
                      </w:r>
                      <w:r w:rsidR="007279ED">
                        <w:t xml:space="preserve"> 201</w:t>
                      </w:r>
                      <w:r w:rsidR="007279ED">
                        <w:rPr>
                          <w:lang w:eastAsia="ja-JP"/>
                        </w:rPr>
                        <w:t>7</w:t>
                      </w:r>
                      <w:r w:rsidR="007279ED">
                        <w:t>.</w:t>
                      </w:r>
                    </w:p>
                  </w:txbxContent>
                </v:textbox>
              </v:rect>
            </w:pict>
          </mc:Fallback>
        </mc:AlternateContent>
      </w:r>
      <w:r w:rsidRPr="000E7898">
        <w:rPr>
          <w:highlight w:val="yellow"/>
        </w:rPr>
        <w:br w:type="page"/>
      </w:r>
    </w:p>
    <w:p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E43EEA">
        <w:rPr>
          <w:b/>
          <w:bCs/>
          <w:sz w:val="28"/>
          <w:lang w:eastAsia="ja-JP"/>
        </w:rPr>
        <w:t>Study</w:t>
      </w:r>
      <w:r w:rsidRPr="000E7898">
        <w:rPr>
          <w:b/>
          <w:bCs/>
          <w:sz w:val="28"/>
          <w:lang w:eastAsia="ja-JP"/>
        </w:rPr>
        <w:t xml:space="preserve"> Group on Light Communications</w:t>
      </w:r>
    </w:p>
    <w:p w:rsidR="00D13DD9" w:rsidRPr="000E7898" w:rsidRDefault="00D13DD9">
      <w:pPr>
        <w:jc w:val="center"/>
        <w:outlineLvl w:val="0"/>
        <w:rPr>
          <w:b/>
          <w:sz w:val="28"/>
          <w:highlight w:val="yellow"/>
          <w:lang w:eastAsia="ja-JP"/>
        </w:rPr>
      </w:pPr>
    </w:p>
    <w:p w:rsidR="00D13DD9" w:rsidRPr="000E7898" w:rsidRDefault="00D13DD9">
      <w:pPr>
        <w:rPr>
          <w:highlight w:val="yellow"/>
        </w:rPr>
      </w:pPr>
    </w:p>
    <w:p w:rsidR="00D13DD9" w:rsidRPr="000E7898" w:rsidRDefault="00196AD8">
      <w:pPr>
        <w:outlineLvl w:val="0"/>
        <w:rPr>
          <w:b/>
          <w:sz w:val="28"/>
          <w:u w:val="single"/>
          <w:lang w:eastAsia="ja-JP"/>
        </w:rPr>
      </w:pPr>
      <w:r>
        <w:rPr>
          <w:b/>
          <w:sz w:val="28"/>
          <w:u w:val="single"/>
          <w:lang w:eastAsia="ja-JP"/>
        </w:rPr>
        <w:t>Tuesday</w:t>
      </w:r>
      <w:r w:rsidR="00C32042" w:rsidRPr="000E7898">
        <w:rPr>
          <w:b/>
          <w:sz w:val="28"/>
          <w:u w:val="single"/>
          <w:lang w:eastAsia="ja-JP"/>
        </w:rPr>
        <w:t xml:space="preserve">, </w:t>
      </w:r>
      <w:r w:rsidR="0098579A">
        <w:rPr>
          <w:b/>
          <w:sz w:val="28"/>
          <w:u w:val="single"/>
          <w:lang w:eastAsia="ja-JP"/>
        </w:rPr>
        <w:t>September</w:t>
      </w:r>
      <w:r w:rsidR="00431764" w:rsidRPr="000E7898">
        <w:rPr>
          <w:b/>
          <w:sz w:val="28"/>
          <w:u w:val="single"/>
          <w:lang w:eastAsia="ja-JP"/>
        </w:rPr>
        <w:t xml:space="preserve"> </w:t>
      </w:r>
      <w:r w:rsidR="0098579A">
        <w:rPr>
          <w:b/>
          <w:sz w:val="28"/>
          <w:u w:val="single"/>
          <w:lang w:eastAsia="ja-JP"/>
        </w:rPr>
        <w:t>12</w:t>
      </w:r>
      <w:r w:rsidR="00431764" w:rsidRPr="000E7898">
        <w:rPr>
          <w:b/>
          <w:sz w:val="28"/>
          <w:u w:val="single"/>
          <w:lang w:eastAsia="ja-JP"/>
        </w:rPr>
        <w:t xml:space="preserve">, 2017, </w:t>
      </w:r>
      <w:r w:rsidR="0098579A">
        <w:rPr>
          <w:b/>
          <w:sz w:val="28"/>
          <w:u w:val="single"/>
          <w:lang w:eastAsia="ja-JP"/>
        </w:rPr>
        <w:t>P</w:t>
      </w:r>
      <w:r w:rsidR="00C32042" w:rsidRPr="000E7898">
        <w:rPr>
          <w:b/>
          <w:sz w:val="28"/>
          <w:u w:val="single"/>
          <w:lang w:eastAsia="ja-JP"/>
        </w:rPr>
        <w:t xml:space="preserve">M1 </w:t>
      </w:r>
      <w:r w:rsidR="00C32042" w:rsidRPr="000E7898">
        <w:rPr>
          <w:b/>
          <w:sz w:val="28"/>
          <w:u w:val="single"/>
        </w:rPr>
        <w:t>Session</w:t>
      </w:r>
    </w:p>
    <w:p w:rsidR="00D13DD9" w:rsidRPr="000E7898" w:rsidRDefault="00431764">
      <w:r w:rsidRPr="000E7898">
        <w:t xml:space="preserve">Attendance: </w:t>
      </w:r>
      <w:r w:rsidR="000977AC">
        <w:t>3</w:t>
      </w:r>
      <w:r w:rsidR="00CC3631">
        <w:t>0</w:t>
      </w:r>
      <w:r w:rsidR="001215F6">
        <w:t xml:space="preserve"> </w:t>
      </w:r>
      <w:r w:rsidR="0024129C" w:rsidRPr="000E7898">
        <w:t>people</w:t>
      </w:r>
    </w:p>
    <w:p w:rsidR="0024129C" w:rsidRPr="000E7898" w:rsidRDefault="0024129C"/>
    <w:p w:rsidR="00D13DD9" w:rsidRPr="000E7898" w:rsidRDefault="002233B4">
      <w:pPr>
        <w:numPr>
          <w:ilvl w:val="0"/>
          <w:numId w:val="1"/>
        </w:numPr>
        <w:jc w:val="both"/>
        <w:rPr>
          <w:szCs w:val="22"/>
        </w:rPr>
      </w:pPr>
      <w:r>
        <w:rPr>
          <w:szCs w:val="22"/>
          <w:lang w:eastAsia="ja-JP"/>
        </w:rPr>
        <w:t>The IEEE 802.11 LC SG</w:t>
      </w:r>
      <w:r w:rsidR="00C32042" w:rsidRPr="000E7898">
        <w:rPr>
          <w:szCs w:val="22"/>
          <w:lang w:eastAsia="ja-JP"/>
        </w:rPr>
        <w:t xml:space="preserve"> meeting was called to order at by the </w:t>
      </w:r>
      <w:r w:rsidR="00C53DC2">
        <w:rPr>
          <w:szCs w:val="22"/>
          <w:lang w:eastAsia="ja-JP"/>
        </w:rPr>
        <w:t xml:space="preserve">temporary </w:t>
      </w:r>
      <w:r w:rsidR="00C32042" w:rsidRPr="000E7898">
        <w:rPr>
          <w:szCs w:val="22"/>
          <w:lang w:eastAsia="ja-JP"/>
        </w:rPr>
        <w:t>Chair, Nikola Serafimovski (pureLiFi).</w:t>
      </w:r>
    </w:p>
    <w:p w:rsidR="00D13DD9" w:rsidRPr="000E7898" w:rsidRDefault="00D13DD9">
      <w:pPr>
        <w:jc w:val="both"/>
        <w:rPr>
          <w:szCs w:val="22"/>
          <w:highlight w:val="yellow"/>
        </w:rPr>
      </w:pPr>
    </w:p>
    <w:p w:rsidR="00D13DD9" w:rsidRPr="000E7898" w:rsidRDefault="007B6109">
      <w:pPr>
        <w:numPr>
          <w:ilvl w:val="0"/>
          <w:numId w:val="1"/>
        </w:numPr>
        <w:jc w:val="both"/>
        <w:rPr>
          <w:szCs w:val="22"/>
        </w:rPr>
      </w:pPr>
      <w:r>
        <w:rPr>
          <w:szCs w:val="22"/>
          <w:lang w:eastAsia="ja-JP"/>
        </w:rPr>
        <w:t xml:space="preserve">The </w:t>
      </w:r>
      <w:r w:rsidR="00C53DC2">
        <w:rPr>
          <w:szCs w:val="22"/>
          <w:lang w:eastAsia="ja-JP"/>
        </w:rPr>
        <w:t xml:space="preserve">temporary </w:t>
      </w:r>
      <w:r w:rsidR="00C53DC2" w:rsidRPr="000E7898">
        <w:rPr>
          <w:szCs w:val="22"/>
          <w:lang w:eastAsia="ja-JP"/>
        </w:rPr>
        <w:t>Chair</w:t>
      </w:r>
      <w:r w:rsidR="00C32042" w:rsidRPr="000E7898">
        <w:rPr>
          <w:szCs w:val="22"/>
          <w:lang w:eastAsia="ja-JP"/>
        </w:rPr>
        <w:t xml:space="preserve"> reviewed the IEEE-SA patent policy, logistics, and reminders, including meeting guidelines and attendance recording procedures.</w:t>
      </w:r>
    </w:p>
    <w:p w:rsidR="00D13DD9" w:rsidRPr="000E7898" w:rsidRDefault="00C32042">
      <w:pPr>
        <w:numPr>
          <w:ilvl w:val="1"/>
          <w:numId w:val="1"/>
        </w:numPr>
        <w:jc w:val="both"/>
        <w:rPr>
          <w:szCs w:val="22"/>
        </w:rPr>
      </w:pPr>
      <w:r w:rsidRPr="000E7898">
        <w:rPr>
          <w:szCs w:val="22"/>
          <w:lang w:eastAsia="ja-JP"/>
        </w:rPr>
        <w:t>It is reminded</w:t>
      </w:r>
      <w:r w:rsidR="0024129C" w:rsidRPr="000E7898">
        <w:rPr>
          <w:szCs w:val="22"/>
          <w:lang w:eastAsia="ja-JP"/>
        </w:rPr>
        <w:t xml:space="preserve"> all to record their attendance.</w:t>
      </w:r>
    </w:p>
    <w:p w:rsidR="00D13DD9" w:rsidRPr="000E7898" w:rsidRDefault="00D13DD9">
      <w:pPr>
        <w:ind w:left="792"/>
        <w:jc w:val="both"/>
        <w:rPr>
          <w:szCs w:val="22"/>
        </w:rPr>
      </w:pPr>
    </w:p>
    <w:p w:rsidR="0098579A" w:rsidRDefault="0098579A" w:rsidP="0098579A">
      <w:pPr>
        <w:numPr>
          <w:ilvl w:val="0"/>
          <w:numId w:val="1"/>
        </w:numPr>
        <w:jc w:val="both"/>
        <w:rPr>
          <w:szCs w:val="22"/>
          <w:lang w:eastAsia="ja-JP"/>
        </w:rPr>
      </w:pPr>
      <w:r>
        <w:rPr>
          <w:szCs w:val="22"/>
          <w:lang w:eastAsia="ja-JP"/>
        </w:rPr>
        <w:t>LC-SG Officer selection issue</w:t>
      </w:r>
    </w:p>
    <w:p w:rsidR="0098579A" w:rsidRDefault="0098579A" w:rsidP="0098579A">
      <w:pPr>
        <w:numPr>
          <w:ilvl w:val="1"/>
          <w:numId w:val="1"/>
        </w:numPr>
        <w:jc w:val="both"/>
        <w:rPr>
          <w:szCs w:val="22"/>
          <w:lang w:eastAsia="ja-JP"/>
        </w:rPr>
      </w:pPr>
      <w:r>
        <w:t>Osama (Huawei): Call for nomination is needed</w:t>
      </w:r>
    </w:p>
    <w:p w:rsidR="0098579A" w:rsidRDefault="00B644DC" w:rsidP="0098579A">
      <w:pPr>
        <w:numPr>
          <w:ilvl w:val="1"/>
          <w:numId w:val="1"/>
        </w:numPr>
        <w:jc w:val="both"/>
        <w:rPr>
          <w:szCs w:val="22"/>
          <w:lang w:eastAsia="ja-JP"/>
        </w:rPr>
      </w:pPr>
      <w:r>
        <w:rPr>
          <w:szCs w:val="22"/>
          <w:lang w:eastAsia="ja-JP"/>
        </w:rPr>
        <w:t>Nikola</w:t>
      </w:r>
      <w:r w:rsidR="0098579A">
        <w:t>: He will send out a call for nomination after the session.</w:t>
      </w:r>
    </w:p>
    <w:p w:rsidR="0098579A" w:rsidRPr="0098579A" w:rsidRDefault="0098579A" w:rsidP="0098579A">
      <w:pPr>
        <w:numPr>
          <w:ilvl w:val="1"/>
          <w:numId w:val="1"/>
        </w:numPr>
        <w:jc w:val="both"/>
        <w:rPr>
          <w:szCs w:val="22"/>
          <w:lang w:eastAsia="ja-JP"/>
        </w:rPr>
      </w:pPr>
      <w:r>
        <w:t>Lei (Huawei): should do within this week.</w:t>
      </w:r>
    </w:p>
    <w:p w:rsidR="0098579A" w:rsidRPr="0098579A" w:rsidRDefault="00B644DC" w:rsidP="0098579A">
      <w:pPr>
        <w:numPr>
          <w:ilvl w:val="1"/>
          <w:numId w:val="1"/>
        </w:numPr>
        <w:jc w:val="both"/>
        <w:rPr>
          <w:szCs w:val="22"/>
          <w:lang w:eastAsia="ja-JP"/>
        </w:rPr>
      </w:pPr>
      <w:r>
        <w:rPr>
          <w:szCs w:val="22"/>
          <w:lang w:eastAsia="ja-JP"/>
        </w:rPr>
        <w:t>Nikola</w:t>
      </w:r>
      <w:r w:rsidR="0098579A">
        <w:t>: will do after this session</w:t>
      </w:r>
    </w:p>
    <w:p w:rsidR="0098579A" w:rsidRDefault="0098579A" w:rsidP="0098579A"/>
    <w:p w:rsidR="0098579A" w:rsidRDefault="00B644DC" w:rsidP="00EA18C8">
      <w:pPr>
        <w:numPr>
          <w:ilvl w:val="0"/>
          <w:numId w:val="1"/>
        </w:numPr>
        <w:jc w:val="both"/>
      </w:pPr>
      <w:r>
        <w:rPr>
          <w:szCs w:val="22"/>
          <w:lang w:eastAsia="ja-JP"/>
        </w:rPr>
        <w:t>T</w:t>
      </w:r>
      <w:r w:rsidR="00C53DC2">
        <w:rPr>
          <w:szCs w:val="22"/>
          <w:lang w:eastAsia="ja-JP"/>
        </w:rPr>
        <w:t xml:space="preserve">emporary </w:t>
      </w:r>
      <w:r w:rsidR="00C53DC2" w:rsidRPr="000E7898">
        <w:rPr>
          <w:szCs w:val="22"/>
          <w:lang w:eastAsia="ja-JP"/>
        </w:rPr>
        <w:t>Chair</w:t>
      </w:r>
      <w:r w:rsidR="0098579A" w:rsidRPr="0098579A">
        <w:rPr>
          <w:rFonts w:hint="eastAsia"/>
          <w:szCs w:val="22"/>
          <w:lang w:eastAsia="ja-JP"/>
        </w:rPr>
        <w:t xml:space="preserve"> introduce</w:t>
      </w:r>
      <w:r w:rsidR="0098579A">
        <w:rPr>
          <w:szCs w:val="22"/>
          <w:lang w:eastAsia="ja-JP"/>
        </w:rPr>
        <w:t>d</w:t>
      </w:r>
      <w:r w:rsidR="0098579A" w:rsidRPr="0098579A">
        <w:rPr>
          <w:rFonts w:hint="eastAsia"/>
          <w:szCs w:val="22"/>
          <w:lang w:eastAsia="ja-JP"/>
        </w:rPr>
        <w:t xml:space="preserve"> the </w:t>
      </w:r>
      <w:r w:rsidR="0098579A" w:rsidRPr="0098579A">
        <w:rPr>
          <w:szCs w:val="22"/>
          <w:lang w:eastAsia="ja-JP"/>
        </w:rPr>
        <w:t>schedule</w:t>
      </w:r>
      <w:r w:rsidR="0098579A" w:rsidRPr="0098579A">
        <w:rPr>
          <w:rFonts w:hint="eastAsia"/>
          <w:szCs w:val="22"/>
          <w:lang w:eastAsia="ja-JP"/>
        </w:rPr>
        <w:t xml:space="preserve"> </w:t>
      </w:r>
      <w:r w:rsidR="0098579A" w:rsidRPr="0098579A">
        <w:rPr>
          <w:szCs w:val="22"/>
          <w:lang w:eastAsia="ja-JP"/>
        </w:rPr>
        <w:t>for the week</w:t>
      </w:r>
      <w:r w:rsidR="0098579A">
        <w:t xml:space="preserve"> </w:t>
      </w:r>
    </w:p>
    <w:p w:rsidR="0098579A" w:rsidRDefault="0098579A" w:rsidP="0098579A"/>
    <w:p w:rsidR="0098579A" w:rsidRDefault="0098579A" w:rsidP="0098579A">
      <w:pPr>
        <w:numPr>
          <w:ilvl w:val="0"/>
          <w:numId w:val="1"/>
        </w:numPr>
        <w:jc w:val="both"/>
        <w:rPr>
          <w:szCs w:val="22"/>
          <w:lang w:eastAsia="ja-JP"/>
        </w:rPr>
      </w:pPr>
      <w:r w:rsidRPr="0098579A">
        <w:rPr>
          <w:szCs w:val="22"/>
          <w:lang w:eastAsia="ja-JP"/>
        </w:rPr>
        <w:t>Approve the minutes from the July meeting</w:t>
      </w:r>
    </w:p>
    <w:p w:rsidR="0098579A" w:rsidRPr="0098579A" w:rsidRDefault="00B644DC" w:rsidP="0098579A">
      <w:pPr>
        <w:numPr>
          <w:ilvl w:val="1"/>
          <w:numId w:val="1"/>
        </w:numPr>
        <w:jc w:val="both"/>
        <w:rPr>
          <w:szCs w:val="22"/>
          <w:lang w:eastAsia="ja-JP"/>
        </w:rPr>
      </w:pPr>
      <w:r>
        <w:rPr>
          <w:szCs w:val="22"/>
          <w:lang w:eastAsia="ja-JP"/>
        </w:rPr>
        <w:t>T</w:t>
      </w:r>
      <w:r w:rsidR="00C53DC2">
        <w:rPr>
          <w:szCs w:val="22"/>
          <w:lang w:eastAsia="ja-JP"/>
        </w:rPr>
        <w:t xml:space="preserve">emporary </w:t>
      </w:r>
      <w:r w:rsidR="00C53DC2" w:rsidRPr="000E7898">
        <w:rPr>
          <w:szCs w:val="22"/>
          <w:lang w:eastAsia="ja-JP"/>
        </w:rPr>
        <w:t>Chair</w:t>
      </w:r>
      <w:r w:rsidR="0098579A">
        <w:t xml:space="preserve"> asked if there is discussions. No discussion. The minutes was approved.</w:t>
      </w:r>
    </w:p>
    <w:p w:rsidR="0098579A" w:rsidRDefault="0098579A" w:rsidP="0098579A"/>
    <w:p w:rsidR="0098579A" w:rsidRDefault="0098579A" w:rsidP="0098579A">
      <w:pPr>
        <w:numPr>
          <w:ilvl w:val="0"/>
          <w:numId w:val="1"/>
        </w:numPr>
        <w:jc w:val="both"/>
      </w:pPr>
      <w:r w:rsidRPr="0098579A">
        <w:rPr>
          <w:szCs w:val="22"/>
          <w:lang w:eastAsia="ja-JP"/>
        </w:rPr>
        <w:t xml:space="preserve">Nikola presented proposed work item for SG </w:t>
      </w:r>
      <w:r w:rsidR="00DA2189">
        <w:rPr>
          <w:szCs w:val="22"/>
          <w:lang w:eastAsia="ja-JP"/>
        </w:rPr>
        <w:t>17-11/</w:t>
      </w:r>
      <w:r w:rsidRPr="0098579A">
        <w:rPr>
          <w:szCs w:val="22"/>
          <w:lang w:eastAsia="ja-JP"/>
        </w:rPr>
        <w:t>1477r0</w:t>
      </w:r>
    </w:p>
    <w:p w:rsidR="0098579A" w:rsidRPr="0098579A" w:rsidRDefault="00E912A9" w:rsidP="0098579A">
      <w:pPr>
        <w:numPr>
          <w:ilvl w:val="1"/>
          <w:numId w:val="1"/>
        </w:numPr>
        <w:jc w:val="both"/>
        <w:rPr>
          <w:szCs w:val="22"/>
          <w:lang w:eastAsia="ja-JP"/>
        </w:rPr>
      </w:pPr>
      <w:r>
        <w:rPr>
          <w:szCs w:val="22"/>
          <w:lang w:eastAsia="ja-JP"/>
        </w:rPr>
        <w:t>Should LC be an a</w:t>
      </w:r>
      <w:r w:rsidR="00DA2189">
        <w:rPr>
          <w:szCs w:val="22"/>
          <w:lang w:eastAsia="ja-JP"/>
        </w:rPr>
        <w:t xml:space="preserve">mendment or a new standard, and the relationship with </w:t>
      </w:r>
      <w:r w:rsidR="0098579A" w:rsidRPr="0098579A">
        <w:rPr>
          <w:rFonts w:hint="eastAsia"/>
          <w:szCs w:val="22"/>
          <w:lang w:eastAsia="ja-JP"/>
        </w:rPr>
        <w:t>LOA</w:t>
      </w:r>
      <w:r w:rsidR="0098579A">
        <w:rPr>
          <w:szCs w:val="22"/>
          <w:lang w:eastAsia="ja-JP"/>
        </w:rPr>
        <w:t xml:space="preserve"> (Letter of assurance)</w:t>
      </w:r>
      <w:r w:rsidR="0098579A" w:rsidRPr="0098579A">
        <w:rPr>
          <w:rFonts w:hint="eastAsia"/>
          <w:szCs w:val="22"/>
          <w:lang w:eastAsia="ja-JP"/>
        </w:rPr>
        <w:t xml:space="preserve"> issue: Nikola</w:t>
      </w:r>
      <w:r w:rsidR="0098579A">
        <w:rPr>
          <w:szCs w:val="22"/>
          <w:lang w:eastAsia="ja-JP"/>
        </w:rPr>
        <w:t xml:space="preserve"> </w:t>
      </w:r>
      <w:r w:rsidR="00F95B2A">
        <w:rPr>
          <w:szCs w:val="22"/>
          <w:lang w:eastAsia="ja-JP"/>
        </w:rPr>
        <w:t>raised the LOA issue, because the policy may be different for an amendment and new standard</w:t>
      </w:r>
      <w:r w:rsidR="0098579A" w:rsidRPr="0098579A">
        <w:rPr>
          <w:szCs w:val="22"/>
          <w:lang w:eastAsia="ja-JP"/>
        </w:rPr>
        <w:t>.</w:t>
      </w:r>
      <w:r w:rsidR="0098579A">
        <w:rPr>
          <w:rFonts w:eastAsiaTheme="minorEastAsia" w:hint="eastAsia"/>
          <w:szCs w:val="22"/>
          <w:lang w:eastAsia="zh-CN"/>
        </w:rPr>
        <w:t xml:space="preserve"> </w:t>
      </w:r>
      <w:r w:rsidR="0098579A">
        <w:rPr>
          <w:rFonts w:eastAsiaTheme="minorEastAsia"/>
          <w:szCs w:val="22"/>
          <w:lang w:eastAsia="zh-CN"/>
        </w:rPr>
        <w:t xml:space="preserve">He </w:t>
      </w:r>
      <w:r w:rsidR="0098579A">
        <w:rPr>
          <w:szCs w:val="22"/>
          <w:lang w:eastAsia="ja-JP"/>
        </w:rPr>
        <w:t>s</w:t>
      </w:r>
      <w:r w:rsidR="0098579A" w:rsidRPr="0098579A">
        <w:rPr>
          <w:szCs w:val="22"/>
          <w:lang w:eastAsia="ja-JP"/>
        </w:rPr>
        <w:t>uggest</w:t>
      </w:r>
      <w:r w:rsidR="0098579A">
        <w:rPr>
          <w:szCs w:val="22"/>
          <w:lang w:eastAsia="ja-JP"/>
        </w:rPr>
        <w:t>ed</w:t>
      </w:r>
      <w:r w:rsidR="0098579A" w:rsidRPr="0098579A">
        <w:rPr>
          <w:szCs w:val="22"/>
          <w:lang w:eastAsia="ja-JP"/>
        </w:rPr>
        <w:t xml:space="preserve"> to </w:t>
      </w:r>
      <w:r w:rsidR="00F95B2A">
        <w:rPr>
          <w:szCs w:val="22"/>
          <w:lang w:eastAsia="ja-JP"/>
        </w:rPr>
        <w:t>send a request fo</w:t>
      </w:r>
      <w:r w:rsidR="0098579A" w:rsidRPr="0098579A">
        <w:rPr>
          <w:szCs w:val="22"/>
          <w:lang w:eastAsia="ja-JP"/>
        </w:rPr>
        <w:t xml:space="preserve">r </w:t>
      </w:r>
      <w:r w:rsidR="00F95B2A">
        <w:rPr>
          <w:szCs w:val="22"/>
          <w:lang w:eastAsia="ja-JP"/>
        </w:rPr>
        <w:t xml:space="preserve">clarification </w:t>
      </w:r>
      <w:r w:rsidR="0098579A" w:rsidRPr="0098579A">
        <w:rPr>
          <w:szCs w:val="22"/>
          <w:lang w:eastAsia="ja-JP"/>
        </w:rPr>
        <w:t>to the SA board</w:t>
      </w:r>
    </w:p>
    <w:p w:rsidR="00DA2189" w:rsidRDefault="0098579A" w:rsidP="00DA2189">
      <w:pPr>
        <w:numPr>
          <w:ilvl w:val="1"/>
          <w:numId w:val="1"/>
        </w:numPr>
        <w:jc w:val="both"/>
        <w:rPr>
          <w:szCs w:val="22"/>
          <w:lang w:eastAsia="ja-JP"/>
        </w:rPr>
      </w:pPr>
      <w:r w:rsidRPr="0098579A">
        <w:rPr>
          <w:szCs w:val="22"/>
          <w:lang w:eastAsia="ja-JP"/>
        </w:rPr>
        <w:t>Osama</w:t>
      </w:r>
      <w:r w:rsidR="00F95B2A">
        <w:rPr>
          <w:szCs w:val="22"/>
          <w:lang w:eastAsia="ja-JP"/>
        </w:rPr>
        <w:t xml:space="preserve"> (Huawei)</w:t>
      </w:r>
      <w:r w:rsidRPr="0098579A">
        <w:rPr>
          <w:szCs w:val="22"/>
          <w:lang w:eastAsia="ja-JP"/>
        </w:rPr>
        <w:t xml:space="preserve">: it </w:t>
      </w:r>
      <w:r w:rsidR="00DA2189">
        <w:rPr>
          <w:szCs w:val="22"/>
          <w:lang w:eastAsia="ja-JP"/>
        </w:rPr>
        <w:t xml:space="preserve">can also be done </w:t>
      </w:r>
      <w:r w:rsidRPr="0098579A">
        <w:rPr>
          <w:szCs w:val="22"/>
          <w:lang w:eastAsia="ja-JP"/>
        </w:rPr>
        <w:t>informally.</w:t>
      </w:r>
    </w:p>
    <w:p w:rsidR="0098579A" w:rsidRPr="00DA2189" w:rsidRDefault="0098579A" w:rsidP="00DA2189">
      <w:pPr>
        <w:numPr>
          <w:ilvl w:val="1"/>
          <w:numId w:val="1"/>
        </w:numPr>
        <w:jc w:val="both"/>
        <w:rPr>
          <w:szCs w:val="22"/>
          <w:lang w:eastAsia="ja-JP"/>
        </w:rPr>
      </w:pPr>
      <w:r w:rsidRPr="00DA2189">
        <w:rPr>
          <w:szCs w:val="22"/>
          <w:lang w:eastAsia="ja-JP"/>
        </w:rPr>
        <w:t xml:space="preserve">Nikola: </w:t>
      </w:r>
      <w:r w:rsidR="00DA2189">
        <w:rPr>
          <w:szCs w:val="22"/>
          <w:lang w:eastAsia="ja-JP"/>
        </w:rPr>
        <w:t>the issue was raised during</w:t>
      </w:r>
      <w:r w:rsidRPr="00DA2189">
        <w:rPr>
          <w:szCs w:val="22"/>
          <w:lang w:eastAsia="ja-JP"/>
        </w:rPr>
        <w:t xml:space="preserve"> editor’s meeting, </w:t>
      </w:r>
      <w:r w:rsidR="00DA2189">
        <w:rPr>
          <w:szCs w:val="22"/>
          <w:lang w:eastAsia="ja-JP"/>
        </w:rPr>
        <w:t>WG chair</w:t>
      </w:r>
      <w:r w:rsidRPr="00DA2189">
        <w:rPr>
          <w:szCs w:val="22"/>
          <w:lang w:eastAsia="ja-JP"/>
        </w:rPr>
        <w:t xml:space="preserve"> ask</w:t>
      </w:r>
      <w:r w:rsidR="00DA2189">
        <w:rPr>
          <w:szCs w:val="22"/>
          <w:lang w:eastAsia="ja-JP"/>
        </w:rPr>
        <w:t>ed</w:t>
      </w:r>
      <w:r w:rsidRPr="00DA2189">
        <w:rPr>
          <w:szCs w:val="22"/>
          <w:lang w:eastAsia="ja-JP"/>
        </w:rPr>
        <w:t xml:space="preserve"> to discuss</w:t>
      </w:r>
      <w:r w:rsidR="00DA2189">
        <w:rPr>
          <w:szCs w:val="22"/>
          <w:lang w:eastAsia="ja-JP"/>
        </w:rPr>
        <w:t xml:space="preserve"> the issue</w:t>
      </w:r>
      <w:r w:rsidRPr="00DA2189">
        <w:rPr>
          <w:szCs w:val="22"/>
          <w:lang w:eastAsia="ja-JP"/>
        </w:rPr>
        <w:t xml:space="preserve"> in the SG. </w:t>
      </w:r>
    </w:p>
    <w:p w:rsidR="0098579A" w:rsidRPr="0098579A" w:rsidRDefault="00DA2189" w:rsidP="00DA2189">
      <w:pPr>
        <w:numPr>
          <w:ilvl w:val="1"/>
          <w:numId w:val="1"/>
        </w:numPr>
        <w:jc w:val="both"/>
        <w:rPr>
          <w:szCs w:val="22"/>
          <w:lang w:eastAsia="ja-JP"/>
        </w:rPr>
      </w:pPr>
      <w:r>
        <w:rPr>
          <w:szCs w:val="22"/>
          <w:lang w:eastAsia="ja-JP"/>
        </w:rPr>
        <w:t>Osama expressed</w:t>
      </w:r>
      <w:r w:rsidR="0098579A" w:rsidRPr="0098579A">
        <w:rPr>
          <w:szCs w:val="22"/>
          <w:lang w:eastAsia="ja-JP"/>
        </w:rPr>
        <w:t xml:space="preserve"> </w:t>
      </w:r>
      <w:r>
        <w:rPr>
          <w:szCs w:val="22"/>
          <w:lang w:eastAsia="ja-JP"/>
        </w:rPr>
        <w:t>preference to have LC as a separate project.</w:t>
      </w:r>
    </w:p>
    <w:p w:rsidR="0098579A" w:rsidRPr="0098579A" w:rsidRDefault="0098579A" w:rsidP="00DA2189">
      <w:pPr>
        <w:numPr>
          <w:ilvl w:val="1"/>
          <w:numId w:val="1"/>
        </w:numPr>
        <w:jc w:val="both"/>
        <w:rPr>
          <w:szCs w:val="22"/>
          <w:lang w:eastAsia="ja-JP"/>
        </w:rPr>
      </w:pPr>
      <w:r w:rsidRPr="0098579A">
        <w:rPr>
          <w:rFonts w:hint="eastAsia"/>
          <w:szCs w:val="22"/>
          <w:lang w:eastAsia="ja-JP"/>
        </w:rPr>
        <w:t>Volker</w:t>
      </w:r>
      <w:r w:rsidR="00DA2189">
        <w:rPr>
          <w:szCs w:val="22"/>
          <w:lang w:eastAsia="ja-JP"/>
        </w:rPr>
        <w:t xml:space="preserve"> (HHI) suggested to have higher integration with</w:t>
      </w:r>
      <w:r w:rsidR="000977AC">
        <w:rPr>
          <w:szCs w:val="22"/>
          <w:lang w:eastAsia="ja-JP"/>
        </w:rPr>
        <w:t xml:space="preserve"> Wi-</w:t>
      </w:r>
      <w:r w:rsidRPr="0098579A">
        <w:rPr>
          <w:szCs w:val="22"/>
          <w:lang w:eastAsia="ja-JP"/>
        </w:rPr>
        <w:t>F</w:t>
      </w:r>
      <w:r w:rsidR="000977AC">
        <w:rPr>
          <w:szCs w:val="22"/>
          <w:lang w:eastAsia="ja-JP"/>
        </w:rPr>
        <w:t>i</w:t>
      </w:r>
      <w:r w:rsidRPr="0098579A">
        <w:rPr>
          <w:szCs w:val="22"/>
          <w:lang w:eastAsia="ja-JP"/>
        </w:rPr>
        <w:t>.</w:t>
      </w:r>
    </w:p>
    <w:p w:rsidR="0098579A" w:rsidRPr="0098579A" w:rsidRDefault="0098579A" w:rsidP="00DA2189">
      <w:pPr>
        <w:numPr>
          <w:ilvl w:val="1"/>
          <w:numId w:val="1"/>
        </w:numPr>
        <w:jc w:val="both"/>
        <w:rPr>
          <w:szCs w:val="22"/>
          <w:lang w:eastAsia="ja-JP"/>
        </w:rPr>
      </w:pPr>
      <w:r w:rsidRPr="0098579A">
        <w:rPr>
          <w:rFonts w:hint="eastAsia"/>
          <w:szCs w:val="22"/>
          <w:lang w:eastAsia="ja-JP"/>
        </w:rPr>
        <w:t>John</w:t>
      </w:r>
      <w:r w:rsidR="00DA2189">
        <w:rPr>
          <w:szCs w:val="22"/>
          <w:lang w:eastAsia="ja-JP"/>
        </w:rPr>
        <w:t xml:space="preserve"> (Huawei)</w:t>
      </w:r>
      <w:r w:rsidRPr="0098579A">
        <w:rPr>
          <w:rFonts w:hint="eastAsia"/>
          <w:szCs w:val="22"/>
          <w:lang w:eastAsia="ja-JP"/>
        </w:rPr>
        <w:t xml:space="preserve">: </w:t>
      </w:r>
      <w:r w:rsidR="00DA2189">
        <w:rPr>
          <w:szCs w:val="22"/>
          <w:lang w:eastAsia="ja-JP"/>
        </w:rPr>
        <w:t>Amendment or new standard depends several factors, need to be clear on other factors first.</w:t>
      </w:r>
    </w:p>
    <w:p w:rsidR="0098579A" w:rsidRPr="0098579A" w:rsidRDefault="0098579A" w:rsidP="00DA2189">
      <w:pPr>
        <w:numPr>
          <w:ilvl w:val="1"/>
          <w:numId w:val="1"/>
        </w:numPr>
        <w:jc w:val="both"/>
        <w:rPr>
          <w:szCs w:val="22"/>
          <w:lang w:eastAsia="ja-JP"/>
        </w:rPr>
      </w:pPr>
      <w:r w:rsidRPr="0098579A">
        <w:rPr>
          <w:szCs w:val="22"/>
          <w:lang w:eastAsia="ja-JP"/>
        </w:rPr>
        <w:t xml:space="preserve">Lei: </w:t>
      </w:r>
      <w:r w:rsidR="00DA2189">
        <w:rPr>
          <w:szCs w:val="22"/>
          <w:lang w:eastAsia="ja-JP"/>
        </w:rPr>
        <w:t>should analyze what will be</w:t>
      </w:r>
      <w:r w:rsidRPr="0098579A">
        <w:rPr>
          <w:szCs w:val="22"/>
          <w:lang w:eastAsia="ja-JP"/>
        </w:rPr>
        <w:t xml:space="preserve"> look</w:t>
      </w:r>
      <w:r w:rsidR="00E912A9">
        <w:rPr>
          <w:szCs w:val="22"/>
          <w:lang w:eastAsia="ja-JP"/>
        </w:rPr>
        <w:t>ed</w:t>
      </w:r>
      <w:r w:rsidRPr="0098579A">
        <w:rPr>
          <w:szCs w:val="22"/>
          <w:lang w:eastAsia="ja-JP"/>
        </w:rPr>
        <w:t xml:space="preserve"> like for both options and </w:t>
      </w:r>
      <w:r w:rsidR="00DA2189">
        <w:rPr>
          <w:szCs w:val="22"/>
          <w:lang w:eastAsia="ja-JP"/>
        </w:rPr>
        <w:t xml:space="preserve">then </w:t>
      </w:r>
      <w:r w:rsidRPr="0098579A">
        <w:rPr>
          <w:szCs w:val="22"/>
          <w:lang w:eastAsia="ja-JP"/>
        </w:rPr>
        <w:t>choose which way to go.</w:t>
      </w:r>
    </w:p>
    <w:p w:rsidR="0098579A" w:rsidRPr="0098579A" w:rsidRDefault="00DA2189" w:rsidP="00DA2189">
      <w:pPr>
        <w:numPr>
          <w:ilvl w:val="1"/>
          <w:numId w:val="1"/>
        </w:numPr>
        <w:jc w:val="both"/>
        <w:rPr>
          <w:szCs w:val="22"/>
          <w:lang w:eastAsia="ja-JP"/>
        </w:rPr>
      </w:pPr>
      <w:r>
        <w:rPr>
          <w:szCs w:val="22"/>
          <w:lang w:eastAsia="ja-JP"/>
        </w:rPr>
        <w:t>Harry</w:t>
      </w:r>
      <w:r w:rsidR="0098579A" w:rsidRPr="0098579A">
        <w:rPr>
          <w:szCs w:val="22"/>
          <w:lang w:eastAsia="ja-JP"/>
        </w:rPr>
        <w:t xml:space="preserve">: not clear </w:t>
      </w:r>
      <w:r>
        <w:rPr>
          <w:szCs w:val="22"/>
          <w:lang w:eastAsia="ja-JP"/>
        </w:rPr>
        <w:t xml:space="preserve">about </w:t>
      </w:r>
      <w:r w:rsidR="0098579A" w:rsidRPr="0098579A">
        <w:rPr>
          <w:szCs w:val="22"/>
          <w:lang w:eastAsia="ja-JP"/>
        </w:rPr>
        <w:t xml:space="preserve">the </w:t>
      </w:r>
      <w:r>
        <w:rPr>
          <w:szCs w:val="22"/>
          <w:lang w:eastAsia="ja-JP"/>
        </w:rPr>
        <w:t>impact of the project</w:t>
      </w:r>
      <w:r w:rsidR="0098579A" w:rsidRPr="0098579A">
        <w:rPr>
          <w:szCs w:val="22"/>
          <w:lang w:eastAsia="ja-JP"/>
        </w:rPr>
        <w:t xml:space="preserve"> to the </w:t>
      </w:r>
      <w:r>
        <w:rPr>
          <w:szCs w:val="22"/>
          <w:lang w:eastAsia="ja-JP"/>
        </w:rPr>
        <w:t>specification</w:t>
      </w:r>
      <w:r w:rsidR="0098579A" w:rsidRPr="0098579A">
        <w:rPr>
          <w:szCs w:val="22"/>
          <w:lang w:eastAsia="ja-JP"/>
        </w:rPr>
        <w:t>.</w:t>
      </w:r>
    </w:p>
    <w:p w:rsidR="0098579A" w:rsidRPr="00DA2189" w:rsidRDefault="0098579A" w:rsidP="00DA2189">
      <w:pPr>
        <w:numPr>
          <w:ilvl w:val="1"/>
          <w:numId w:val="1"/>
        </w:numPr>
        <w:jc w:val="both"/>
        <w:rPr>
          <w:szCs w:val="22"/>
          <w:lang w:eastAsia="ja-JP"/>
        </w:rPr>
      </w:pPr>
      <w:r w:rsidRPr="00DA2189">
        <w:rPr>
          <w:szCs w:val="22"/>
          <w:lang w:eastAsia="ja-JP"/>
        </w:rPr>
        <w:t xml:space="preserve">Nikola: </w:t>
      </w:r>
      <w:r w:rsidR="00DA2189">
        <w:rPr>
          <w:szCs w:val="22"/>
          <w:lang w:eastAsia="ja-JP"/>
        </w:rPr>
        <w:t xml:space="preserve">amendment </w:t>
      </w:r>
      <w:r w:rsidRPr="00DA2189">
        <w:rPr>
          <w:szCs w:val="22"/>
          <w:lang w:eastAsia="ja-JP"/>
        </w:rPr>
        <w:t xml:space="preserve">reuse existing text </w:t>
      </w:r>
      <w:r w:rsidR="00DA2189">
        <w:rPr>
          <w:szCs w:val="22"/>
          <w:lang w:eastAsia="ja-JP"/>
        </w:rPr>
        <w:t xml:space="preserve">thus </w:t>
      </w:r>
      <w:r w:rsidRPr="00DA2189">
        <w:rPr>
          <w:szCs w:val="22"/>
          <w:lang w:eastAsia="ja-JP"/>
        </w:rPr>
        <w:t>making implementation easier.</w:t>
      </w:r>
    </w:p>
    <w:p w:rsidR="0098579A" w:rsidRPr="0098579A" w:rsidRDefault="00DA2189" w:rsidP="00DA2189">
      <w:pPr>
        <w:numPr>
          <w:ilvl w:val="1"/>
          <w:numId w:val="1"/>
        </w:numPr>
        <w:jc w:val="both"/>
        <w:rPr>
          <w:szCs w:val="22"/>
          <w:lang w:eastAsia="ja-JP"/>
        </w:rPr>
      </w:pPr>
      <w:r>
        <w:rPr>
          <w:szCs w:val="22"/>
          <w:lang w:eastAsia="ja-JP"/>
        </w:rPr>
        <w:t>Osama: Making LC</w:t>
      </w:r>
      <w:r w:rsidR="0098579A" w:rsidRPr="0098579A">
        <w:rPr>
          <w:szCs w:val="22"/>
          <w:lang w:eastAsia="ja-JP"/>
        </w:rPr>
        <w:t xml:space="preserve"> a</w:t>
      </w:r>
      <w:r>
        <w:rPr>
          <w:szCs w:val="22"/>
          <w:lang w:eastAsia="ja-JP"/>
        </w:rPr>
        <w:t>n</w:t>
      </w:r>
      <w:r w:rsidR="0098579A" w:rsidRPr="0098579A">
        <w:rPr>
          <w:szCs w:val="22"/>
          <w:lang w:eastAsia="ja-JP"/>
        </w:rPr>
        <w:t xml:space="preserve"> </w:t>
      </w:r>
      <w:r w:rsidRPr="0098579A">
        <w:rPr>
          <w:szCs w:val="22"/>
          <w:lang w:eastAsia="ja-JP"/>
        </w:rPr>
        <w:t>amendment</w:t>
      </w:r>
      <w:r w:rsidR="0098579A" w:rsidRPr="0098579A">
        <w:rPr>
          <w:szCs w:val="22"/>
          <w:lang w:eastAsia="ja-JP"/>
        </w:rPr>
        <w:t xml:space="preserve"> </w:t>
      </w:r>
      <w:r>
        <w:rPr>
          <w:szCs w:val="22"/>
          <w:lang w:eastAsia="ja-JP"/>
        </w:rPr>
        <w:t>is not a guarantee for</w:t>
      </w:r>
      <w:r w:rsidR="0098579A" w:rsidRPr="0098579A">
        <w:rPr>
          <w:szCs w:val="22"/>
          <w:lang w:eastAsia="ja-JP"/>
        </w:rPr>
        <w:t xml:space="preserve"> commercial success</w:t>
      </w:r>
    </w:p>
    <w:p w:rsidR="00DA2189" w:rsidRDefault="0098579A" w:rsidP="0098579A">
      <w:pPr>
        <w:numPr>
          <w:ilvl w:val="0"/>
          <w:numId w:val="1"/>
        </w:numPr>
        <w:jc w:val="both"/>
        <w:rPr>
          <w:szCs w:val="22"/>
          <w:lang w:eastAsia="ja-JP"/>
        </w:rPr>
      </w:pPr>
      <w:r w:rsidRPr="0098579A">
        <w:rPr>
          <w:szCs w:val="22"/>
          <w:lang w:eastAsia="ja-JP"/>
        </w:rPr>
        <w:t xml:space="preserve">Proposed timeline </w:t>
      </w:r>
      <w:r w:rsidR="00DA2189">
        <w:rPr>
          <w:szCs w:val="22"/>
          <w:lang w:eastAsia="ja-JP"/>
        </w:rPr>
        <w:t>for SG</w:t>
      </w:r>
    </w:p>
    <w:p w:rsidR="0098579A" w:rsidRPr="0098579A" w:rsidRDefault="00DA2189" w:rsidP="00DA2189">
      <w:pPr>
        <w:numPr>
          <w:ilvl w:val="1"/>
          <w:numId w:val="1"/>
        </w:numPr>
        <w:jc w:val="both"/>
        <w:rPr>
          <w:szCs w:val="22"/>
          <w:lang w:eastAsia="ja-JP"/>
        </w:rPr>
      </w:pPr>
      <w:r>
        <w:rPr>
          <w:szCs w:val="22"/>
          <w:lang w:eastAsia="ja-JP"/>
        </w:rPr>
        <w:t>The proposed time suggested to start the TG in</w:t>
      </w:r>
      <w:r w:rsidR="0098579A" w:rsidRPr="0098579A">
        <w:rPr>
          <w:szCs w:val="22"/>
          <w:lang w:eastAsia="ja-JP"/>
        </w:rPr>
        <w:t xml:space="preserve"> March 2018</w:t>
      </w:r>
    </w:p>
    <w:p w:rsidR="0098579A" w:rsidRDefault="0098579A" w:rsidP="00DA2189">
      <w:pPr>
        <w:numPr>
          <w:ilvl w:val="1"/>
          <w:numId w:val="1"/>
        </w:numPr>
        <w:jc w:val="both"/>
        <w:rPr>
          <w:szCs w:val="22"/>
          <w:lang w:eastAsia="ja-JP"/>
        </w:rPr>
      </w:pPr>
      <w:r w:rsidRPr="0098579A">
        <w:rPr>
          <w:szCs w:val="22"/>
          <w:lang w:eastAsia="ja-JP"/>
        </w:rPr>
        <w:t xml:space="preserve">Osama: </w:t>
      </w:r>
      <w:r w:rsidR="00DA2189">
        <w:rPr>
          <w:szCs w:val="22"/>
          <w:lang w:eastAsia="ja-JP"/>
        </w:rPr>
        <w:t xml:space="preserve">PAR generation in </w:t>
      </w:r>
      <w:r w:rsidRPr="0098579A">
        <w:rPr>
          <w:szCs w:val="22"/>
          <w:lang w:eastAsia="ja-JP"/>
        </w:rPr>
        <w:t xml:space="preserve">Jan </w:t>
      </w:r>
      <w:r w:rsidR="00DA2189">
        <w:rPr>
          <w:szCs w:val="22"/>
          <w:lang w:eastAsia="ja-JP"/>
        </w:rPr>
        <w:t>18</w:t>
      </w:r>
      <w:r w:rsidRPr="0098579A">
        <w:rPr>
          <w:szCs w:val="22"/>
          <w:lang w:eastAsia="ja-JP"/>
        </w:rPr>
        <w:t>-&gt; submission (1m</w:t>
      </w:r>
      <w:r w:rsidR="00DA2189">
        <w:rPr>
          <w:szCs w:val="22"/>
          <w:lang w:eastAsia="ja-JP"/>
        </w:rPr>
        <w:t>onth before march) -&gt; March -&gt; S</w:t>
      </w:r>
      <w:r w:rsidRPr="0098579A">
        <w:rPr>
          <w:szCs w:val="22"/>
          <w:lang w:eastAsia="ja-JP"/>
        </w:rPr>
        <w:t xml:space="preserve">tart </w:t>
      </w:r>
      <w:r w:rsidR="00DA2189">
        <w:rPr>
          <w:szCs w:val="22"/>
          <w:lang w:eastAsia="ja-JP"/>
        </w:rPr>
        <w:t xml:space="preserve">TG </w:t>
      </w:r>
      <w:r w:rsidRPr="0098579A">
        <w:rPr>
          <w:szCs w:val="22"/>
          <w:lang w:eastAsia="ja-JP"/>
        </w:rPr>
        <w:t>in May</w:t>
      </w:r>
    </w:p>
    <w:p w:rsidR="00226AE3" w:rsidRDefault="00DA2189" w:rsidP="00DA2189">
      <w:pPr>
        <w:numPr>
          <w:ilvl w:val="1"/>
          <w:numId w:val="1"/>
        </w:numPr>
        <w:jc w:val="both"/>
        <w:rPr>
          <w:szCs w:val="22"/>
          <w:lang w:eastAsia="ja-JP"/>
        </w:rPr>
      </w:pPr>
      <w:r>
        <w:rPr>
          <w:szCs w:val="22"/>
          <w:lang w:eastAsia="ja-JP"/>
        </w:rPr>
        <w:t xml:space="preserve">Further discussion on the timeline and </w:t>
      </w:r>
    </w:p>
    <w:p w:rsidR="00DA2189" w:rsidRDefault="00DA2189" w:rsidP="00DA2189">
      <w:pPr>
        <w:numPr>
          <w:ilvl w:val="1"/>
          <w:numId w:val="1"/>
        </w:numPr>
        <w:jc w:val="both"/>
        <w:rPr>
          <w:szCs w:val="22"/>
          <w:lang w:eastAsia="ja-JP"/>
        </w:rPr>
      </w:pPr>
      <w:r>
        <w:rPr>
          <w:szCs w:val="22"/>
          <w:lang w:eastAsia="ja-JP"/>
        </w:rPr>
        <w:t>Nikola updated the proposed timeline in 17-11/</w:t>
      </w:r>
      <w:r w:rsidR="00226AE3">
        <w:rPr>
          <w:szCs w:val="22"/>
          <w:lang w:eastAsia="ja-JP"/>
        </w:rPr>
        <w:t>1477r2</w:t>
      </w:r>
    </w:p>
    <w:p w:rsidR="00226AE3" w:rsidRDefault="00226AE3" w:rsidP="006A798C">
      <w:pPr>
        <w:jc w:val="both"/>
        <w:rPr>
          <w:szCs w:val="22"/>
          <w:lang w:eastAsia="ja-JP"/>
        </w:rPr>
      </w:pPr>
    </w:p>
    <w:p w:rsidR="006A798C" w:rsidRPr="006A798C" w:rsidRDefault="006A798C" w:rsidP="006A798C">
      <w:pPr>
        <w:jc w:val="both"/>
        <w:rPr>
          <w:rFonts w:eastAsiaTheme="minorEastAsia"/>
          <w:szCs w:val="22"/>
          <w:u w:val="single"/>
          <w:lang w:eastAsia="zh-CN"/>
        </w:rPr>
      </w:pPr>
      <w:r w:rsidRPr="006A798C">
        <w:rPr>
          <w:rFonts w:eastAsiaTheme="minorEastAsia" w:hint="eastAsia"/>
          <w:szCs w:val="22"/>
          <w:u w:val="single"/>
          <w:lang w:eastAsia="zh-CN"/>
        </w:rPr>
        <w:t>Proposed timeline</w:t>
      </w:r>
    </w:p>
    <w:p w:rsidR="006A798C" w:rsidRPr="000977AC" w:rsidRDefault="006A798C" w:rsidP="006A798C">
      <w:pPr>
        <w:jc w:val="both"/>
        <w:rPr>
          <w:i/>
          <w:sz w:val="24"/>
          <w:szCs w:val="24"/>
          <w:lang w:eastAsia="ja-JP"/>
        </w:rPr>
      </w:pPr>
      <w:r w:rsidRPr="000977AC">
        <w:rPr>
          <w:i/>
          <w:sz w:val="24"/>
          <w:szCs w:val="24"/>
          <w:lang w:eastAsia="ja-JP"/>
        </w:rPr>
        <w:t>Sept. 2017</w:t>
      </w:r>
    </w:p>
    <w:p w:rsidR="006A798C" w:rsidRPr="000977AC" w:rsidRDefault="006A798C" w:rsidP="000977AC">
      <w:pPr>
        <w:pStyle w:val="ListParagraph"/>
        <w:numPr>
          <w:ilvl w:val="0"/>
          <w:numId w:val="30"/>
        </w:numPr>
        <w:jc w:val="both"/>
        <w:rPr>
          <w:rFonts w:ascii="Times New Roman" w:hAnsi="Times New Roman" w:cs="Times New Roman"/>
          <w:i/>
        </w:rPr>
      </w:pPr>
      <w:r w:rsidRPr="000977AC">
        <w:rPr>
          <w:rFonts w:ascii="Times New Roman" w:hAnsi="Times New Roman" w:cs="Times New Roman"/>
          <w:i/>
        </w:rPr>
        <w:t>Use-cases and usage scenario discussion</w:t>
      </w:r>
    </w:p>
    <w:p w:rsidR="006A798C" w:rsidRPr="000977AC" w:rsidRDefault="000977AC" w:rsidP="000977AC">
      <w:pPr>
        <w:pStyle w:val="ListParagraph"/>
        <w:numPr>
          <w:ilvl w:val="0"/>
          <w:numId w:val="30"/>
        </w:numPr>
        <w:jc w:val="both"/>
        <w:rPr>
          <w:rFonts w:ascii="Times New Roman" w:hAnsi="Times New Roman" w:cs="Times New Roman"/>
          <w:i/>
        </w:rPr>
      </w:pPr>
      <w:r>
        <w:rPr>
          <w:rFonts w:ascii="Times New Roman" w:hAnsi="Times New Roman" w:cs="Times New Roman"/>
          <w:i/>
        </w:rPr>
        <w:t>Amendment or stand</w:t>
      </w:r>
      <w:r w:rsidR="006A798C" w:rsidRPr="000977AC">
        <w:rPr>
          <w:rFonts w:ascii="Times New Roman" w:hAnsi="Times New Roman" w:cs="Times New Roman"/>
          <w:i/>
        </w:rPr>
        <w:t>alone standard?</w:t>
      </w:r>
    </w:p>
    <w:p w:rsidR="006A798C" w:rsidRPr="000977AC" w:rsidRDefault="006A798C" w:rsidP="000977AC">
      <w:pPr>
        <w:pStyle w:val="ListParagraph"/>
        <w:numPr>
          <w:ilvl w:val="0"/>
          <w:numId w:val="30"/>
        </w:numPr>
        <w:jc w:val="both"/>
        <w:rPr>
          <w:rFonts w:ascii="Times New Roman" w:hAnsi="Times New Roman" w:cs="Times New Roman"/>
          <w:i/>
        </w:rPr>
      </w:pPr>
      <w:r w:rsidRPr="000977AC">
        <w:rPr>
          <w:rFonts w:ascii="Times New Roman" w:hAnsi="Times New Roman" w:cs="Times New Roman"/>
          <w:i/>
        </w:rPr>
        <w:t>Request for clarification from SA on LoA applicability to stand alone standard</w:t>
      </w:r>
    </w:p>
    <w:p w:rsidR="006A798C" w:rsidRPr="000977AC" w:rsidRDefault="006A798C" w:rsidP="006A798C">
      <w:pPr>
        <w:jc w:val="both"/>
        <w:rPr>
          <w:i/>
          <w:sz w:val="24"/>
          <w:szCs w:val="24"/>
          <w:lang w:eastAsia="ja-JP"/>
        </w:rPr>
      </w:pPr>
      <w:r w:rsidRPr="000977AC">
        <w:rPr>
          <w:i/>
          <w:sz w:val="24"/>
          <w:szCs w:val="24"/>
          <w:lang w:eastAsia="ja-JP"/>
        </w:rPr>
        <w:t>Nov. 2017</w:t>
      </w:r>
    </w:p>
    <w:p w:rsidR="006A798C" w:rsidRPr="000977AC" w:rsidRDefault="006A798C" w:rsidP="000977AC">
      <w:pPr>
        <w:pStyle w:val="ListParagraph"/>
        <w:numPr>
          <w:ilvl w:val="0"/>
          <w:numId w:val="30"/>
        </w:numPr>
        <w:jc w:val="both"/>
        <w:rPr>
          <w:rFonts w:ascii="Times New Roman" w:hAnsi="Times New Roman" w:cs="Times New Roman"/>
          <w:i/>
        </w:rPr>
      </w:pPr>
      <w:r w:rsidRPr="000977AC">
        <w:rPr>
          <w:rFonts w:ascii="Times New Roman" w:hAnsi="Times New Roman" w:cs="Times New Roman"/>
          <w:i/>
        </w:rPr>
        <w:t>Use-cases, usage scenarios and technical considerations for scope</w:t>
      </w:r>
    </w:p>
    <w:p w:rsidR="006A798C" w:rsidRPr="000977AC" w:rsidRDefault="006A798C" w:rsidP="000977AC">
      <w:pPr>
        <w:pStyle w:val="ListParagraph"/>
        <w:numPr>
          <w:ilvl w:val="0"/>
          <w:numId w:val="30"/>
        </w:numPr>
        <w:jc w:val="both"/>
        <w:rPr>
          <w:rFonts w:ascii="Times New Roman" w:hAnsi="Times New Roman" w:cs="Times New Roman"/>
          <w:i/>
        </w:rPr>
      </w:pPr>
      <w:r w:rsidRPr="000977AC">
        <w:rPr>
          <w:rFonts w:ascii="Times New Roman" w:hAnsi="Times New Roman" w:cs="Times New Roman"/>
          <w:i/>
        </w:rPr>
        <w:t>Draft 1 for PAR and CSD documents</w:t>
      </w:r>
    </w:p>
    <w:p w:rsidR="006A798C" w:rsidRPr="000977AC" w:rsidRDefault="006A798C" w:rsidP="006A798C">
      <w:pPr>
        <w:jc w:val="both"/>
        <w:rPr>
          <w:i/>
          <w:sz w:val="24"/>
          <w:szCs w:val="24"/>
          <w:lang w:eastAsia="ja-JP"/>
        </w:rPr>
      </w:pPr>
      <w:r w:rsidRPr="000977AC">
        <w:rPr>
          <w:i/>
          <w:sz w:val="24"/>
          <w:szCs w:val="24"/>
          <w:lang w:eastAsia="ja-JP"/>
        </w:rPr>
        <w:lastRenderedPageBreak/>
        <w:t>Jan. 2018</w:t>
      </w:r>
    </w:p>
    <w:p w:rsidR="006A798C" w:rsidRPr="000977AC" w:rsidRDefault="006A798C" w:rsidP="000977AC">
      <w:pPr>
        <w:pStyle w:val="ListParagraph"/>
        <w:numPr>
          <w:ilvl w:val="0"/>
          <w:numId w:val="30"/>
        </w:numPr>
        <w:jc w:val="both"/>
        <w:rPr>
          <w:rFonts w:ascii="Times New Roman" w:hAnsi="Times New Roman" w:cs="Times New Roman"/>
          <w:i/>
        </w:rPr>
      </w:pPr>
      <w:r w:rsidRPr="000977AC">
        <w:rPr>
          <w:rFonts w:ascii="Times New Roman" w:hAnsi="Times New Roman" w:cs="Times New Roman"/>
          <w:i/>
        </w:rPr>
        <w:t>Agree PAR and CSD document for circulation within the 802.11 WG</w:t>
      </w:r>
    </w:p>
    <w:p w:rsidR="006A798C" w:rsidRPr="000977AC" w:rsidRDefault="006A798C" w:rsidP="000977AC">
      <w:pPr>
        <w:pStyle w:val="ListParagraph"/>
        <w:numPr>
          <w:ilvl w:val="0"/>
          <w:numId w:val="30"/>
        </w:numPr>
        <w:jc w:val="both"/>
        <w:rPr>
          <w:rFonts w:ascii="Times New Roman" w:hAnsi="Times New Roman" w:cs="Times New Roman"/>
          <w:i/>
        </w:rPr>
      </w:pPr>
      <w:r w:rsidRPr="000977AC">
        <w:rPr>
          <w:rFonts w:ascii="Times New Roman" w:hAnsi="Times New Roman" w:cs="Times New Roman"/>
          <w:i/>
        </w:rPr>
        <w:t>Submit to the EC for consideration 30 days before the EC meeting at the end of March plenary</w:t>
      </w:r>
    </w:p>
    <w:p w:rsidR="006A798C" w:rsidRPr="000977AC" w:rsidRDefault="006A798C" w:rsidP="006A798C">
      <w:pPr>
        <w:jc w:val="both"/>
        <w:rPr>
          <w:i/>
          <w:sz w:val="24"/>
          <w:szCs w:val="24"/>
          <w:lang w:eastAsia="ja-JP"/>
        </w:rPr>
      </w:pPr>
      <w:r w:rsidRPr="000977AC">
        <w:rPr>
          <w:i/>
          <w:sz w:val="24"/>
          <w:szCs w:val="24"/>
          <w:lang w:eastAsia="ja-JP"/>
        </w:rPr>
        <w:t>Mar. 2018</w:t>
      </w:r>
    </w:p>
    <w:p w:rsidR="006A798C" w:rsidRPr="000977AC" w:rsidRDefault="006A798C" w:rsidP="000977AC">
      <w:pPr>
        <w:pStyle w:val="ListParagraph"/>
        <w:numPr>
          <w:ilvl w:val="0"/>
          <w:numId w:val="30"/>
        </w:numPr>
        <w:jc w:val="both"/>
        <w:rPr>
          <w:rFonts w:ascii="Times New Roman" w:hAnsi="Times New Roman" w:cs="Times New Roman"/>
          <w:i/>
        </w:rPr>
      </w:pPr>
      <w:r w:rsidRPr="000977AC">
        <w:rPr>
          <w:rFonts w:ascii="Times New Roman" w:hAnsi="Times New Roman" w:cs="Times New Roman"/>
          <w:i/>
        </w:rPr>
        <w:t>Comments and approval of PAR by the EC</w:t>
      </w:r>
    </w:p>
    <w:p w:rsidR="006A798C" w:rsidRPr="000977AC" w:rsidRDefault="006A798C" w:rsidP="006A798C">
      <w:pPr>
        <w:jc w:val="both"/>
        <w:rPr>
          <w:i/>
          <w:sz w:val="24"/>
          <w:szCs w:val="24"/>
          <w:lang w:eastAsia="ja-JP"/>
        </w:rPr>
      </w:pPr>
      <w:r w:rsidRPr="000977AC">
        <w:rPr>
          <w:i/>
          <w:sz w:val="24"/>
          <w:szCs w:val="24"/>
          <w:lang w:eastAsia="ja-JP"/>
        </w:rPr>
        <w:t>May 2018</w:t>
      </w:r>
    </w:p>
    <w:p w:rsidR="006A798C" w:rsidRPr="000977AC" w:rsidRDefault="006A798C" w:rsidP="000977AC">
      <w:pPr>
        <w:pStyle w:val="ListParagraph"/>
        <w:numPr>
          <w:ilvl w:val="0"/>
          <w:numId w:val="30"/>
        </w:numPr>
        <w:jc w:val="both"/>
        <w:rPr>
          <w:rFonts w:ascii="Times New Roman" w:hAnsi="Times New Roman" w:cs="Times New Roman"/>
          <w:i/>
        </w:rPr>
      </w:pPr>
      <w:r w:rsidRPr="000977AC">
        <w:rPr>
          <w:rFonts w:ascii="Times New Roman" w:hAnsi="Times New Roman" w:cs="Times New Roman"/>
          <w:i/>
        </w:rPr>
        <w:t>Start of a Task Group</w:t>
      </w:r>
    </w:p>
    <w:p w:rsidR="006A798C" w:rsidRPr="006A798C" w:rsidRDefault="006A798C" w:rsidP="006A798C">
      <w:pPr>
        <w:jc w:val="both"/>
        <w:rPr>
          <w:szCs w:val="22"/>
          <w:lang w:eastAsia="ja-JP"/>
        </w:rPr>
      </w:pPr>
    </w:p>
    <w:p w:rsidR="006A798C" w:rsidRPr="0098579A" w:rsidRDefault="006A798C" w:rsidP="006A798C">
      <w:pPr>
        <w:jc w:val="both"/>
        <w:rPr>
          <w:szCs w:val="22"/>
          <w:lang w:eastAsia="ja-JP"/>
        </w:rPr>
      </w:pPr>
    </w:p>
    <w:p w:rsidR="00226AE3" w:rsidRDefault="00226AE3" w:rsidP="00226AE3">
      <w:pPr>
        <w:numPr>
          <w:ilvl w:val="0"/>
          <w:numId w:val="1"/>
        </w:numPr>
        <w:suppressAutoHyphens w:val="0"/>
        <w:spacing w:after="160" w:line="252" w:lineRule="auto"/>
        <w:contextualSpacing/>
        <w:rPr>
          <w:rFonts w:eastAsia="Times New Roman"/>
          <w:lang w:val="en-GB"/>
        </w:rPr>
      </w:pPr>
      <w:r>
        <w:rPr>
          <w:rFonts w:eastAsia="Times New Roman"/>
          <w:lang w:val="en-GB"/>
        </w:rPr>
        <w:t>John presented doc. 11-17/1470r0</w:t>
      </w:r>
    </w:p>
    <w:p w:rsidR="00226AE3" w:rsidRDefault="00226AE3" w:rsidP="00226AE3">
      <w:pPr>
        <w:numPr>
          <w:ilvl w:val="1"/>
          <w:numId w:val="1"/>
        </w:numPr>
        <w:suppressAutoHyphens w:val="0"/>
        <w:spacing w:after="160" w:line="252" w:lineRule="auto"/>
        <w:contextualSpacing/>
        <w:rPr>
          <w:rFonts w:eastAsia="Times New Roman"/>
          <w:lang w:val="en-GB"/>
        </w:rPr>
      </w:pPr>
      <w:r>
        <w:rPr>
          <w:rFonts w:eastAsia="Times New Roman"/>
          <w:lang w:val="en-GB"/>
        </w:rPr>
        <w:t xml:space="preserve">Jaesung Cha asked why should hundreds of Mbps be the target rather than the 10s Gbps for the 802.15.13 </w:t>
      </w:r>
    </w:p>
    <w:p w:rsidR="00226AE3" w:rsidRDefault="00226AE3" w:rsidP="00226AE3">
      <w:pPr>
        <w:numPr>
          <w:ilvl w:val="1"/>
          <w:numId w:val="1"/>
        </w:numPr>
        <w:suppressAutoHyphens w:val="0"/>
        <w:spacing w:after="160" w:line="252" w:lineRule="auto"/>
        <w:contextualSpacing/>
        <w:rPr>
          <w:rFonts w:eastAsia="Times New Roman"/>
          <w:lang w:val="en-GB"/>
        </w:rPr>
      </w:pPr>
      <w:r>
        <w:rPr>
          <w:rFonts w:eastAsia="Times New Roman"/>
          <w:lang w:val="en-GB"/>
        </w:rPr>
        <w:t xml:space="preserve">John – the need for laser diodes to achieve several 10s Gbps, while LEDs can be used to achieve hundreds of Mbps. </w:t>
      </w:r>
    </w:p>
    <w:p w:rsidR="00226AE3" w:rsidRDefault="00226AE3" w:rsidP="00226AE3">
      <w:pPr>
        <w:numPr>
          <w:ilvl w:val="1"/>
          <w:numId w:val="1"/>
        </w:numPr>
        <w:suppressAutoHyphens w:val="0"/>
        <w:spacing w:after="160" w:line="252" w:lineRule="auto"/>
        <w:contextualSpacing/>
        <w:rPr>
          <w:rFonts w:eastAsia="Times New Roman"/>
          <w:lang w:val="en-GB"/>
        </w:rPr>
      </w:pPr>
      <w:r>
        <w:rPr>
          <w:rFonts w:eastAsia="Times New Roman"/>
          <w:lang w:val="en-GB"/>
        </w:rPr>
        <w:t>Osama raised the issue why talk about hundreds of Mbps</w:t>
      </w:r>
    </w:p>
    <w:p w:rsidR="00226AE3" w:rsidRDefault="00226AE3" w:rsidP="00226AE3">
      <w:pPr>
        <w:numPr>
          <w:ilvl w:val="1"/>
          <w:numId w:val="1"/>
        </w:numPr>
        <w:suppressAutoHyphens w:val="0"/>
        <w:spacing w:after="160" w:line="252" w:lineRule="auto"/>
        <w:contextualSpacing/>
        <w:rPr>
          <w:rFonts w:eastAsia="Times New Roman"/>
          <w:lang w:val="en-GB"/>
        </w:rPr>
      </w:pPr>
      <w:r>
        <w:rPr>
          <w:rFonts w:eastAsia="Times New Roman"/>
          <w:lang w:val="en-GB"/>
        </w:rPr>
        <w:t>John argued that this matters only based on the lighting technology and therefore LEDs can achieve that. However, with LC you can provide very high data densities</w:t>
      </w:r>
    </w:p>
    <w:p w:rsidR="00226AE3" w:rsidRDefault="00226AE3" w:rsidP="00226AE3">
      <w:pPr>
        <w:numPr>
          <w:ilvl w:val="1"/>
          <w:numId w:val="1"/>
        </w:numPr>
        <w:suppressAutoHyphens w:val="0"/>
        <w:spacing w:after="160" w:line="252" w:lineRule="auto"/>
        <w:contextualSpacing/>
        <w:rPr>
          <w:rFonts w:eastAsia="Times New Roman"/>
          <w:lang w:val="en-GB"/>
        </w:rPr>
      </w:pPr>
      <w:r>
        <w:rPr>
          <w:rFonts w:eastAsia="Times New Roman"/>
          <w:lang w:val="en-GB"/>
        </w:rPr>
        <w:t>Osama questioned the security benefits of LC relative to WiFi</w:t>
      </w:r>
    </w:p>
    <w:p w:rsidR="00226AE3" w:rsidRDefault="00226AE3" w:rsidP="00226AE3">
      <w:pPr>
        <w:numPr>
          <w:ilvl w:val="1"/>
          <w:numId w:val="1"/>
        </w:numPr>
        <w:suppressAutoHyphens w:val="0"/>
        <w:spacing w:after="160" w:line="252" w:lineRule="auto"/>
        <w:contextualSpacing/>
        <w:rPr>
          <w:rFonts w:eastAsia="Times New Roman"/>
          <w:lang w:val="en-GB"/>
        </w:rPr>
      </w:pPr>
      <w:r>
        <w:rPr>
          <w:rFonts w:eastAsia="Times New Roman"/>
          <w:lang w:val="en-GB"/>
        </w:rPr>
        <w:t xml:space="preserve">Nikola discussed the area spectral efficiency and the security benefits </w:t>
      </w:r>
    </w:p>
    <w:p w:rsidR="00226AE3" w:rsidRDefault="00226AE3" w:rsidP="00226AE3">
      <w:pPr>
        <w:numPr>
          <w:ilvl w:val="2"/>
          <w:numId w:val="1"/>
        </w:numPr>
        <w:suppressAutoHyphens w:val="0"/>
        <w:spacing w:after="160" w:line="252" w:lineRule="auto"/>
        <w:contextualSpacing/>
        <w:rPr>
          <w:rFonts w:eastAsia="Times New Roman"/>
          <w:lang w:val="en-GB"/>
        </w:rPr>
      </w:pPr>
      <w:r>
        <w:rPr>
          <w:rFonts w:eastAsia="Times New Roman"/>
          <w:lang w:val="en-GB"/>
        </w:rPr>
        <w:t xml:space="preserve">CONTRIBUTION ON THE </w:t>
      </w:r>
      <w:r w:rsidR="000977AC">
        <w:rPr>
          <w:rFonts w:eastAsia="Times New Roman"/>
          <w:lang w:val="en-GB"/>
        </w:rPr>
        <w:t xml:space="preserve">Area </w:t>
      </w:r>
      <w:r>
        <w:rPr>
          <w:rFonts w:eastAsia="Times New Roman"/>
          <w:lang w:val="en-GB"/>
        </w:rPr>
        <w:t>S</w:t>
      </w:r>
      <w:r w:rsidR="000977AC">
        <w:rPr>
          <w:rFonts w:eastAsia="Times New Roman"/>
          <w:lang w:val="en-GB"/>
        </w:rPr>
        <w:t xml:space="preserve">pectral </w:t>
      </w:r>
      <w:r>
        <w:rPr>
          <w:rFonts w:eastAsia="Times New Roman"/>
          <w:lang w:val="en-GB"/>
        </w:rPr>
        <w:t>E</w:t>
      </w:r>
      <w:r w:rsidR="000977AC">
        <w:rPr>
          <w:rFonts w:eastAsia="Times New Roman"/>
          <w:lang w:val="en-GB"/>
        </w:rPr>
        <w:t>fficiency</w:t>
      </w:r>
      <w:r>
        <w:rPr>
          <w:rFonts w:eastAsia="Times New Roman"/>
          <w:lang w:val="en-GB"/>
        </w:rPr>
        <w:t xml:space="preserve"> AND THE SECURITY (SECRECY RATE) SHOULD BE CONTRIBUTED</w:t>
      </w:r>
    </w:p>
    <w:p w:rsidR="00226AE3" w:rsidRDefault="00226AE3" w:rsidP="00226AE3">
      <w:pPr>
        <w:numPr>
          <w:ilvl w:val="1"/>
          <w:numId w:val="1"/>
        </w:numPr>
        <w:suppressAutoHyphens w:val="0"/>
        <w:spacing w:after="160" w:line="252" w:lineRule="auto"/>
        <w:contextualSpacing/>
        <w:rPr>
          <w:rFonts w:eastAsia="Times New Roman"/>
          <w:lang w:val="en-GB"/>
        </w:rPr>
      </w:pPr>
      <w:r>
        <w:rPr>
          <w:rFonts w:eastAsia="Times New Roman"/>
          <w:lang w:val="en-GB"/>
        </w:rPr>
        <w:t>Chrisophe (Lucibel) argued that the choice of the lighting technology may not be appropriate now because the overall cost of laser diodes is decreasing and is likely to continue falling in the coming years.</w:t>
      </w:r>
    </w:p>
    <w:p w:rsidR="00226AE3" w:rsidRDefault="00226AE3" w:rsidP="00226AE3">
      <w:pPr>
        <w:numPr>
          <w:ilvl w:val="1"/>
          <w:numId w:val="1"/>
        </w:numPr>
        <w:suppressAutoHyphens w:val="0"/>
        <w:spacing w:after="160" w:line="252" w:lineRule="auto"/>
        <w:contextualSpacing/>
        <w:rPr>
          <w:rFonts w:eastAsia="Times New Roman"/>
          <w:lang w:val="en-GB"/>
        </w:rPr>
      </w:pPr>
      <w:r>
        <w:rPr>
          <w:rFonts w:eastAsia="Times New Roman"/>
          <w:lang w:val="en-GB"/>
        </w:rPr>
        <w:t xml:space="preserve">Jianmin Chen (Huawei) argued that this is maximum data rate should be changed to be a range of data rates for the standard. </w:t>
      </w:r>
    </w:p>
    <w:p w:rsidR="00226AE3" w:rsidRDefault="00226AE3" w:rsidP="00226AE3">
      <w:pPr>
        <w:numPr>
          <w:ilvl w:val="1"/>
          <w:numId w:val="1"/>
        </w:numPr>
        <w:suppressAutoHyphens w:val="0"/>
        <w:spacing w:after="160" w:line="252" w:lineRule="auto"/>
        <w:contextualSpacing/>
        <w:rPr>
          <w:rFonts w:eastAsia="Times New Roman"/>
          <w:lang w:val="en-GB"/>
        </w:rPr>
      </w:pPr>
      <w:r>
        <w:rPr>
          <w:rFonts w:eastAsia="Times New Roman"/>
          <w:lang w:val="en-GB"/>
        </w:rPr>
        <w:t xml:space="preserve">Volker mentioned that the lighting devices could have a very broad range and should be adjustable in the future. </w:t>
      </w:r>
    </w:p>
    <w:p w:rsidR="00226AE3" w:rsidRDefault="00226AE3" w:rsidP="00226AE3">
      <w:pPr>
        <w:numPr>
          <w:ilvl w:val="1"/>
          <w:numId w:val="1"/>
        </w:numPr>
        <w:suppressAutoHyphens w:val="0"/>
        <w:spacing w:after="160" w:line="252" w:lineRule="auto"/>
        <w:contextualSpacing/>
        <w:rPr>
          <w:rFonts w:eastAsia="Times New Roman"/>
          <w:lang w:val="en-GB"/>
        </w:rPr>
      </w:pPr>
      <w:r>
        <w:rPr>
          <w:rFonts w:eastAsia="Times New Roman"/>
          <w:lang w:val="en-GB"/>
        </w:rPr>
        <w:t>Rui (InterDigital) – asked about the hybrid RF and LC aggregation</w:t>
      </w:r>
    </w:p>
    <w:p w:rsidR="00226AE3" w:rsidRDefault="00226AE3" w:rsidP="00226AE3">
      <w:pPr>
        <w:numPr>
          <w:ilvl w:val="1"/>
          <w:numId w:val="1"/>
        </w:numPr>
        <w:suppressAutoHyphens w:val="0"/>
        <w:spacing w:after="160" w:line="252" w:lineRule="auto"/>
        <w:contextualSpacing/>
        <w:rPr>
          <w:rFonts w:eastAsia="Times New Roman"/>
          <w:lang w:val="en-GB"/>
        </w:rPr>
      </w:pPr>
      <w:r>
        <w:rPr>
          <w:rFonts w:eastAsia="Times New Roman"/>
          <w:lang w:val="en-GB"/>
        </w:rPr>
        <w:t>John suggested that there is very good synergy if the hybrid solution is provided/accommodated by the standard with growing prototypes about the aggregation, however, requires more studies.</w:t>
      </w:r>
    </w:p>
    <w:p w:rsidR="00226AE3" w:rsidRDefault="00226AE3" w:rsidP="00226AE3">
      <w:pPr>
        <w:numPr>
          <w:ilvl w:val="1"/>
          <w:numId w:val="1"/>
        </w:numPr>
        <w:suppressAutoHyphens w:val="0"/>
        <w:spacing w:after="160" w:line="252" w:lineRule="auto"/>
        <w:contextualSpacing/>
        <w:rPr>
          <w:rFonts w:eastAsia="Times New Roman"/>
          <w:lang w:val="en-GB"/>
        </w:rPr>
      </w:pPr>
      <w:r>
        <w:rPr>
          <w:rFonts w:eastAsia="Times New Roman"/>
          <w:lang w:val="en-GB"/>
        </w:rPr>
        <w:t>Rui mentioned that the aggregation should be considered as to where that aggregation happens (baseband, MAC or network layer)</w:t>
      </w:r>
    </w:p>
    <w:p w:rsidR="00226AE3" w:rsidRDefault="00226AE3" w:rsidP="00226AE3">
      <w:pPr>
        <w:numPr>
          <w:ilvl w:val="1"/>
          <w:numId w:val="1"/>
        </w:numPr>
        <w:suppressAutoHyphens w:val="0"/>
        <w:spacing w:after="160" w:line="252" w:lineRule="auto"/>
        <w:contextualSpacing/>
        <w:rPr>
          <w:rFonts w:eastAsia="Times New Roman"/>
          <w:lang w:val="en-GB"/>
        </w:rPr>
      </w:pPr>
      <w:r>
        <w:rPr>
          <w:rFonts w:eastAsia="Times New Roman"/>
          <w:lang w:val="en-GB"/>
        </w:rPr>
        <w:t xml:space="preserve">Rui </w:t>
      </w:r>
      <w:r w:rsidR="000977AC">
        <w:rPr>
          <w:rFonts w:eastAsia="Times New Roman"/>
          <w:lang w:val="en-GB"/>
        </w:rPr>
        <w:t>considered</w:t>
      </w:r>
      <w:r>
        <w:rPr>
          <w:rFonts w:eastAsia="Times New Roman"/>
          <w:lang w:val="en-GB"/>
        </w:rPr>
        <w:t xml:space="preserve"> if the uplink and downlink could be aggregated</w:t>
      </w:r>
    </w:p>
    <w:p w:rsidR="00226AE3" w:rsidRDefault="00226AE3" w:rsidP="00226AE3">
      <w:pPr>
        <w:numPr>
          <w:ilvl w:val="1"/>
          <w:numId w:val="1"/>
        </w:numPr>
        <w:suppressAutoHyphens w:val="0"/>
        <w:spacing w:after="160" w:line="252" w:lineRule="auto"/>
        <w:contextualSpacing/>
        <w:rPr>
          <w:rFonts w:eastAsia="Times New Roman"/>
          <w:lang w:val="en-GB"/>
        </w:rPr>
      </w:pPr>
      <w:r>
        <w:rPr>
          <w:rFonts w:eastAsia="Times New Roman"/>
          <w:lang w:val="en-GB"/>
        </w:rPr>
        <w:t>Volker commented on the FDD light operation – what would this full duplex operation be on the 802.11 standard, would this be a major change or a minor change?</w:t>
      </w:r>
    </w:p>
    <w:p w:rsidR="00226AE3" w:rsidRDefault="00226AE3" w:rsidP="00226AE3">
      <w:pPr>
        <w:numPr>
          <w:ilvl w:val="1"/>
          <w:numId w:val="1"/>
        </w:numPr>
        <w:suppressAutoHyphens w:val="0"/>
        <w:spacing w:after="160" w:line="252" w:lineRule="auto"/>
        <w:contextualSpacing/>
        <w:rPr>
          <w:rFonts w:eastAsia="Times New Roman"/>
          <w:lang w:val="en-GB"/>
        </w:rPr>
      </w:pPr>
      <w:r>
        <w:rPr>
          <w:rFonts w:eastAsia="Times New Roman"/>
          <w:lang w:val="en-GB"/>
        </w:rPr>
        <w:t xml:space="preserve">Nikola commented that this is an architecture question that may or may not cause a change to the existing 802.11 MAC. </w:t>
      </w:r>
    </w:p>
    <w:p w:rsidR="00226AE3" w:rsidRPr="00226AE3" w:rsidRDefault="00226AE3" w:rsidP="00226AE3">
      <w:pPr>
        <w:suppressAutoHyphens w:val="0"/>
        <w:spacing w:after="160" w:line="252" w:lineRule="auto"/>
        <w:ind w:left="360"/>
        <w:contextualSpacing/>
        <w:rPr>
          <w:rFonts w:eastAsia="Times New Roman"/>
          <w:lang w:val="en-GB"/>
        </w:rPr>
      </w:pPr>
    </w:p>
    <w:p w:rsidR="00226AE3" w:rsidRPr="00226AE3" w:rsidRDefault="00226AE3" w:rsidP="00226AE3">
      <w:pPr>
        <w:numPr>
          <w:ilvl w:val="0"/>
          <w:numId w:val="1"/>
        </w:numPr>
        <w:suppressAutoHyphens w:val="0"/>
        <w:spacing w:after="160" w:line="252" w:lineRule="auto"/>
        <w:contextualSpacing/>
        <w:rPr>
          <w:rFonts w:eastAsia="Times New Roman"/>
          <w:lang w:val="en-GB"/>
        </w:rPr>
      </w:pPr>
      <w:r w:rsidRPr="00226AE3">
        <w:rPr>
          <w:rFonts w:eastAsia="Times New Roman" w:hint="eastAsia"/>
          <w:lang w:val="en-GB"/>
        </w:rPr>
        <w:t>Meeting recessed</w:t>
      </w:r>
    </w:p>
    <w:p w:rsidR="00794AD8" w:rsidRPr="00226AE3" w:rsidRDefault="00794AD8" w:rsidP="00DA2189">
      <w:pPr>
        <w:jc w:val="both"/>
        <w:rPr>
          <w:lang w:val="en-GB"/>
        </w:rPr>
      </w:pPr>
    </w:p>
    <w:p w:rsidR="00226AE3" w:rsidRDefault="00226AE3" w:rsidP="00DA2189">
      <w:pPr>
        <w:jc w:val="both"/>
      </w:pPr>
    </w:p>
    <w:p w:rsidR="00226AE3" w:rsidRDefault="00226AE3" w:rsidP="00DA2189">
      <w:pPr>
        <w:jc w:val="both"/>
      </w:pPr>
    </w:p>
    <w:p w:rsidR="00226AE3" w:rsidRPr="000E7898" w:rsidRDefault="00226AE3" w:rsidP="00226AE3">
      <w:pPr>
        <w:outlineLvl w:val="0"/>
        <w:rPr>
          <w:b/>
          <w:sz w:val="28"/>
          <w:u w:val="single"/>
          <w:lang w:eastAsia="ja-JP"/>
        </w:rPr>
      </w:pPr>
      <w:r>
        <w:rPr>
          <w:b/>
          <w:sz w:val="28"/>
          <w:u w:val="single"/>
          <w:lang w:eastAsia="ja-JP"/>
        </w:rPr>
        <w:t>Tuesday</w:t>
      </w:r>
      <w:r w:rsidRPr="000E7898">
        <w:rPr>
          <w:b/>
          <w:sz w:val="28"/>
          <w:u w:val="single"/>
          <w:lang w:eastAsia="ja-JP"/>
        </w:rPr>
        <w:t xml:space="preserve">, </w:t>
      </w:r>
      <w:r>
        <w:rPr>
          <w:b/>
          <w:sz w:val="28"/>
          <w:u w:val="single"/>
          <w:lang w:eastAsia="ja-JP"/>
        </w:rPr>
        <w:t>September</w:t>
      </w:r>
      <w:r w:rsidRPr="000E7898">
        <w:rPr>
          <w:b/>
          <w:sz w:val="28"/>
          <w:u w:val="single"/>
          <w:lang w:eastAsia="ja-JP"/>
        </w:rPr>
        <w:t xml:space="preserve"> </w:t>
      </w:r>
      <w:r w:rsidR="00EA126E">
        <w:rPr>
          <w:b/>
          <w:sz w:val="28"/>
          <w:u w:val="single"/>
          <w:lang w:eastAsia="ja-JP"/>
        </w:rPr>
        <w:t>14</w:t>
      </w:r>
      <w:r w:rsidRPr="000E7898">
        <w:rPr>
          <w:b/>
          <w:sz w:val="28"/>
          <w:u w:val="single"/>
          <w:lang w:eastAsia="ja-JP"/>
        </w:rPr>
        <w:t xml:space="preserve">, 2017, </w:t>
      </w:r>
      <w:r w:rsidR="00EA126E">
        <w:rPr>
          <w:b/>
          <w:sz w:val="28"/>
          <w:u w:val="single"/>
          <w:lang w:eastAsia="ja-JP"/>
        </w:rPr>
        <w:t>AM2</w:t>
      </w:r>
      <w:r w:rsidRPr="000E7898">
        <w:rPr>
          <w:b/>
          <w:sz w:val="28"/>
          <w:u w:val="single"/>
          <w:lang w:eastAsia="ja-JP"/>
        </w:rPr>
        <w:t xml:space="preserve"> </w:t>
      </w:r>
      <w:r w:rsidRPr="000E7898">
        <w:rPr>
          <w:b/>
          <w:sz w:val="28"/>
          <w:u w:val="single"/>
        </w:rPr>
        <w:t>Session</w:t>
      </w:r>
    </w:p>
    <w:p w:rsidR="00226AE3" w:rsidRPr="000E7898" w:rsidRDefault="00226AE3" w:rsidP="00226AE3">
      <w:r w:rsidRPr="000E7898">
        <w:t xml:space="preserve">Attendance: </w:t>
      </w:r>
      <w:r>
        <w:t xml:space="preserve">20 </w:t>
      </w:r>
      <w:r w:rsidRPr="000E7898">
        <w:t>people</w:t>
      </w:r>
    </w:p>
    <w:p w:rsidR="002233B4" w:rsidRPr="000E7898" w:rsidRDefault="002233B4" w:rsidP="002233B4">
      <w:pPr>
        <w:numPr>
          <w:ilvl w:val="0"/>
          <w:numId w:val="25"/>
        </w:numPr>
        <w:jc w:val="both"/>
        <w:rPr>
          <w:szCs w:val="22"/>
        </w:rPr>
      </w:pPr>
      <w:r>
        <w:rPr>
          <w:szCs w:val="22"/>
          <w:lang w:eastAsia="ja-JP"/>
        </w:rPr>
        <w:t>The IEEE 802.11 LC SG</w:t>
      </w:r>
      <w:r w:rsidRPr="000E7898">
        <w:rPr>
          <w:szCs w:val="22"/>
          <w:lang w:eastAsia="ja-JP"/>
        </w:rPr>
        <w:t xml:space="preserve"> meeting was</w:t>
      </w:r>
      <w:r w:rsidR="00C53DC2">
        <w:rPr>
          <w:szCs w:val="22"/>
          <w:lang w:eastAsia="ja-JP"/>
        </w:rPr>
        <w:t xml:space="preserve"> called to order at by the temporary </w:t>
      </w:r>
      <w:r w:rsidR="00C53DC2" w:rsidRPr="000E7898">
        <w:rPr>
          <w:szCs w:val="22"/>
          <w:lang w:eastAsia="ja-JP"/>
        </w:rPr>
        <w:t>Chair</w:t>
      </w:r>
      <w:r w:rsidRPr="000E7898">
        <w:rPr>
          <w:szCs w:val="22"/>
          <w:lang w:eastAsia="ja-JP"/>
        </w:rPr>
        <w:t>, Nikola Serafimovski (pureLiFi).</w:t>
      </w:r>
    </w:p>
    <w:p w:rsidR="00226AE3" w:rsidRDefault="00226AE3" w:rsidP="00DA2189">
      <w:pPr>
        <w:jc w:val="both"/>
      </w:pPr>
    </w:p>
    <w:p w:rsidR="002233B4" w:rsidRDefault="002233B4" w:rsidP="002233B4">
      <w:pPr>
        <w:numPr>
          <w:ilvl w:val="0"/>
          <w:numId w:val="25"/>
        </w:numPr>
        <w:jc w:val="both"/>
        <w:rPr>
          <w:szCs w:val="22"/>
          <w:lang w:eastAsia="ja-JP"/>
        </w:rPr>
      </w:pPr>
      <w:r w:rsidRPr="002233B4">
        <w:rPr>
          <w:rFonts w:hint="eastAsia"/>
          <w:szCs w:val="22"/>
          <w:lang w:eastAsia="ja-JP"/>
        </w:rPr>
        <w:t>Nikola introduced the agenda</w:t>
      </w:r>
      <w:r>
        <w:rPr>
          <w:szCs w:val="22"/>
          <w:lang w:eastAsia="ja-JP"/>
        </w:rPr>
        <w:t xml:space="preserve"> of this session</w:t>
      </w:r>
    </w:p>
    <w:p w:rsidR="002233B4" w:rsidRPr="002233B4" w:rsidRDefault="002233B4" w:rsidP="002233B4">
      <w:pPr>
        <w:jc w:val="both"/>
        <w:rPr>
          <w:szCs w:val="22"/>
          <w:lang w:eastAsia="ja-JP"/>
        </w:rPr>
      </w:pPr>
    </w:p>
    <w:p w:rsidR="002233B4" w:rsidRDefault="002233B4" w:rsidP="002233B4">
      <w:pPr>
        <w:numPr>
          <w:ilvl w:val="0"/>
          <w:numId w:val="25"/>
        </w:numPr>
        <w:suppressAutoHyphens w:val="0"/>
        <w:spacing w:after="160" w:line="252" w:lineRule="auto"/>
        <w:contextualSpacing/>
        <w:rPr>
          <w:rFonts w:eastAsia="Times New Roman"/>
          <w:lang w:val="en-GB"/>
        </w:rPr>
      </w:pPr>
      <w:r w:rsidRPr="002233B4">
        <w:rPr>
          <w:rFonts w:eastAsia="Times New Roman"/>
          <w:lang w:val="en-GB"/>
        </w:rPr>
        <w:t>Selection of the officer</w:t>
      </w:r>
    </w:p>
    <w:p w:rsidR="002233B4" w:rsidRPr="002233B4" w:rsidRDefault="00E452D6" w:rsidP="002233B4">
      <w:pPr>
        <w:numPr>
          <w:ilvl w:val="1"/>
          <w:numId w:val="25"/>
        </w:numPr>
        <w:suppressAutoHyphens w:val="0"/>
        <w:spacing w:after="160" w:line="252" w:lineRule="auto"/>
        <w:contextualSpacing/>
        <w:rPr>
          <w:rFonts w:eastAsia="Times New Roman"/>
          <w:lang w:val="en-GB"/>
        </w:rPr>
      </w:pPr>
      <w:r w:rsidRPr="000E7898">
        <w:rPr>
          <w:szCs w:val="22"/>
          <w:lang w:eastAsia="ja-JP"/>
        </w:rPr>
        <w:lastRenderedPageBreak/>
        <w:t>Nikola Serafimovski (pureLiFi)</w:t>
      </w:r>
      <w:r>
        <w:rPr>
          <w:szCs w:val="22"/>
          <w:lang w:eastAsia="ja-JP"/>
        </w:rPr>
        <w:t xml:space="preserve"> volunteered to be the chair of the SG. John Li (Huawei) volunteered to be the vice chair of the SG.</w:t>
      </w:r>
    </w:p>
    <w:p w:rsidR="00DF16BD" w:rsidRPr="00DF16BD" w:rsidRDefault="00DF16BD" w:rsidP="00DF16BD">
      <w:pPr>
        <w:rPr>
          <w:rFonts w:eastAsiaTheme="minorEastAsia"/>
          <w:u w:val="single"/>
          <w:lang w:val="en-GB" w:eastAsia="zh-CN"/>
        </w:rPr>
      </w:pPr>
      <w:r w:rsidRPr="00DF16BD">
        <w:rPr>
          <w:rFonts w:eastAsiaTheme="minorEastAsia" w:hint="eastAsia"/>
          <w:u w:val="single"/>
          <w:lang w:val="en-GB" w:eastAsia="zh-CN"/>
        </w:rPr>
        <w:t>Motion</w:t>
      </w:r>
    </w:p>
    <w:p w:rsidR="00DF16BD" w:rsidRPr="00C53DC2" w:rsidRDefault="00DF16BD" w:rsidP="00DF16BD">
      <w:pPr>
        <w:rPr>
          <w:i/>
        </w:rPr>
      </w:pPr>
      <w:r w:rsidRPr="00C53DC2">
        <w:rPr>
          <w:i/>
          <w:lang w:val="en-GB"/>
        </w:rPr>
        <w:t xml:space="preserve">Move to approve Nikola Serafimovski for the Chair of the LC SG, Li Qiang (John) as Vice-Chair of the LC SG and Volker Jungnickel as Secretary. </w:t>
      </w:r>
    </w:p>
    <w:p w:rsidR="00DF16BD" w:rsidRPr="00C53DC2" w:rsidRDefault="00DF16BD" w:rsidP="00DF16BD">
      <w:pPr>
        <w:rPr>
          <w:i/>
        </w:rPr>
      </w:pPr>
      <w:r w:rsidRPr="00C53DC2">
        <w:rPr>
          <w:i/>
          <w:lang w:val="en-GB"/>
        </w:rPr>
        <w:t>Mover: Osama</w:t>
      </w:r>
    </w:p>
    <w:p w:rsidR="00DF16BD" w:rsidRPr="00C53DC2" w:rsidRDefault="00DF16BD" w:rsidP="00DF16BD">
      <w:pPr>
        <w:rPr>
          <w:i/>
        </w:rPr>
      </w:pPr>
      <w:r w:rsidRPr="00C53DC2">
        <w:rPr>
          <w:i/>
          <w:lang w:val="en-GB"/>
        </w:rPr>
        <w:t>Seconder: Harry Bims</w:t>
      </w:r>
    </w:p>
    <w:p w:rsidR="002233B4" w:rsidRPr="00C53DC2" w:rsidRDefault="00DF16BD" w:rsidP="00DF16BD">
      <w:pPr>
        <w:rPr>
          <w:i/>
        </w:rPr>
      </w:pPr>
      <w:r w:rsidRPr="00C53DC2">
        <w:rPr>
          <w:i/>
          <w:lang w:val="en-GB"/>
        </w:rPr>
        <w:t>Motion passed with unanimous consent</w:t>
      </w:r>
    </w:p>
    <w:p w:rsidR="00DF16BD" w:rsidRDefault="00DF16BD" w:rsidP="002233B4"/>
    <w:p w:rsidR="00DF16BD" w:rsidRDefault="00DF16BD" w:rsidP="002233B4">
      <w:pPr>
        <w:numPr>
          <w:ilvl w:val="0"/>
          <w:numId w:val="25"/>
        </w:numPr>
        <w:suppressAutoHyphens w:val="0"/>
        <w:spacing w:after="160" w:line="252" w:lineRule="auto"/>
        <w:contextualSpacing/>
        <w:rPr>
          <w:rFonts w:eastAsia="Times New Roman"/>
          <w:lang w:val="en-GB"/>
        </w:rPr>
      </w:pPr>
      <w:r w:rsidRPr="00DF16BD">
        <w:rPr>
          <w:rFonts w:eastAsia="Times New Roman"/>
          <w:lang w:val="en-GB"/>
        </w:rPr>
        <w:t>Christophe Jurczak (Lucibel) presented 17-11/1500r0</w:t>
      </w:r>
    </w:p>
    <w:p w:rsidR="002233B4" w:rsidRPr="00DF16BD" w:rsidRDefault="002233B4" w:rsidP="00DF16BD">
      <w:pPr>
        <w:numPr>
          <w:ilvl w:val="1"/>
          <w:numId w:val="25"/>
        </w:numPr>
        <w:suppressAutoHyphens w:val="0"/>
        <w:spacing w:after="160" w:line="252" w:lineRule="auto"/>
        <w:contextualSpacing/>
        <w:rPr>
          <w:rFonts w:eastAsia="Times New Roman"/>
          <w:lang w:val="en-GB"/>
        </w:rPr>
      </w:pPr>
      <w:r>
        <w:t xml:space="preserve">Harry: How much power </w:t>
      </w:r>
      <w:r w:rsidR="00DF16BD">
        <w:t xml:space="preserve">consumption reduction of LED </w:t>
      </w:r>
      <w:r>
        <w:t xml:space="preserve">over </w:t>
      </w:r>
      <w:r w:rsidR="00DF16BD">
        <w:t>florescent light</w:t>
      </w:r>
    </w:p>
    <w:p w:rsidR="00DF16BD" w:rsidRDefault="00DF16BD" w:rsidP="002233B4">
      <w:pPr>
        <w:numPr>
          <w:ilvl w:val="1"/>
          <w:numId w:val="25"/>
        </w:numPr>
        <w:suppressAutoHyphens w:val="0"/>
        <w:spacing w:after="160" w:line="252" w:lineRule="auto"/>
        <w:contextualSpacing/>
      </w:pPr>
      <w:r>
        <w:t xml:space="preserve">Christophe: </w:t>
      </w:r>
      <w:r w:rsidR="002233B4">
        <w:t>90% reduction</w:t>
      </w:r>
      <w:r w:rsidR="000977AC">
        <w:t xml:space="preserve"> in the power consumption</w:t>
      </w:r>
    </w:p>
    <w:p w:rsidR="002233B4" w:rsidRDefault="002233B4" w:rsidP="002233B4">
      <w:pPr>
        <w:numPr>
          <w:ilvl w:val="1"/>
          <w:numId w:val="25"/>
        </w:numPr>
        <w:suppressAutoHyphens w:val="0"/>
        <w:spacing w:after="160" w:line="252" w:lineRule="auto"/>
        <w:contextualSpacing/>
      </w:pPr>
      <w:r>
        <w:rPr>
          <w:rFonts w:hint="eastAsia"/>
        </w:rPr>
        <w:t>Osama</w:t>
      </w:r>
      <w:r>
        <w:t xml:space="preserve">: </w:t>
      </w:r>
      <w:r w:rsidR="00DF16BD">
        <w:t>the proposed data rate is within a wide range.</w:t>
      </w:r>
      <w:bookmarkStart w:id="0" w:name="_GoBack"/>
      <w:bookmarkEnd w:id="0"/>
      <w:r w:rsidR="00DF16BD">
        <w:t xml:space="preserve"> Suggested to focus on key use cases and narrow down the range of the target data rate.</w:t>
      </w:r>
    </w:p>
    <w:p w:rsidR="00DF16BD" w:rsidRDefault="00DF16BD" w:rsidP="002233B4">
      <w:pPr>
        <w:numPr>
          <w:ilvl w:val="1"/>
          <w:numId w:val="25"/>
        </w:numPr>
        <w:suppressAutoHyphens w:val="0"/>
        <w:spacing w:after="160" w:line="252" w:lineRule="auto"/>
        <w:contextualSpacing/>
      </w:pPr>
      <w:r>
        <w:t>Christophe: high and low data rate are target different use cases. It is also related to lighting technologies.</w:t>
      </w:r>
    </w:p>
    <w:p w:rsidR="00DF16BD" w:rsidRPr="00DF16BD" w:rsidRDefault="00DF16BD" w:rsidP="002233B4">
      <w:pPr>
        <w:numPr>
          <w:ilvl w:val="1"/>
          <w:numId w:val="25"/>
        </w:numPr>
        <w:suppressAutoHyphens w:val="0"/>
        <w:spacing w:after="160" w:line="252" w:lineRule="auto"/>
        <w:contextualSpacing/>
      </w:pPr>
      <w:r>
        <w:rPr>
          <w:rFonts w:eastAsiaTheme="minorEastAsia" w:hint="eastAsia"/>
          <w:lang w:eastAsia="zh-CN"/>
        </w:rPr>
        <w:t>Osama: are there going to be multiple PHYs to address different use cases?</w:t>
      </w:r>
    </w:p>
    <w:p w:rsidR="002233B4" w:rsidRDefault="00DF16BD" w:rsidP="002233B4">
      <w:pPr>
        <w:numPr>
          <w:ilvl w:val="1"/>
          <w:numId w:val="25"/>
        </w:numPr>
        <w:suppressAutoHyphens w:val="0"/>
        <w:spacing w:after="160" w:line="252" w:lineRule="auto"/>
        <w:contextualSpacing/>
      </w:pPr>
      <w:r>
        <w:rPr>
          <w:rFonts w:eastAsiaTheme="minorEastAsia"/>
          <w:lang w:eastAsia="zh-CN"/>
        </w:rPr>
        <w:t>Nikola: Depends on design. One PHY can also be scalable.</w:t>
      </w:r>
    </w:p>
    <w:p w:rsidR="00DF16BD" w:rsidRDefault="00DF16BD" w:rsidP="002233B4">
      <w:pPr>
        <w:numPr>
          <w:ilvl w:val="1"/>
          <w:numId w:val="25"/>
        </w:numPr>
        <w:suppressAutoHyphens w:val="0"/>
        <w:spacing w:after="160" w:line="252" w:lineRule="auto"/>
        <w:contextualSpacing/>
      </w:pPr>
      <w:r w:rsidRPr="00DF16BD">
        <w:rPr>
          <w:rFonts w:eastAsiaTheme="minorEastAsia" w:hint="eastAsia"/>
          <w:lang w:eastAsia="zh-CN"/>
        </w:rPr>
        <w:t>Osama:</w:t>
      </w:r>
      <w:r>
        <w:rPr>
          <w:rFonts w:eastAsiaTheme="minorEastAsia"/>
          <w:lang w:eastAsia="zh-CN"/>
        </w:rPr>
        <w:t xml:space="preserve"> </w:t>
      </w:r>
      <w:r>
        <w:rPr>
          <w:rFonts w:hint="eastAsia"/>
        </w:rPr>
        <w:t>W</w:t>
      </w:r>
      <w:r w:rsidR="002233B4">
        <w:t>hat</w:t>
      </w:r>
      <w:r w:rsidR="002233B4">
        <w:rPr>
          <w:rFonts w:hint="eastAsia"/>
        </w:rPr>
        <w:t xml:space="preserve"> </w:t>
      </w:r>
      <w:r w:rsidR="002233B4">
        <w:t>kind of mobility?</w:t>
      </w:r>
    </w:p>
    <w:p w:rsidR="00DF16BD" w:rsidRDefault="00DF16BD" w:rsidP="002233B4">
      <w:pPr>
        <w:numPr>
          <w:ilvl w:val="1"/>
          <w:numId w:val="25"/>
        </w:numPr>
        <w:suppressAutoHyphens w:val="0"/>
        <w:spacing w:after="160" w:line="252" w:lineRule="auto"/>
        <w:contextualSpacing/>
      </w:pPr>
      <w:r>
        <w:rPr>
          <w:rFonts w:eastAsiaTheme="minorEastAsia"/>
          <w:lang w:eastAsia="zh-CN"/>
        </w:rPr>
        <w:t>Christophe</w:t>
      </w:r>
      <w:r>
        <w:rPr>
          <w:rFonts w:eastAsiaTheme="minorEastAsia" w:hint="eastAsia"/>
          <w:lang w:eastAsia="zh-CN"/>
        </w:rPr>
        <w:t xml:space="preserve">: </w:t>
      </w:r>
      <w:r w:rsidR="002233B4">
        <w:t>Walking, from one room to one room</w:t>
      </w:r>
    </w:p>
    <w:p w:rsidR="00DF16BD" w:rsidRDefault="002233B4" w:rsidP="002233B4">
      <w:pPr>
        <w:numPr>
          <w:ilvl w:val="1"/>
          <w:numId w:val="25"/>
        </w:numPr>
        <w:suppressAutoHyphens w:val="0"/>
        <w:spacing w:after="160" w:line="252" w:lineRule="auto"/>
        <w:contextualSpacing/>
      </w:pPr>
      <w:r>
        <w:t xml:space="preserve">Volker: </w:t>
      </w:r>
      <w:r>
        <w:rPr>
          <w:rFonts w:hint="eastAsia"/>
        </w:rPr>
        <w:t xml:space="preserve">latencies </w:t>
      </w:r>
      <w:r>
        <w:t xml:space="preserve">lower than </w:t>
      </w:r>
      <w:r>
        <w:rPr>
          <w:rFonts w:hint="eastAsia"/>
        </w:rPr>
        <w:t xml:space="preserve">5ms </w:t>
      </w:r>
      <w:r>
        <w:t>are targeted in the use cases shown, but the proposal for the PAR suggests much higher values for the handover, which inconsistent in the presented document, as the handover time is the common time used to evaluate latency of a mobile technology. This should be made consistent in a revision of the document</w:t>
      </w:r>
    </w:p>
    <w:p w:rsidR="00DF16BD" w:rsidRDefault="002233B4" w:rsidP="002233B4">
      <w:pPr>
        <w:numPr>
          <w:ilvl w:val="1"/>
          <w:numId w:val="25"/>
        </w:numPr>
        <w:suppressAutoHyphens w:val="0"/>
        <w:spacing w:after="160" w:line="252" w:lineRule="auto"/>
        <w:contextualSpacing/>
      </w:pPr>
      <w:r>
        <w:rPr>
          <w:rFonts w:hint="eastAsia"/>
        </w:rPr>
        <w:t>Christophe: Will be checked and revised.</w:t>
      </w:r>
    </w:p>
    <w:p w:rsidR="00DF16BD" w:rsidRDefault="002233B4" w:rsidP="002233B4">
      <w:pPr>
        <w:numPr>
          <w:ilvl w:val="1"/>
          <w:numId w:val="25"/>
        </w:numPr>
        <w:suppressAutoHyphens w:val="0"/>
        <w:spacing w:after="160" w:line="252" w:lineRule="auto"/>
        <w:contextualSpacing/>
      </w:pPr>
      <w:r>
        <w:t xml:space="preserve">Volker: uplink using IR is fine, what about the downlink. It is common to assume using the </w:t>
      </w:r>
      <w:r w:rsidR="00B7281A">
        <w:t>white</w:t>
      </w:r>
      <w:r>
        <w:t xml:space="preserve"> light also for data. Laboratory experiments show that the same electrical setup delivers 4 times higher data rates when using IR, compared to while LED. One can place an IR LED next to the white LED and achieve a higher efficiency of the communication link. </w:t>
      </w:r>
    </w:p>
    <w:p w:rsidR="002233B4" w:rsidRDefault="002233B4" w:rsidP="002233B4">
      <w:pPr>
        <w:numPr>
          <w:ilvl w:val="1"/>
          <w:numId w:val="25"/>
        </w:numPr>
        <w:suppressAutoHyphens w:val="0"/>
        <w:spacing w:after="160" w:line="252" w:lineRule="auto"/>
        <w:contextualSpacing/>
      </w:pPr>
      <w:r>
        <w:t xml:space="preserve">Christophe: This is driven by use cases, the while light is already there, and can be easily modulated. </w:t>
      </w:r>
    </w:p>
    <w:p w:rsidR="002233B4" w:rsidRDefault="002233B4" w:rsidP="002233B4"/>
    <w:p w:rsidR="00DF16BD" w:rsidRDefault="00DF16BD" w:rsidP="00DF16BD">
      <w:pPr>
        <w:numPr>
          <w:ilvl w:val="0"/>
          <w:numId w:val="25"/>
        </w:numPr>
        <w:suppressAutoHyphens w:val="0"/>
        <w:spacing w:after="160" w:line="252" w:lineRule="auto"/>
        <w:contextualSpacing/>
        <w:rPr>
          <w:rFonts w:eastAsia="Times New Roman"/>
          <w:lang w:val="en-GB"/>
        </w:rPr>
      </w:pPr>
      <w:r>
        <w:rPr>
          <w:rFonts w:eastAsia="Times New Roman"/>
          <w:lang w:val="en-GB"/>
        </w:rPr>
        <w:t>Whether LC should be a new standard</w:t>
      </w:r>
    </w:p>
    <w:p w:rsidR="00DF16BD" w:rsidRDefault="002233B4" w:rsidP="00DF16BD">
      <w:pPr>
        <w:numPr>
          <w:ilvl w:val="1"/>
          <w:numId w:val="25"/>
        </w:numPr>
        <w:suppressAutoHyphens w:val="0"/>
        <w:spacing w:after="160" w:line="252" w:lineRule="auto"/>
        <w:contextualSpacing/>
        <w:rPr>
          <w:rFonts w:eastAsia="Times New Roman"/>
          <w:lang w:val="en-GB"/>
        </w:rPr>
      </w:pPr>
      <w:r>
        <w:t>Nikola: introduce</w:t>
      </w:r>
      <w:r w:rsidR="00DF16BD">
        <w:t>d</w:t>
      </w:r>
      <w:r>
        <w:t xml:space="preserve"> 11-08/0591r0</w:t>
      </w:r>
      <w:r w:rsidR="00DF16BD">
        <w:t xml:space="preserve"> which is a contribution back in 2008 from VHT SG. The contribution introduced the LOA issues.</w:t>
      </w:r>
    </w:p>
    <w:p w:rsidR="00DF16BD" w:rsidRDefault="00DF16BD" w:rsidP="00DF16BD">
      <w:pPr>
        <w:numPr>
          <w:ilvl w:val="1"/>
          <w:numId w:val="25"/>
        </w:numPr>
        <w:suppressAutoHyphens w:val="0"/>
        <w:spacing w:after="160" w:line="252" w:lineRule="auto"/>
        <w:contextualSpacing/>
        <w:rPr>
          <w:rFonts w:eastAsia="Times New Roman"/>
          <w:lang w:val="en-GB"/>
        </w:rPr>
      </w:pPr>
      <w:r>
        <w:rPr>
          <w:rFonts w:hint="eastAsia"/>
        </w:rPr>
        <w:t xml:space="preserve">Osama: dot11 </w:t>
      </w:r>
      <w:r>
        <w:t>amendment</w:t>
      </w:r>
      <w:r>
        <w:rPr>
          <w:rFonts w:hint="eastAsia"/>
        </w:rPr>
        <w:t xml:space="preserve"> also need LOA. </w:t>
      </w:r>
      <w:r>
        <w:t>Not sure how LC can be different.</w:t>
      </w:r>
    </w:p>
    <w:p w:rsidR="002233B4" w:rsidRDefault="002233B4" w:rsidP="002233B4">
      <w:pPr>
        <w:numPr>
          <w:ilvl w:val="1"/>
          <w:numId w:val="25"/>
        </w:numPr>
        <w:suppressAutoHyphens w:val="0"/>
        <w:spacing w:after="160" w:line="252" w:lineRule="auto"/>
        <w:contextualSpacing/>
        <w:rPr>
          <w:rFonts w:eastAsia="Times New Roman"/>
          <w:lang w:val="en-GB"/>
        </w:rPr>
      </w:pPr>
      <w:r>
        <w:t>Andrew</w:t>
      </w:r>
      <w:r w:rsidR="00DF16BD">
        <w:t xml:space="preserve"> Myles (Cisco) raised the issue that the </w:t>
      </w:r>
      <w:r w:rsidR="00495DE8">
        <w:t>current 802.11 document got so huge and unmanageable. One way to go would to have an standalone chapter for LC within 802.11 specification</w:t>
      </w:r>
    </w:p>
    <w:p w:rsidR="00495DE8" w:rsidRPr="00495DE8" w:rsidRDefault="00495DE8" w:rsidP="002233B4">
      <w:pPr>
        <w:numPr>
          <w:ilvl w:val="1"/>
          <w:numId w:val="25"/>
        </w:numPr>
        <w:suppressAutoHyphens w:val="0"/>
        <w:spacing w:after="160" w:line="252" w:lineRule="auto"/>
        <w:contextualSpacing/>
        <w:rPr>
          <w:rFonts w:eastAsia="Times New Roman"/>
          <w:lang w:val="en-GB"/>
        </w:rPr>
      </w:pPr>
      <w:r>
        <w:rPr>
          <w:rFonts w:eastAsia="Times New Roman"/>
          <w:lang w:val="en-GB"/>
        </w:rPr>
        <w:t>Nikola suggest to request clarification from SA-broad</w:t>
      </w:r>
    </w:p>
    <w:p w:rsidR="0069076C" w:rsidRDefault="0069076C" w:rsidP="0069076C">
      <w:pPr>
        <w:rPr>
          <w:lang w:val="en-GB"/>
        </w:rPr>
      </w:pPr>
    </w:p>
    <w:p w:rsidR="0069076C" w:rsidRPr="00C53DC2" w:rsidRDefault="0069076C" w:rsidP="0069076C">
      <w:pPr>
        <w:rPr>
          <w:u w:val="single"/>
          <w:lang w:val="en-GB"/>
        </w:rPr>
      </w:pPr>
      <w:r w:rsidRPr="00C53DC2">
        <w:rPr>
          <w:u w:val="single"/>
          <w:lang w:val="en-GB"/>
        </w:rPr>
        <w:t>Motion:</w:t>
      </w:r>
    </w:p>
    <w:p w:rsidR="0069076C" w:rsidRPr="0069076C" w:rsidRDefault="0069076C" w:rsidP="0069076C">
      <w:pPr>
        <w:rPr>
          <w:i/>
          <w:lang w:val="en-GB"/>
        </w:rPr>
      </w:pPr>
      <w:r w:rsidRPr="0069076C">
        <w:rPr>
          <w:i/>
          <w:lang w:val="en-GB"/>
        </w:rPr>
        <w:t>Move to ask the IEEE 802.11 Working Group Chair to request a statement from the IEEE SA Standards Board to provide clarification on the applicability of the existing Letters of Assurance as worded, granting the WG Chair editorial license:</w:t>
      </w:r>
    </w:p>
    <w:p w:rsidR="0069076C" w:rsidRPr="0069076C" w:rsidRDefault="0069076C" w:rsidP="0069076C">
      <w:pPr>
        <w:numPr>
          <w:ilvl w:val="0"/>
          <w:numId w:val="29"/>
        </w:numPr>
        <w:suppressAutoHyphens w:val="0"/>
        <w:rPr>
          <w:rFonts w:eastAsia="Times New Roman"/>
          <w:i/>
          <w:lang w:val="en-GB"/>
        </w:rPr>
      </w:pPr>
      <w:r w:rsidRPr="0069076C">
        <w:rPr>
          <w:rFonts w:eastAsia="Times New Roman"/>
          <w:i/>
          <w:lang w:val="en-GB"/>
        </w:rPr>
        <w:t>Do the Letters of Assurance provided to the IEEE 802.11 WG by all organizations current and past apply to a potentially new standalone standard formed as part of the 802.11 WG, e.g., 802.11.3, in the same manner as they apply to any current and future amendments to the original IEEE 802.11-2016 document, e.g., 802.11ba?</w:t>
      </w:r>
    </w:p>
    <w:p w:rsidR="0069076C" w:rsidRPr="0069076C" w:rsidRDefault="0069076C" w:rsidP="0069076C">
      <w:pPr>
        <w:rPr>
          <w:rFonts w:eastAsiaTheme="minorEastAsia"/>
          <w:i/>
          <w:lang w:val="en-GB"/>
        </w:rPr>
      </w:pPr>
    </w:p>
    <w:p w:rsidR="0069076C" w:rsidRPr="0069076C" w:rsidRDefault="0069076C" w:rsidP="0069076C">
      <w:pPr>
        <w:rPr>
          <w:i/>
          <w:lang w:val="en-GB"/>
        </w:rPr>
      </w:pPr>
      <w:r w:rsidRPr="0069076C">
        <w:rPr>
          <w:i/>
          <w:lang w:val="en-GB"/>
        </w:rPr>
        <w:t>Moved: Andrew Myles</w:t>
      </w:r>
    </w:p>
    <w:p w:rsidR="0069076C" w:rsidRPr="0069076C" w:rsidRDefault="0069076C" w:rsidP="0069076C">
      <w:pPr>
        <w:rPr>
          <w:i/>
          <w:lang w:val="en-GB"/>
        </w:rPr>
      </w:pPr>
      <w:r w:rsidRPr="0069076C">
        <w:rPr>
          <w:i/>
          <w:lang w:val="en-GB"/>
        </w:rPr>
        <w:t>Seconded: Li Qiang (John)</w:t>
      </w:r>
    </w:p>
    <w:p w:rsidR="0069076C" w:rsidRPr="0069076C" w:rsidRDefault="0069076C" w:rsidP="0069076C">
      <w:pPr>
        <w:rPr>
          <w:i/>
          <w:lang w:val="en-GB"/>
        </w:rPr>
      </w:pPr>
      <w:r w:rsidRPr="0069076C">
        <w:rPr>
          <w:i/>
          <w:lang w:val="en-GB"/>
        </w:rPr>
        <w:t>Y: 7                       N: 0                       Abstain: 4</w:t>
      </w:r>
    </w:p>
    <w:p w:rsidR="0069076C" w:rsidRPr="0069076C" w:rsidRDefault="0069076C" w:rsidP="0069076C">
      <w:pPr>
        <w:rPr>
          <w:i/>
          <w:lang w:val="en-GB"/>
        </w:rPr>
      </w:pPr>
    </w:p>
    <w:p w:rsidR="0069076C" w:rsidRPr="00C53DC2" w:rsidRDefault="0069076C" w:rsidP="0069076C">
      <w:pPr>
        <w:rPr>
          <w:u w:val="single"/>
          <w:lang w:val="en-GB"/>
        </w:rPr>
      </w:pPr>
      <w:r w:rsidRPr="00C53DC2">
        <w:rPr>
          <w:u w:val="single"/>
          <w:lang w:val="en-GB"/>
        </w:rPr>
        <w:t>Motion:</w:t>
      </w:r>
    </w:p>
    <w:p w:rsidR="0069076C" w:rsidRPr="0069076C" w:rsidRDefault="0069076C" w:rsidP="0069076C">
      <w:pPr>
        <w:rPr>
          <w:i/>
          <w:lang w:val="en-GB"/>
        </w:rPr>
      </w:pPr>
      <w:r w:rsidRPr="0069076C">
        <w:rPr>
          <w:i/>
          <w:lang w:val="en-GB"/>
        </w:rPr>
        <w:t>Move to ask the IEEE 802.11 Working Group Chair to request a statement from the IEEE SA Standards Board to provide clarification on the applicability of the existing Letters of Assurance as worded, granting the WG Chair editorial license:</w:t>
      </w:r>
    </w:p>
    <w:p w:rsidR="0069076C" w:rsidRPr="0069076C" w:rsidRDefault="0069076C" w:rsidP="0069076C">
      <w:pPr>
        <w:numPr>
          <w:ilvl w:val="0"/>
          <w:numId w:val="29"/>
        </w:numPr>
        <w:suppressAutoHyphens w:val="0"/>
        <w:rPr>
          <w:rFonts w:eastAsia="Times New Roman"/>
          <w:i/>
          <w:lang w:val="en-GB"/>
        </w:rPr>
      </w:pPr>
      <w:r w:rsidRPr="0069076C">
        <w:rPr>
          <w:rFonts w:eastAsia="Times New Roman"/>
          <w:i/>
          <w:lang w:val="en-GB"/>
        </w:rPr>
        <w:t xml:space="preserve">Do the Letters of Assurance provided to the IEEE 802.11 WG by all organizations current and past apply to a potentially new chapter within the IEEE 802.11-2016? If the LoAs do not apply, then under what conditions do those LoAs not apply? </w:t>
      </w:r>
    </w:p>
    <w:p w:rsidR="0069076C" w:rsidRPr="0069076C" w:rsidRDefault="0069076C" w:rsidP="0069076C">
      <w:pPr>
        <w:rPr>
          <w:rFonts w:eastAsiaTheme="minorEastAsia"/>
          <w:i/>
          <w:lang w:val="en-GB"/>
        </w:rPr>
      </w:pPr>
    </w:p>
    <w:p w:rsidR="0069076C" w:rsidRPr="0069076C" w:rsidRDefault="0069076C" w:rsidP="0069076C">
      <w:pPr>
        <w:rPr>
          <w:i/>
          <w:lang w:val="en-GB"/>
        </w:rPr>
      </w:pPr>
      <w:r w:rsidRPr="0069076C">
        <w:rPr>
          <w:i/>
          <w:lang w:val="en-GB"/>
        </w:rPr>
        <w:t>Moved: Andrew Myles</w:t>
      </w:r>
    </w:p>
    <w:p w:rsidR="0069076C" w:rsidRPr="0069076C" w:rsidRDefault="0069076C" w:rsidP="0069076C">
      <w:pPr>
        <w:rPr>
          <w:i/>
          <w:lang w:val="en-GB"/>
        </w:rPr>
      </w:pPr>
      <w:r w:rsidRPr="0069076C">
        <w:rPr>
          <w:i/>
          <w:lang w:val="en-GB"/>
        </w:rPr>
        <w:t>Seconded: Li Qiang (John)</w:t>
      </w:r>
    </w:p>
    <w:p w:rsidR="0069076C" w:rsidRPr="0069076C" w:rsidRDefault="0069076C" w:rsidP="0069076C">
      <w:pPr>
        <w:rPr>
          <w:i/>
          <w:lang w:val="en-GB"/>
        </w:rPr>
      </w:pPr>
      <w:r w:rsidRPr="0069076C">
        <w:rPr>
          <w:i/>
          <w:lang w:val="en-GB"/>
        </w:rPr>
        <w:t>Y:            10           N:           1             Abstain: 0</w:t>
      </w:r>
    </w:p>
    <w:p w:rsidR="002233B4" w:rsidRDefault="002233B4" w:rsidP="002233B4"/>
    <w:p w:rsidR="00495DE8" w:rsidRDefault="00C53DC2" w:rsidP="00495DE8">
      <w:pPr>
        <w:numPr>
          <w:ilvl w:val="0"/>
          <w:numId w:val="25"/>
        </w:numPr>
        <w:suppressAutoHyphens w:val="0"/>
        <w:spacing w:after="160" w:line="252" w:lineRule="auto"/>
        <w:contextualSpacing/>
        <w:rPr>
          <w:rFonts w:eastAsia="Times New Roman"/>
          <w:lang w:val="en-GB"/>
        </w:rPr>
      </w:pPr>
      <w:r>
        <w:rPr>
          <w:szCs w:val="22"/>
          <w:lang w:eastAsia="ja-JP"/>
        </w:rPr>
        <w:t xml:space="preserve">Temporary </w:t>
      </w:r>
      <w:r w:rsidRPr="000E7898">
        <w:rPr>
          <w:szCs w:val="22"/>
          <w:lang w:eastAsia="ja-JP"/>
        </w:rPr>
        <w:t>Chair</w:t>
      </w:r>
      <w:r w:rsidR="00495DE8">
        <w:rPr>
          <w:rFonts w:eastAsia="Times New Roman"/>
          <w:lang w:val="en-GB"/>
        </w:rPr>
        <w:t xml:space="preserve"> asked if there is any other business. </w:t>
      </w:r>
    </w:p>
    <w:p w:rsidR="00495DE8" w:rsidRDefault="00495DE8" w:rsidP="00495DE8">
      <w:pPr>
        <w:numPr>
          <w:ilvl w:val="1"/>
          <w:numId w:val="25"/>
        </w:numPr>
        <w:suppressAutoHyphens w:val="0"/>
        <w:spacing w:after="160" w:line="252" w:lineRule="auto"/>
        <w:contextualSpacing/>
        <w:rPr>
          <w:rFonts w:eastAsia="Times New Roman"/>
          <w:lang w:val="en-GB"/>
        </w:rPr>
      </w:pPr>
      <w:r>
        <w:rPr>
          <w:rFonts w:eastAsia="Times New Roman"/>
          <w:lang w:val="en-GB"/>
        </w:rPr>
        <w:t>No other business</w:t>
      </w:r>
    </w:p>
    <w:p w:rsidR="002233B4" w:rsidRDefault="00C53DC2" w:rsidP="00495DE8">
      <w:pPr>
        <w:numPr>
          <w:ilvl w:val="1"/>
          <w:numId w:val="25"/>
        </w:numPr>
        <w:suppressAutoHyphens w:val="0"/>
        <w:spacing w:after="160" w:line="252" w:lineRule="auto"/>
        <w:contextualSpacing/>
        <w:rPr>
          <w:rFonts w:eastAsia="Times New Roman"/>
          <w:lang w:val="en-GB"/>
        </w:rPr>
      </w:pPr>
      <w:r>
        <w:rPr>
          <w:szCs w:val="22"/>
          <w:lang w:eastAsia="ja-JP"/>
        </w:rPr>
        <w:t xml:space="preserve">Temporary </w:t>
      </w:r>
      <w:r w:rsidRPr="000E7898">
        <w:rPr>
          <w:szCs w:val="22"/>
          <w:lang w:eastAsia="ja-JP"/>
        </w:rPr>
        <w:t>Chair</w:t>
      </w:r>
      <w:r w:rsidR="00495DE8">
        <w:rPr>
          <w:rFonts w:eastAsia="Times New Roman"/>
          <w:lang w:val="en-GB"/>
        </w:rPr>
        <w:t xml:space="preserve"> c</w:t>
      </w:r>
      <w:r w:rsidR="002233B4" w:rsidRPr="00495DE8">
        <w:rPr>
          <w:rFonts w:eastAsia="Times New Roman" w:hint="eastAsia"/>
          <w:lang w:val="en-GB"/>
        </w:rPr>
        <w:t>ancel</w:t>
      </w:r>
      <w:r w:rsidR="00495DE8">
        <w:rPr>
          <w:rFonts w:eastAsia="Times New Roman"/>
          <w:lang w:val="en-GB"/>
        </w:rPr>
        <w:t>led</w:t>
      </w:r>
      <w:r w:rsidR="002233B4" w:rsidRPr="00495DE8">
        <w:rPr>
          <w:rFonts w:eastAsia="Times New Roman" w:hint="eastAsia"/>
          <w:lang w:val="en-GB"/>
        </w:rPr>
        <w:t xml:space="preserve"> </w:t>
      </w:r>
      <w:r w:rsidR="002233B4" w:rsidRPr="00495DE8">
        <w:rPr>
          <w:rFonts w:eastAsia="Times New Roman"/>
          <w:lang w:val="en-GB"/>
        </w:rPr>
        <w:t>PM2 session</w:t>
      </w:r>
    </w:p>
    <w:p w:rsidR="00495DE8" w:rsidRDefault="00495DE8" w:rsidP="00495DE8">
      <w:pPr>
        <w:suppressAutoHyphens w:val="0"/>
        <w:spacing w:after="160" w:line="252" w:lineRule="auto"/>
        <w:contextualSpacing/>
        <w:rPr>
          <w:rFonts w:eastAsia="Times New Roman"/>
          <w:lang w:val="en-GB"/>
        </w:rPr>
      </w:pPr>
    </w:p>
    <w:p w:rsidR="00495DE8" w:rsidRPr="00495DE8" w:rsidRDefault="00495DE8" w:rsidP="00495DE8">
      <w:pPr>
        <w:numPr>
          <w:ilvl w:val="0"/>
          <w:numId w:val="25"/>
        </w:numPr>
        <w:suppressAutoHyphens w:val="0"/>
        <w:spacing w:after="160" w:line="252" w:lineRule="auto"/>
        <w:contextualSpacing/>
        <w:rPr>
          <w:rFonts w:eastAsia="Times New Roman"/>
          <w:lang w:val="en-GB"/>
        </w:rPr>
      </w:pPr>
      <w:r>
        <w:rPr>
          <w:rFonts w:eastAsia="Times New Roman"/>
          <w:lang w:val="en-GB"/>
        </w:rPr>
        <w:t>Meeting adjourned until November 2017</w:t>
      </w:r>
    </w:p>
    <w:p w:rsidR="002233B4" w:rsidRDefault="002233B4" w:rsidP="002233B4"/>
    <w:p w:rsidR="002233B4" w:rsidRPr="00DA2189" w:rsidRDefault="002233B4" w:rsidP="00DA2189">
      <w:pPr>
        <w:jc w:val="both"/>
      </w:pPr>
    </w:p>
    <w:sectPr w:rsidR="002233B4" w:rsidRPr="00DA2189">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3D4" w:rsidRDefault="00A413D4">
      <w:r>
        <w:separator/>
      </w:r>
    </w:p>
  </w:endnote>
  <w:endnote w:type="continuationSeparator" w:id="0">
    <w:p w:rsidR="00A413D4" w:rsidRDefault="00A4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ヒラギノ角ゴ ProN W3">
    <w:altName w:val="MS Mincho"/>
    <w:charset w:val="4E"/>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9ED" w:rsidRPr="008F4891" w:rsidRDefault="007279ED" w:rsidP="00EA4A0F">
    <w:pPr>
      <w:pStyle w:val="Footer"/>
      <w:tabs>
        <w:tab w:val="clear" w:pos="6480"/>
        <w:tab w:val="center" w:pos="4680"/>
        <w:tab w:val="right" w:pos="10065"/>
      </w:tabs>
      <w:rPr>
        <w:lang w:val="de-DE"/>
      </w:rPr>
    </w:pPr>
    <w:r w:rsidRPr="008F4891">
      <w:rPr>
        <w:lang w:val="de-DE" w:eastAsia="ja-JP"/>
      </w:rPr>
      <w:t>Minutes</w:t>
    </w:r>
    <w:r w:rsidRPr="008F4891">
      <w:rPr>
        <w:lang w:val="de-DE"/>
      </w:rPr>
      <w:tab/>
      <w:t xml:space="preserve">Page </w:t>
    </w:r>
    <w:r>
      <w:fldChar w:fldCharType="begin"/>
    </w:r>
    <w:r w:rsidRPr="008F4891">
      <w:rPr>
        <w:lang w:val="de-DE"/>
      </w:rPr>
      <w:instrText>PAGE</w:instrText>
    </w:r>
    <w:r>
      <w:fldChar w:fldCharType="separate"/>
    </w:r>
    <w:r w:rsidR="000977AC">
      <w:rPr>
        <w:noProof/>
        <w:lang w:val="de-DE"/>
      </w:rPr>
      <w:t>5</w:t>
    </w:r>
    <w:r>
      <w:fldChar w:fldCharType="end"/>
    </w:r>
    <w:r w:rsidR="00C877BE" w:rsidRPr="008F4891">
      <w:rPr>
        <w:lang w:val="de-DE"/>
      </w:rPr>
      <w:t xml:space="preserve"> </w:t>
    </w:r>
    <w:r w:rsidR="0070124D" w:rsidRPr="008F4891">
      <w:rPr>
        <w:lang w:val="de-DE"/>
      </w:rPr>
      <w:tab/>
    </w:r>
    <w:r w:rsidR="00C877BE" w:rsidRPr="008F4891">
      <w:rPr>
        <w:b/>
        <w:sz w:val="20"/>
        <w:lang w:val="de-DE" w:eastAsia="ja-JP"/>
      </w:rPr>
      <w:t>V</w:t>
    </w:r>
    <w:r w:rsidR="00C877BE" w:rsidRPr="008F4891">
      <w:rPr>
        <w:lang w:val="de-DE"/>
      </w:rPr>
      <w:t xml:space="preserve">olker Jungnickel (HHI), </w:t>
    </w:r>
    <w:r w:rsidR="00054C33" w:rsidRPr="008F4891">
      <w:rPr>
        <w:lang w:val="de-DE"/>
      </w:rPr>
      <w:t xml:space="preserve">John </w:t>
    </w:r>
    <w:r w:rsidR="00C877BE" w:rsidRPr="008F4891">
      <w:rPr>
        <w:lang w:val="de-DE"/>
      </w:rPr>
      <w:t>L</w:t>
    </w:r>
    <w:r w:rsidR="00054C33" w:rsidRPr="008F4891">
      <w:rPr>
        <w:lang w:val="de-DE"/>
      </w:rPr>
      <w:t>i</w:t>
    </w:r>
    <w:r w:rsidR="00C877BE" w:rsidRPr="008F4891">
      <w:rPr>
        <w:lang w:val="de-DE"/>
      </w:rPr>
      <w:t>(Huawei)</w:t>
    </w:r>
  </w:p>
  <w:p w:rsidR="007279ED" w:rsidRPr="008F4891" w:rsidRDefault="007279ED">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3D4" w:rsidRDefault="00A413D4">
      <w:r>
        <w:separator/>
      </w:r>
    </w:p>
  </w:footnote>
  <w:footnote w:type="continuationSeparator" w:id="0">
    <w:p w:rsidR="00A413D4" w:rsidRDefault="00A41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9ED" w:rsidRDefault="00196AD8" w:rsidP="00EA4A0F">
    <w:pPr>
      <w:pStyle w:val="Header"/>
      <w:tabs>
        <w:tab w:val="center" w:pos="4680"/>
        <w:tab w:val="right" w:pos="10065"/>
      </w:tabs>
    </w:pPr>
    <w:r>
      <w:rPr>
        <w:lang w:eastAsia="ja-JP"/>
      </w:rPr>
      <w:t>September</w:t>
    </w:r>
    <w:r w:rsidR="007279ED">
      <w:t xml:space="preserve"> 201</w:t>
    </w:r>
    <w:r w:rsidR="007279ED">
      <w:rPr>
        <w:lang w:eastAsia="ja-JP"/>
      </w:rPr>
      <w:t>7</w:t>
    </w:r>
    <w:r w:rsidR="007279ED">
      <w:tab/>
    </w:r>
    <w:r w:rsidR="007279ED">
      <w:tab/>
    </w:r>
    <w:r w:rsidR="00EA4A0F">
      <w:tab/>
    </w:r>
    <w:r w:rsidR="007279ED" w:rsidRPr="000977AC">
      <w:fldChar w:fldCharType="begin"/>
    </w:r>
    <w:r w:rsidR="007279ED" w:rsidRPr="000977AC">
      <w:instrText>TITLE</w:instrText>
    </w:r>
    <w:r w:rsidR="007279ED" w:rsidRPr="000977AC">
      <w:fldChar w:fldCharType="separate"/>
    </w:r>
    <w:r w:rsidR="000977AC" w:rsidRPr="000977AC">
      <w:t>doc.: 11-17-1513</w:t>
    </w:r>
    <w:r w:rsidR="00CC3631" w:rsidRPr="000977AC">
      <w:t>-00-00lc</w:t>
    </w:r>
    <w:r w:rsidR="007279ED" w:rsidRPr="000977A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638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151D7C"/>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CC11AA"/>
    <w:multiLevelType w:val="hybridMultilevel"/>
    <w:tmpl w:val="42DA390C"/>
    <w:lvl w:ilvl="0" w:tplc="2B4A1BA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1C8B3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1A174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0E23AF"/>
    <w:multiLevelType w:val="hybridMultilevel"/>
    <w:tmpl w:val="81EE0DEA"/>
    <w:lvl w:ilvl="0" w:tplc="D4463C44">
      <w:start w:val="80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C3678"/>
    <w:multiLevelType w:val="hybridMultilevel"/>
    <w:tmpl w:val="94448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FD2EDA"/>
    <w:multiLevelType w:val="hybridMultilevel"/>
    <w:tmpl w:val="684212F6"/>
    <w:lvl w:ilvl="0" w:tplc="14CAD622">
      <w:start w:val="5"/>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31B717E"/>
    <w:multiLevelType w:val="hybridMultilevel"/>
    <w:tmpl w:val="DAA82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D3163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6D1E31"/>
    <w:multiLevelType w:val="hybridMultilevel"/>
    <w:tmpl w:val="32A6824C"/>
    <w:lvl w:ilvl="0" w:tplc="147054FE">
      <w:numFmt w:val="bullet"/>
      <w:lvlText w:val="-"/>
      <w:lvlJc w:val="left"/>
      <w:pPr>
        <w:ind w:left="360" w:hanging="360"/>
      </w:pPr>
      <w:rPr>
        <w:rFonts w:ascii="Calibri" w:eastAsiaTheme="minorEastAsia" w:hAnsi="Calibri" w:cstheme="minorBidi" w:hint="default"/>
        <w:lang w:val="en-GB"/>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146CE5"/>
    <w:multiLevelType w:val="hybridMultilevel"/>
    <w:tmpl w:val="44B4171C"/>
    <w:lvl w:ilvl="0" w:tplc="B84CA9C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9F3FCB"/>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A26AA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572EFA"/>
    <w:multiLevelType w:val="hybridMultilevel"/>
    <w:tmpl w:val="D06A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12"/>
  </w:num>
  <w:num w:numId="4">
    <w:abstractNumId w:val="4"/>
  </w:num>
  <w:num w:numId="5">
    <w:abstractNumId w:val="23"/>
  </w:num>
  <w:num w:numId="6">
    <w:abstractNumId w:val="28"/>
  </w:num>
  <w:num w:numId="7">
    <w:abstractNumId w:val="1"/>
  </w:num>
  <w:num w:numId="8">
    <w:abstractNumId w:val="13"/>
  </w:num>
  <w:num w:numId="9">
    <w:abstractNumId w:val="8"/>
  </w:num>
  <w:num w:numId="10">
    <w:abstractNumId w:val="10"/>
  </w:num>
  <w:num w:numId="11">
    <w:abstractNumId w:val="26"/>
  </w:num>
  <w:num w:numId="12">
    <w:abstractNumId w:val="24"/>
  </w:num>
  <w:num w:numId="13">
    <w:abstractNumId w:val="7"/>
  </w:num>
  <w:num w:numId="14">
    <w:abstractNumId w:val="16"/>
  </w:num>
  <w:num w:numId="15">
    <w:abstractNumId w:val="6"/>
  </w:num>
  <w:num w:numId="16">
    <w:abstractNumId w:val="18"/>
  </w:num>
  <w:num w:numId="17">
    <w:abstractNumId w:val="9"/>
  </w:num>
  <w:num w:numId="18">
    <w:abstractNumId w:val="5"/>
  </w:num>
  <w:num w:numId="19">
    <w:abstractNumId w:val="27"/>
  </w:num>
  <w:num w:numId="20">
    <w:abstractNumId w:val="29"/>
  </w:num>
  <w:num w:numId="21">
    <w:abstractNumId w:val="2"/>
  </w:num>
  <w:num w:numId="22">
    <w:abstractNumId w:val="25"/>
  </w:num>
  <w:num w:numId="23">
    <w:abstractNumId w:val="21"/>
  </w:num>
  <w:num w:numId="24">
    <w:abstractNumId w:val="14"/>
  </w:num>
  <w:num w:numId="25">
    <w:abstractNumId w:val="0"/>
  </w:num>
  <w:num w:numId="26">
    <w:abstractNumId w:val="3"/>
  </w:num>
  <w:num w:numId="27">
    <w:abstractNumId w:val="20"/>
  </w:num>
  <w:num w:numId="28">
    <w:abstractNumId w:val="17"/>
  </w:num>
  <w:num w:numId="29">
    <w:abstractNumId w:val="2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D9"/>
    <w:rsid w:val="0002203F"/>
    <w:rsid w:val="00037B44"/>
    <w:rsid w:val="00054C33"/>
    <w:rsid w:val="000611B1"/>
    <w:rsid w:val="00071317"/>
    <w:rsid w:val="000977AC"/>
    <w:rsid w:val="000E7898"/>
    <w:rsid w:val="000F7B53"/>
    <w:rsid w:val="001215F6"/>
    <w:rsid w:val="00123678"/>
    <w:rsid w:val="001411A5"/>
    <w:rsid w:val="00150AEB"/>
    <w:rsid w:val="00196AD8"/>
    <w:rsid w:val="001B2F64"/>
    <w:rsid w:val="001C2CAD"/>
    <w:rsid w:val="001D2F47"/>
    <w:rsid w:val="001E3A40"/>
    <w:rsid w:val="001F19BE"/>
    <w:rsid w:val="002164A0"/>
    <w:rsid w:val="002171BD"/>
    <w:rsid w:val="00220C7F"/>
    <w:rsid w:val="002233B4"/>
    <w:rsid w:val="00226AE3"/>
    <w:rsid w:val="0024129C"/>
    <w:rsid w:val="002439C7"/>
    <w:rsid w:val="00252232"/>
    <w:rsid w:val="00261A55"/>
    <w:rsid w:val="00276776"/>
    <w:rsid w:val="002769B7"/>
    <w:rsid w:val="00291FA8"/>
    <w:rsid w:val="002C2CFB"/>
    <w:rsid w:val="002C3A58"/>
    <w:rsid w:val="002E19C2"/>
    <w:rsid w:val="002E4CE8"/>
    <w:rsid w:val="002F7EE3"/>
    <w:rsid w:val="003003A1"/>
    <w:rsid w:val="00302336"/>
    <w:rsid w:val="003103D7"/>
    <w:rsid w:val="00354A89"/>
    <w:rsid w:val="00361A8F"/>
    <w:rsid w:val="00395C88"/>
    <w:rsid w:val="003B0138"/>
    <w:rsid w:val="003C6217"/>
    <w:rsid w:val="003D1121"/>
    <w:rsid w:val="003E0FDE"/>
    <w:rsid w:val="003F0144"/>
    <w:rsid w:val="004004AB"/>
    <w:rsid w:val="00401894"/>
    <w:rsid w:val="004027B4"/>
    <w:rsid w:val="00424EE2"/>
    <w:rsid w:val="0042629A"/>
    <w:rsid w:val="00431764"/>
    <w:rsid w:val="00433167"/>
    <w:rsid w:val="00495DE8"/>
    <w:rsid w:val="0049600F"/>
    <w:rsid w:val="004B3F42"/>
    <w:rsid w:val="004B47FC"/>
    <w:rsid w:val="004C0D0C"/>
    <w:rsid w:val="004C4AFA"/>
    <w:rsid w:val="004D3A4D"/>
    <w:rsid w:val="004D7B65"/>
    <w:rsid w:val="004F293D"/>
    <w:rsid w:val="004F2EDA"/>
    <w:rsid w:val="004F4F6C"/>
    <w:rsid w:val="00504E8E"/>
    <w:rsid w:val="005202B9"/>
    <w:rsid w:val="00531865"/>
    <w:rsid w:val="0054373A"/>
    <w:rsid w:val="00551844"/>
    <w:rsid w:val="00560EBA"/>
    <w:rsid w:val="00595D41"/>
    <w:rsid w:val="005A4766"/>
    <w:rsid w:val="005F0E4E"/>
    <w:rsid w:val="005F263B"/>
    <w:rsid w:val="005F4A79"/>
    <w:rsid w:val="006236AE"/>
    <w:rsid w:val="00627E4F"/>
    <w:rsid w:val="0063328F"/>
    <w:rsid w:val="006529B8"/>
    <w:rsid w:val="0067035A"/>
    <w:rsid w:val="0069076C"/>
    <w:rsid w:val="006A798C"/>
    <w:rsid w:val="006B0CB1"/>
    <w:rsid w:val="006B7897"/>
    <w:rsid w:val="006D06BF"/>
    <w:rsid w:val="006D0A86"/>
    <w:rsid w:val="006E705C"/>
    <w:rsid w:val="006F0E19"/>
    <w:rsid w:val="0070124D"/>
    <w:rsid w:val="0072380D"/>
    <w:rsid w:val="007279ED"/>
    <w:rsid w:val="007370D6"/>
    <w:rsid w:val="00744E59"/>
    <w:rsid w:val="007503BB"/>
    <w:rsid w:val="00754861"/>
    <w:rsid w:val="007652FF"/>
    <w:rsid w:val="00771064"/>
    <w:rsid w:val="00794AD8"/>
    <w:rsid w:val="007A04EC"/>
    <w:rsid w:val="007A5C6B"/>
    <w:rsid w:val="007B2C5E"/>
    <w:rsid w:val="007B6109"/>
    <w:rsid w:val="007D47E7"/>
    <w:rsid w:val="007E2700"/>
    <w:rsid w:val="007E75BB"/>
    <w:rsid w:val="00815A93"/>
    <w:rsid w:val="00824DC4"/>
    <w:rsid w:val="00847585"/>
    <w:rsid w:val="00884671"/>
    <w:rsid w:val="008869A1"/>
    <w:rsid w:val="0089722D"/>
    <w:rsid w:val="008B32F7"/>
    <w:rsid w:val="008C2B95"/>
    <w:rsid w:val="008D0101"/>
    <w:rsid w:val="008D0ACF"/>
    <w:rsid w:val="008D3D6F"/>
    <w:rsid w:val="008E0ABE"/>
    <w:rsid w:val="008F4891"/>
    <w:rsid w:val="00916A75"/>
    <w:rsid w:val="00917CF1"/>
    <w:rsid w:val="00931659"/>
    <w:rsid w:val="0093270C"/>
    <w:rsid w:val="00944252"/>
    <w:rsid w:val="0094742E"/>
    <w:rsid w:val="00950C87"/>
    <w:rsid w:val="0098579A"/>
    <w:rsid w:val="009A3D95"/>
    <w:rsid w:val="009C2863"/>
    <w:rsid w:val="009D0A72"/>
    <w:rsid w:val="009E160F"/>
    <w:rsid w:val="00A021F9"/>
    <w:rsid w:val="00A1634F"/>
    <w:rsid w:val="00A2478D"/>
    <w:rsid w:val="00A413D4"/>
    <w:rsid w:val="00A469D5"/>
    <w:rsid w:val="00A67F96"/>
    <w:rsid w:val="00A74C2C"/>
    <w:rsid w:val="00A80679"/>
    <w:rsid w:val="00A86F1F"/>
    <w:rsid w:val="00AB13EF"/>
    <w:rsid w:val="00AC1879"/>
    <w:rsid w:val="00AC523D"/>
    <w:rsid w:val="00B00C43"/>
    <w:rsid w:val="00B30D00"/>
    <w:rsid w:val="00B57771"/>
    <w:rsid w:val="00B644DC"/>
    <w:rsid w:val="00B72511"/>
    <w:rsid w:val="00B7281A"/>
    <w:rsid w:val="00BE2462"/>
    <w:rsid w:val="00BF2091"/>
    <w:rsid w:val="00C12AD4"/>
    <w:rsid w:val="00C25237"/>
    <w:rsid w:val="00C305A2"/>
    <w:rsid w:val="00C32042"/>
    <w:rsid w:val="00C53DC2"/>
    <w:rsid w:val="00C61787"/>
    <w:rsid w:val="00C62725"/>
    <w:rsid w:val="00C877BE"/>
    <w:rsid w:val="00CA419F"/>
    <w:rsid w:val="00CA5821"/>
    <w:rsid w:val="00CB084D"/>
    <w:rsid w:val="00CC3631"/>
    <w:rsid w:val="00CE0375"/>
    <w:rsid w:val="00D13A7B"/>
    <w:rsid w:val="00D13DD9"/>
    <w:rsid w:val="00D21CDF"/>
    <w:rsid w:val="00D30DE5"/>
    <w:rsid w:val="00D71670"/>
    <w:rsid w:val="00D769C5"/>
    <w:rsid w:val="00D876BA"/>
    <w:rsid w:val="00DA2189"/>
    <w:rsid w:val="00DC01E0"/>
    <w:rsid w:val="00DD32F2"/>
    <w:rsid w:val="00DE1DCF"/>
    <w:rsid w:val="00DE604D"/>
    <w:rsid w:val="00DE747A"/>
    <w:rsid w:val="00DF16BD"/>
    <w:rsid w:val="00E05CD1"/>
    <w:rsid w:val="00E43EEA"/>
    <w:rsid w:val="00E452D6"/>
    <w:rsid w:val="00E908B0"/>
    <w:rsid w:val="00E912A9"/>
    <w:rsid w:val="00E92616"/>
    <w:rsid w:val="00EA126E"/>
    <w:rsid w:val="00EA4A0F"/>
    <w:rsid w:val="00EB2352"/>
    <w:rsid w:val="00EB57C3"/>
    <w:rsid w:val="00EC27D5"/>
    <w:rsid w:val="00ED001C"/>
    <w:rsid w:val="00EE5709"/>
    <w:rsid w:val="00EF6E10"/>
    <w:rsid w:val="00F224DB"/>
    <w:rsid w:val="00F243EB"/>
    <w:rsid w:val="00F25C7B"/>
    <w:rsid w:val="00F27B76"/>
    <w:rsid w:val="00F34AE3"/>
    <w:rsid w:val="00F672CC"/>
    <w:rsid w:val="00F86552"/>
    <w:rsid w:val="00F95B2A"/>
    <w:rsid w:val="00FB53DE"/>
    <w:rsid w:val="00FD04F2"/>
    <w:rsid w:val="00FD7F64"/>
    <w:rsid w:val="00FF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B36D8"/>
  <w15:docId w15:val="{A3D10C99-C137-4F83-B552-CD199670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qFormat/>
    <w:rsid w:val="00815EB4"/>
    <w:rPr>
      <w:sz w:val="18"/>
      <w:szCs w:val="18"/>
    </w:rPr>
  </w:style>
  <w:style w:type="character" w:customStyle="1" w:styleId="CommentTextChar">
    <w:name w:val="Comment Text Char"/>
    <w:link w:val="CommentText"/>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customStyle="1" w:styleId="Mention1">
    <w:name w:val="Mention1"/>
    <w:basedOn w:val="DefaultParagraphFont"/>
    <w:uiPriority w:val="99"/>
    <w:semiHidden/>
    <w:unhideWhenUsed/>
    <w:rsid w:val="008F489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hn.liqiang@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ikola.serafimovski@purelifi.com" TargetMode="External"/><Relationship Id="rId4" Type="http://schemas.openxmlformats.org/officeDocument/2006/relationships/settings" Target="settings.xml"/><Relationship Id="rId9" Type="http://schemas.openxmlformats.org/officeDocument/2006/relationships/hyperlink" Target="mailto:volker.jungnickel@hhi.fraunhofer.de"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258B7-8814-4F92-A21B-47C75B6B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1351</Words>
  <Characters>7702</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11-17-1157-00-00lc</vt:lpstr>
      <vt:lpstr>doc.: 11-17-0827-00-00lc</vt:lpstr>
    </vt:vector>
  </TitlesOfParts>
  <Company>Fraunhofer - Heinrich-Hertz-Institute</Company>
  <LinksUpToDate>false</LinksUpToDate>
  <CharactersWithSpaces>9035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11-17-1157-00-00lc</dc:title>
  <dc:subject>LC TIG January Meeting Minutes</dc:subject>
  <dc:creator>Jungnickel;Volker</dc:creator>
  <cp:keywords>doc.: 11-17-1513-00-00lc</cp:keywords>
  <cp:lastModifiedBy>Serafimovski, Nikola</cp:lastModifiedBy>
  <cp:revision>2</cp:revision>
  <dcterms:created xsi:type="dcterms:W3CDTF">2017-09-15T00:54:00Z</dcterms:created>
  <dcterms:modified xsi:type="dcterms:W3CDTF">2017-09-15T00:54:00Z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