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7132B6"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5B8B0A65"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A Trigger frame can carry the trigger information for both scheduled STAs and OFDMA random access STAs. Although the trigger information for OFDMA random access STAs is included in some consecutive Trigger frames(not all) in a TXOP, random access STAs should be awake until receving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As mentioned in comment, add the related operation into subclause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3A5281C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can indicate if the AP assigned </w:t>
            </w:r>
          </w:p>
          <w:p w14:paraId="388A02A9" w14:textId="1D44EC80" w:rsidR="00E73BA0" w:rsidRDefault="00E73BA0" w:rsidP="00A85797">
            <w:pPr>
              <w:rPr>
                <w:rFonts w:ascii="Arial" w:eastAsia="굴림" w:hAnsi="Arial" w:cs="Arial"/>
                <w:sz w:val="20"/>
                <w:lang w:val="en-US" w:eastAsia="ko-KR"/>
              </w:rPr>
            </w:pPr>
          </w:p>
        </w:tc>
      </w:tr>
    </w:tbl>
    <w:p w14:paraId="4EF2A179" w14:textId="696B6EA6"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Fonts w:hint="eastAsia"/>
        </w:rPr>
      </w:pPr>
      <w:r w:rsidRPr="000B3BDA">
        <w:rPr>
          <w:rStyle w:val="fontstyle01"/>
          <w:rFonts w:hint="eastAsia"/>
        </w:rPr>
        <w:t>According to the 11ax draft,</w:t>
      </w:r>
      <w:r>
        <w:rPr>
          <w:rFonts w:eastAsiaTheme="minorEastAsia" w:hint="eastAsia"/>
          <w:b/>
          <w:bCs/>
          <w:iCs/>
          <w:sz w:val="22"/>
          <w:szCs w:val="22"/>
          <w:lang w:val="en-GB" w:eastAsia="ko-KR"/>
        </w:rPr>
        <w:t xml:space="preserve"> </w:t>
      </w:r>
      <w:r w:rsidRPr="000913D5">
        <w:rPr>
          <w:rStyle w:val="fontstyle01"/>
          <w:i/>
        </w:rPr>
        <w:t>an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442F0E6D" w:rsidR="000913D5" w:rsidRDefault="00DD7CA0" w:rsidP="00F937B4">
      <w:pPr>
        <w:pStyle w:val="T"/>
        <w:rPr>
          <w:rFonts w:eastAsiaTheme="minorEastAsia"/>
          <w:b/>
          <w:bCs/>
          <w:iCs/>
          <w:sz w:val="22"/>
          <w:szCs w:val="22"/>
          <w:lang w:val="en-GB" w:eastAsia="ko-KR"/>
        </w:rPr>
      </w:pPr>
      <w:r>
        <w:rPr>
          <w:rFonts w:eastAsiaTheme="minorEastAsia"/>
          <w:b/>
          <w:bCs/>
          <w:iCs/>
          <w:noProof/>
          <w:sz w:val="22"/>
          <w:szCs w:val="22"/>
          <w:lang w:eastAsia="ko-KR"/>
        </w:rPr>
        <w:lastRenderedPageBreak/>
        <w:drawing>
          <wp:inline distT="0" distB="0" distL="0" distR="0" wp14:anchorId="39DEBE26" wp14:editId="52C3FF89">
            <wp:extent cx="6257290" cy="191071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290" cy="1910715"/>
                    </a:xfrm>
                    <a:prstGeom prst="rect">
                      <a:avLst/>
                    </a:prstGeom>
                    <a:noFill/>
                    <a:ln>
                      <a:noFill/>
                    </a:ln>
                  </pic:spPr>
                </pic:pic>
              </a:graphicData>
            </a:graphic>
          </wp:inline>
        </w:drawing>
      </w:r>
    </w:p>
    <w:p w14:paraId="57C5B5E6" w14:textId="1F71B306" w:rsidR="001118D1" w:rsidRDefault="001118D1" w:rsidP="00F937B4">
      <w:pPr>
        <w:pStyle w:val="T"/>
        <w:rPr>
          <w:rStyle w:val="fontstyle01"/>
          <w:rFonts w:hint="eastAsia"/>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Fonts w:hint="eastAsia"/>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3235E27C" w14:textId="61174DEF" w:rsidR="00855E2A" w:rsidRDefault="00BA7085" w:rsidP="00F937B4">
      <w:pPr>
        <w:pStyle w:val="T"/>
        <w:rPr>
          <w:rStyle w:val="fontstyle01"/>
          <w:rFonts w:hint="eastAsia"/>
        </w:rPr>
      </w:pPr>
      <w:r>
        <w:rPr>
          <w:rStyle w:val="fontstyle01"/>
          <w:rFonts w:hint="eastAsia"/>
          <w:noProof/>
          <w:lang w:eastAsia="ko-KR"/>
        </w:rPr>
        <w:drawing>
          <wp:inline distT="0" distB="0" distL="0" distR="0" wp14:anchorId="4B1FCE5C" wp14:editId="4E244927">
            <wp:extent cx="6217920" cy="1920240"/>
            <wp:effectExtent l="0" t="0" r="0" b="381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hint="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855E2A">
        <w:rPr>
          <w:rStyle w:val="fontstyle01"/>
          <w:rFonts w:eastAsiaTheme="minorEastAsia"/>
          <w:color w:val="FF0000"/>
          <w:lang w:eastAsia="ko-KR"/>
        </w:rPr>
        <w:t>no random access RU indication</w:t>
      </w:r>
      <w:r>
        <w:rPr>
          <w:rStyle w:val="fontstyle01"/>
          <w:rFonts w:eastAsiaTheme="minorEastAsia"/>
          <w:color w:val="FF0000"/>
          <w:lang w:eastAsia="ko-KR"/>
        </w:rPr>
        <w:t xml:space="preserve"> (No RA)</w:t>
      </w:r>
      <w:r w:rsidR="00BA7085">
        <w:rPr>
          <w:rStyle w:val="fontstyle01"/>
          <w:rFonts w:eastAsiaTheme="minorEastAsia"/>
          <w:color w:val="FF0000"/>
          <w:lang w:eastAsia="ko-KR"/>
        </w:rPr>
        <w:t xml:space="preserve"> in next  remaining TFs</w:t>
      </w:r>
      <w:r>
        <w:rPr>
          <w:rStyle w:val="fontstyle01"/>
          <w:rFonts w:eastAsiaTheme="minorEastAsia"/>
          <w:lang w:eastAsia="ko-KR"/>
        </w:rPr>
        <w:t xml:space="preserve">, </w:t>
      </w:r>
      <w:r>
        <w:rPr>
          <w:rStyle w:val="fontstyle01"/>
          <w:rFonts w:eastAsiaTheme="minorEastAsia" w:hint="eastAsia"/>
          <w:lang w:eastAsia="ko-KR"/>
        </w:rPr>
        <w:t xml:space="preserve">RA 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hint="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Default="00995FAE" w:rsidP="00995FAE">
      <w:pPr>
        <w:rPr>
          <w:rFonts w:eastAsia="Times New Roman"/>
          <w:b/>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the</w:t>
      </w:r>
      <w:r>
        <w:rPr>
          <w:rFonts w:eastAsia="Times New Roman"/>
          <w:b/>
          <w:color w:val="000000"/>
          <w:sz w:val="20"/>
          <w:highlight w:val="yellow"/>
          <w:lang w:val="en-US"/>
        </w:rPr>
        <w:t xml:space="preserve"> last paragraph in subclause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27.14.2 Power save with UORA) as follows</w:t>
      </w:r>
      <w:r w:rsidRPr="00A13054">
        <w:rPr>
          <w:b/>
          <w:bCs/>
          <w:sz w:val="20"/>
          <w:highlight w:val="yellow"/>
        </w:rPr>
        <w:t>:</w:t>
      </w:r>
    </w:p>
    <w:p w14:paraId="16446C91" w14:textId="1DCC4D92" w:rsidR="00995FAE" w:rsidRPr="00C350F2" w:rsidRDefault="00995FAE" w:rsidP="00F937B4">
      <w:pPr>
        <w:pStyle w:val="T"/>
        <w:rPr>
          <w:rStyle w:val="fontstyle01"/>
          <w:rFonts w:eastAsiaTheme="minorEastAsia" w:hint="eastAsia"/>
          <w:color w:val="0070C0"/>
          <w:u w:val="single"/>
          <w:lang w:eastAsia="ko-KR"/>
        </w:rPr>
      </w:pPr>
      <w:r>
        <w:rPr>
          <w:rStyle w:val="fontstyle01"/>
        </w:rPr>
        <w:t>An HE STA may use the value indicated in the Cascade Indication field in a Trigger frame to enter the doze state. If the OBO counter decrements to a non-zero value with the UORA</w:t>
      </w:r>
      <w:r>
        <w:rPr>
          <w:rStyle w:val="fontstyle01"/>
          <w:color w:val="218A21"/>
        </w:rPr>
        <w:t xml:space="preserve">(#8142) </w:t>
      </w:r>
      <w:r>
        <w:rPr>
          <w:rStyle w:val="fontstyle01"/>
        </w:rPr>
        <w:t>procedure in a Trigger frame with Cascade Indication field set to 0, it may enter the doze state immediately. If the OBO counter decrements to a non-zero value with the UORA</w:t>
      </w:r>
      <w:r>
        <w:rPr>
          <w:rStyle w:val="fontstyle01"/>
          <w:color w:val="218A21"/>
        </w:rPr>
        <w:t xml:space="preserve">(#8142) </w:t>
      </w:r>
      <w:r>
        <w:rPr>
          <w:rStyle w:val="fontstyle01"/>
        </w:rPr>
        <w:t xml:space="preserve">procedure in a Trigger frame with Cascade Indication field set to 1, it may remain awake for random access in the cascaded Trigger frame. </w:t>
      </w:r>
      <w:r w:rsidRPr="00C350F2">
        <w:rPr>
          <w:rStyle w:val="fontstyle01"/>
          <w:color w:val="0070C0"/>
          <w:u w:val="single"/>
        </w:rPr>
        <w:t xml:space="preserve">If the OBO counter decrements to a non-zero value with the UORA(#8142) procedure in a Trigger frame with the </w:t>
      </w:r>
      <w:r w:rsidR="00C86FF7">
        <w:rPr>
          <w:rStyle w:val="fontstyle01"/>
          <w:color w:val="0070C0"/>
          <w:u w:val="single"/>
        </w:rPr>
        <w:t>No Further RA RU</w:t>
      </w:r>
      <w:r w:rsidR="00960ECE">
        <w:rPr>
          <w:rStyle w:val="fontstyle01"/>
          <w:color w:val="0070C0"/>
          <w:u w:val="single"/>
        </w:rPr>
        <w:t xml:space="preserve"> </w:t>
      </w:r>
      <w:r w:rsidR="00AF0054">
        <w:rPr>
          <w:rStyle w:val="fontstyle01"/>
          <w:color w:val="0070C0"/>
          <w:u w:val="single"/>
        </w:rPr>
        <w:t>sub</w:t>
      </w:r>
      <w:r w:rsidR="00A4337F">
        <w:rPr>
          <w:rStyle w:val="fontstyle01"/>
          <w:color w:val="0070C0"/>
          <w:u w:val="single"/>
        </w:rPr>
        <w:t>field</w:t>
      </w:r>
      <w:r w:rsidR="00C350F2">
        <w:rPr>
          <w:rStyle w:val="fontstyle01"/>
          <w:color w:val="0070C0"/>
          <w:u w:val="single"/>
        </w:rPr>
        <w:t xml:space="preserve"> set to </w:t>
      </w:r>
      <w:r w:rsidR="00960ECE">
        <w:rPr>
          <w:rStyle w:val="fontstyle01"/>
          <w:color w:val="0070C0"/>
          <w:u w:val="single"/>
        </w:rPr>
        <w:t>1</w:t>
      </w:r>
      <w:r w:rsidRPr="00C350F2">
        <w:rPr>
          <w:rStyle w:val="fontstyle01"/>
          <w:color w:val="0070C0"/>
          <w:u w:val="single"/>
        </w:rPr>
        <w:t xml:space="preserve">, </w:t>
      </w:r>
      <w:r w:rsidR="00C81415">
        <w:rPr>
          <w:rStyle w:val="fontstyle01"/>
          <w:color w:val="0070C0"/>
          <w:u w:val="single"/>
        </w:rPr>
        <w:t>it</w:t>
      </w:r>
      <w:r w:rsidR="00C350F2">
        <w:rPr>
          <w:rStyle w:val="fontstyle01"/>
          <w:color w:val="0070C0"/>
          <w:u w:val="single"/>
        </w:rPr>
        <w:t xml:space="preserve"> may enter the doze state immediately until the end of duration indicated by the Durat</w:t>
      </w:r>
      <w:r w:rsidR="00C81415">
        <w:rPr>
          <w:rStyle w:val="fontstyle01"/>
          <w:color w:val="0070C0"/>
          <w:u w:val="single"/>
        </w:rPr>
        <w:t>ion field of the Trigger frame.</w:t>
      </w:r>
    </w:p>
    <w:p w14:paraId="5A05B7B6" w14:textId="77777777" w:rsidR="00995FAE" w:rsidRPr="00C81415" w:rsidRDefault="00995FAE" w:rsidP="00F937B4">
      <w:pPr>
        <w:pStyle w:val="T"/>
        <w:rPr>
          <w:rStyle w:val="fontstyle01"/>
          <w:rFonts w:eastAsiaTheme="minorEastAsia" w:hint="eastAsia"/>
          <w:lang w:eastAsia="ko-KR"/>
        </w:rPr>
      </w:pPr>
      <w:bookmarkStart w:id="0" w:name="_GoBack"/>
      <w:bookmarkEnd w:id="0"/>
    </w:p>
    <w:p w14:paraId="24134C7A" w14:textId="77777777" w:rsidR="00C86FF7" w:rsidRDefault="00C86FF7" w:rsidP="00CF09F3">
      <w:pPr>
        <w:rPr>
          <w:rFonts w:eastAsia="Times New Roman"/>
          <w:b/>
          <w:color w:val="000000"/>
          <w:sz w:val="20"/>
          <w:highlight w:val="yellow"/>
          <w:lang w:val="en-US"/>
        </w:rPr>
      </w:pPr>
    </w:p>
    <w:p w14:paraId="3AAA27A4" w14:textId="77777777" w:rsidR="00B55247" w:rsidRPr="00B55247" w:rsidRDefault="00B55247" w:rsidP="00B55247">
      <w:pPr>
        <w:rPr>
          <w:rFonts w:eastAsia="Times New Roman"/>
          <w:b/>
          <w:color w:val="000000"/>
          <w:sz w:val="20"/>
          <w:highlight w:val="yellow"/>
          <w:lang w:val="en-US"/>
        </w:rPr>
      </w:pPr>
      <w:r w:rsidRPr="00B55247">
        <w:rPr>
          <w:rFonts w:eastAsia="Times New Roman" w:hint="eastAsia"/>
          <w:b/>
          <w:color w:val="000000"/>
          <w:sz w:val="20"/>
          <w:highlight w:val="yellow"/>
          <w:lang w:val="en-US"/>
        </w:rPr>
        <w:t>TGax editor: add the following paragraphs after Figure 9-52f in 9.3.1.23:</w:t>
      </w:r>
    </w:p>
    <w:p w14:paraId="2CBF7EDE" w14:textId="77777777" w:rsidR="00B55247" w:rsidRDefault="00B55247" w:rsidP="00B55247">
      <w:pPr>
        <w:pStyle w:val="Note"/>
        <w:rPr>
          <w:rStyle w:val="SC12323589"/>
          <w:lang w:val="en-GB" w:eastAsia="zh-CN"/>
        </w:rPr>
      </w:pPr>
    </w:p>
    <w:p w14:paraId="4972DEA5" w14:textId="77777777" w:rsidR="00B55247" w:rsidRPr="00C81415" w:rsidRDefault="00B55247" w:rsidP="00B55247">
      <w:pPr>
        <w:pStyle w:val="Note"/>
        <w:spacing w:beforeLines="50" w:before="120"/>
        <w:rPr>
          <w:rStyle w:val="fontstyle01"/>
          <w:bCs/>
          <w:color w:val="0070C0"/>
          <w:u w:val="single"/>
        </w:rPr>
      </w:pPr>
      <w:r w:rsidRPr="00C81415">
        <w:rPr>
          <w:rStyle w:val="fontstyle01"/>
          <w:rFonts w:hint="eastAsia"/>
          <w:bCs/>
          <w:color w:val="0070C0"/>
          <w:u w:val="single"/>
        </w:rPr>
        <w:t xml:space="preserve">When the value of the AID12 field is equal to 0 or 2045, the </w:t>
      </w:r>
      <w:r w:rsidRPr="00C81415">
        <w:rPr>
          <w:rStyle w:val="fontstyle01"/>
          <w:color w:val="0070C0"/>
          <w:u w:val="single"/>
        </w:rPr>
        <w:t>SS Allocation subfield</w:t>
      </w:r>
      <w:r w:rsidRPr="00C81415">
        <w:rPr>
          <w:rStyle w:val="fontstyle01"/>
          <w:rFonts w:hint="eastAsia"/>
          <w:color w:val="0070C0"/>
          <w:u w:val="single"/>
        </w:rPr>
        <w:t xml:space="preserve"> is not present, and</w:t>
      </w:r>
      <w:r w:rsidRPr="00C81415">
        <w:rPr>
          <w:rStyle w:val="fontstyle01"/>
          <w:rFonts w:hint="eastAsia"/>
          <w:bCs/>
          <w:color w:val="0070C0"/>
          <w:u w:val="single"/>
        </w:rPr>
        <w:t xml:space="preserve"> the user info field is defined in Figure 9-52fa.</w:t>
      </w:r>
    </w:p>
    <w:p w14:paraId="56D42B2B" w14:textId="77777777" w:rsidR="00B55247" w:rsidRPr="0075638C" w:rsidRDefault="00B55247" w:rsidP="00B55247">
      <w:pPr>
        <w:pStyle w:val="Note"/>
        <w:spacing w:beforeLines="50" w:before="120"/>
        <w:rPr>
          <w:rStyle w:val="SC12323589"/>
          <w:u w:val="single"/>
          <w:lang w:eastAsia="zh-CN"/>
        </w:rPr>
      </w:pPr>
    </w:p>
    <w:p w14:paraId="11B7CA3A" w14:textId="77777777" w:rsidR="00C81415" w:rsidRDefault="00C81415" w:rsidP="00B55247">
      <w:pPr>
        <w:pStyle w:val="Note"/>
        <w:spacing w:beforeLines="50" w:before="120"/>
        <w:jc w:val="center"/>
        <w:rPr>
          <w:rStyle w:val="SC12323589"/>
          <w:u w:val="single"/>
          <w:lang w:eastAsia="zh-CN"/>
        </w:rPr>
      </w:pPr>
      <w:r>
        <w:rPr>
          <w:rStyle w:val="SC12323589"/>
          <w:rFonts w:hint="eastAsia"/>
          <w:noProof/>
          <w:u w:val="single"/>
        </w:rPr>
        <w:drawing>
          <wp:inline distT="0" distB="0" distL="0" distR="0" wp14:anchorId="502CE894" wp14:editId="42C4C49E">
            <wp:extent cx="5063490" cy="579389"/>
            <wp:effectExtent l="0" t="0" r="381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0600" cy="584780"/>
                    </a:xfrm>
                    <a:prstGeom prst="rect">
                      <a:avLst/>
                    </a:prstGeom>
                    <a:noFill/>
                    <a:ln>
                      <a:noFill/>
                    </a:ln>
                  </pic:spPr>
                </pic:pic>
              </a:graphicData>
            </a:graphic>
          </wp:inline>
        </w:drawing>
      </w:r>
    </w:p>
    <w:p w14:paraId="2488F88C" w14:textId="52D5CAF7" w:rsidR="00B55247" w:rsidRPr="0075638C" w:rsidRDefault="00B55247" w:rsidP="00B55247">
      <w:pPr>
        <w:pStyle w:val="Note"/>
        <w:spacing w:beforeLines="50" w:before="120"/>
        <w:jc w:val="center"/>
        <w:rPr>
          <w:rStyle w:val="SC12323589"/>
          <w:u w:val="single"/>
          <w:lang w:eastAsia="zh-CN"/>
        </w:rPr>
      </w:pPr>
      <w:r>
        <w:rPr>
          <w:rStyle w:val="SC12323589"/>
          <w:rFonts w:hint="eastAsia"/>
          <w:u w:val="single"/>
          <w:lang w:eastAsia="zh-CN"/>
        </w:rPr>
        <w:t>Figure 9-52f</w:t>
      </w:r>
      <w:r w:rsidRPr="0075638C">
        <w:rPr>
          <w:rStyle w:val="SC12323589"/>
          <w:rFonts w:hint="eastAsia"/>
          <w:u w:val="single"/>
          <w:lang w:eastAsia="zh-CN"/>
        </w:rPr>
        <w:t xml:space="preserve">a </w:t>
      </w:r>
      <w:r w:rsidRPr="0075638C">
        <w:rPr>
          <w:rStyle w:val="SC12323589"/>
          <w:u w:val="single"/>
          <w:lang w:eastAsia="zh-CN"/>
        </w:rPr>
        <w:t>–</w:t>
      </w:r>
      <w:r w:rsidRPr="0075638C">
        <w:rPr>
          <w:rStyle w:val="SC12323589"/>
          <w:rFonts w:hint="eastAsia"/>
          <w:u w:val="single"/>
          <w:lang w:eastAsia="zh-CN"/>
        </w:rPr>
        <w:t xml:space="preserve"> User Info field when AID</w:t>
      </w:r>
      <w:r>
        <w:rPr>
          <w:rStyle w:val="SC12323589"/>
          <w:rFonts w:hint="eastAsia"/>
          <w:u w:val="single"/>
          <w:lang w:eastAsia="zh-CN"/>
        </w:rPr>
        <w:t>12</w:t>
      </w:r>
      <w:r w:rsidRPr="0075638C">
        <w:rPr>
          <w:rStyle w:val="SC12323589"/>
          <w:rFonts w:hint="eastAsia"/>
          <w:u w:val="single"/>
          <w:lang w:eastAsia="zh-CN"/>
        </w:rPr>
        <w:t>=0</w:t>
      </w:r>
      <w:r>
        <w:rPr>
          <w:rStyle w:val="SC12323589"/>
          <w:rFonts w:hint="eastAsia"/>
          <w:u w:val="single"/>
          <w:lang w:eastAsia="zh-CN"/>
        </w:rPr>
        <w:t xml:space="preserve"> or 2045</w:t>
      </w:r>
    </w:p>
    <w:p w14:paraId="2865B46F" w14:textId="3A5CDC41" w:rsidR="00995FAE" w:rsidRDefault="00C81415" w:rsidP="00F937B4">
      <w:pPr>
        <w:pStyle w:val="T"/>
        <w:rPr>
          <w:rStyle w:val="fontstyle01"/>
          <w:rFonts w:eastAsiaTheme="minorEastAsia" w:hint="eastAsia"/>
          <w:color w:val="0070C0"/>
          <w:u w:val="single"/>
          <w:lang w:eastAsia="ko-KR"/>
        </w:rPr>
      </w:pPr>
      <w:r>
        <w:rPr>
          <w:rStyle w:val="fontstyle01"/>
          <w:rFonts w:eastAsiaTheme="minorEastAsia"/>
          <w:color w:val="0070C0"/>
          <w:u w:val="single"/>
          <w:lang w:eastAsia="ko-KR"/>
        </w:rPr>
        <w:t xml:space="preserve">The No Further RA RU subfield </w:t>
      </w:r>
      <w:r w:rsidR="005C4044">
        <w:rPr>
          <w:rStyle w:val="fontstyle01"/>
          <w:rFonts w:eastAsiaTheme="minorEastAsia"/>
          <w:color w:val="0070C0"/>
          <w:u w:val="single"/>
          <w:lang w:eastAsia="ko-KR"/>
        </w:rPr>
        <w:t>set to 1</w:t>
      </w:r>
      <w:r w:rsidR="00AF0054">
        <w:rPr>
          <w:rStyle w:val="fontstyle01"/>
          <w:rFonts w:eastAsiaTheme="minorEastAsia"/>
          <w:color w:val="0070C0"/>
          <w:u w:val="single"/>
          <w:lang w:eastAsia="ko-KR"/>
        </w:rPr>
        <w:t xml:space="preserve"> indicates that </w:t>
      </w:r>
      <w:r w:rsidR="00EB4D9E">
        <w:rPr>
          <w:rStyle w:val="fontstyle01"/>
          <w:rFonts w:eastAsiaTheme="minorEastAsia"/>
          <w:color w:val="0070C0"/>
          <w:u w:val="single"/>
          <w:lang w:eastAsia="ko-KR"/>
        </w:rPr>
        <w:t xml:space="preserve">random access </w:t>
      </w:r>
      <w:r w:rsidR="005C4044">
        <w:rPr>
          <w:rStyle w:val="fontstyle01"/>
          <w:rFonts w:eastAsiaTheme="minorEastAsia"/>
          <w:color w:val="0070C0"/>
          <w:u w:val="single"/>
          <w:lang w:eastAsia="ko-KR"/>
        </w:rPr>
        <w:t xml:space="preserve">RUs </w:t>
      </w:r>
      <w:r w:rsidR="00EB4D9E">
        <w:rPr>
          <w:rStyle w:val="fontstyle01"/>
          <w:rFonts w:eastAsiaTheme="minorEastAsia"/>
          <w:color w:val="0070C0"/>
          <w:u w:val="single"/>
          <w:lang w:eastAsia="ko-KR"/>
        </w:rPr>
        <w:t xml:space="preserve">are not allocated by the subsequent Trigger frames </w:t>
      </w:r>
      <w:r w:rsidR="00AF0054">
        <w:rPr>
          <w:rStyle w:val="fontstyle01"/>
          <w:rFonts w:eastAsiaTheme="minorEastAsia"/>
          <w:color w:val="0070C0"/>
          <w:u w:val="single"/>
          <w:lang w:eastAsia="ko-KR"/>
        </w:rPr>
        <w:t>which are sent until the end of the duration indicated by the Duration field of the Trigger frame.</w:t>
      </w:r>
    </w:p>
    <w:sectPr w:rsidR="00995FA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A39E" w14:textId="77777777" w:rsidR="007132B6" w:rsidRDefault="007132B6">
      <w:r>
        <w:separator/>
      </w:r>
    </w:p>
  </w:endnote>
  <w:endnote w:type="continuationSeparator" w:id="0">
    <w:p w14:paraId="65C74566" w14:textId="77777777" w:rsidR="007132B6" w:rsidRDefault="0071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A85797" w:rsidRDefault="007132B6">
    <w:pPr>
      <w:pStyle w:val="a3"/>
      <w:tabs>
        <w:tab w:val="clear" w:pos="6480"/>
        <w:tab w:val="center" w:pos="4680"/>
        <w:tab w:val="right" w:pos="9360"/>
      </w:tabs>
    </w:pPr>
    <w:r>
      <w:fldChar w:fldCharType="begin"/>
    </w:r>
    <w:r>
      <w:instrText xml:space="preserve"> SUBJECT  \* MERGEFORMAT </w:instrText>
    </w:r>
    <w:r>
      <w:fldChar w:fldCharType="separate"/>
    </w:r>
    <w:r w:rsidR="00A85797">
      <w:t>Submission</w:t>
    </w:r>
    <w:r>
      <w:fldChar w:fldCharType="end"/>
    </w:r>
    <w:r w:rsidR="00A85797">
      <w:tab/>
      <w:t xml:space="preserve">page </w:t>
    </w:r>
    <w:r w:rsidR="00A85797">
      <w:fldChar w:fldCharType="begin"/>
    </w:r>
    <w:r w:rsidR="00A85797">
      <w:instrText xml:space="preserve">page </w:instrText>
    </w:r>
    <w:r w:rsidR="00A85797">
      <w:fldChar w:fldCharType="separate"/>
    </w:r>
    <w:r w:rsidR="00A4337F">
      <w:rPr>
        <w:noProof/>
      </w:rPr>
      <w:t>1</w:t>
    </w:r>
    <w:r w:rsidR="00A85797">
      <w:rPr>
        <w:noProof/>
      </w:rPr>
      <w:fldChar w:fldCharType="end"/>
    </w:r>
    <w:r w:rsidR="00A85797">
      <w:tab/>
    </w:r>
    <w:r w:rsidR="00A85797">
      <w:rPr>
        <w:lang w:eastAsia="ko-KR"/>
      </w:rPr>
      <w:t>Jeongki Kim et.al.</w:t>
    </w:r>
    <w:r w:rsidR="00A85797">
      <w:t>,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469F" w14:textId="77777777" w:rsidR="007132B6" w:rsidRDefault="007132B6">
      <w:r>
        <w:separator/>
      </w:r>
    </w:p>
  </w:footnote>
  <w:footnote w:type="continuationSeparator" w:id="0">
    <w:p w14:paraId="1BF9AA38" w14:textId="77777777" w:rsidR="007132B6" w:rsidRDefault="00713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2B2C4783" w:rsidR="00A85797" w:rsidRDefault="00A85797">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r w:rsidR="007132B6">
      <w:fldChar w:fldCharType="begin"/>
    </w:r>
    <w:r w:rsidR="007132B6">
      <w:instrText xml:space="preserve"> TITLE  \* MERGEFORMAT </w:instrText>
    </w:r>
    <w:r w:rsidR="007132B6">
      <w:fldChar w:fldCharType="separate"/>
    </w:r>
    <w:r>
      <w:t>doc.: IEEE 802.11-17/</w:t>
    </w:r>
    <w:r w:rsidR="000100F6">
      <w:rPr>
        <w:lang w:eastAsia="ko-KR"/>
      </w:rPr>
      <w:t>1060</w:t>
    </w:r>
    <w:r>
      <w:rPr>
        <w:lang w:eastAsia="ko-KR"/>
      </w:rPr>
      <w:t>r</w:t>
    </w:r>
    <w:r w:rsidR="007132B6">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oNotDisplayPageBoundaries/>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4C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08E3"/>
    <w:rsid w:val="00231F3B"/>
    <w:rsid w:val="002323FE"/>
    <w:rsid w:val="00234C13"/>
    <w:rsid w:val="0023556F"/>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ED6"/>
    <w:rsid w:val="00520B8C"/>
    <w:rsid w:val="0052151C"/>
    <w:rsid w:val="00522A49"/>
    <w:rsid w:val="005235B6"/>
    <w:rsid w:val="005243B4"/>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47052"/>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763F"/>
    <w:rsid w:val="00AE7BCF"/>
    <w:rsid w:val="00AE7D6D"/>
    <w:rsid w:val="00AF0054"/>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47C1"/>
    <w:rsid w:val="00D24B1B"/>
    <w:rsid w:val="00D2694A"/>
    <w:rsid w:val="00D277CF"/>
    <w:rsid w:val="00D30761"/>
    <w:rsid w:val="00D307A6"/>
    <w:rsid w:val="00D312F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D71B-70CE-4324-9A62-16CC512C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726</Words>
  <Characters>4139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4856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7</cp:revision>
  <cp:lastPrinted>2010-05-04T03:47:00Z</cp:lastPrinted>
  <dcterms:created xsi:type="dcterms:W3CDTF">2017-07-10T14:34:00Z</dcterms:created>
  <dcterms:modified xsi:type="dcterms:W3CDTF">2017-07-11T13:00:00Z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