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4DF8150" w:rsidR="005E768D" w:rsidRPr="004D2D75" w:rsidRDefault="00B32AB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DEAA3E5">
                <wp:simplePos x="0" y="0"/>
                <wp:positionH relativeFrom="column">
                  <wp:posOffset>-63500</wp:posOffset>
                </wp:positionH>
                <wp:positionV relativeFrom="paragraph">
                  <wp:posOffset>199390</wp:posOffset>
                </wp:positionV>
                <wp:extent cx="5943600" cy="282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2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07A95FD5"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Note that the case for multi-BSSID is well described in 27.5.2.2.2. Hence, we simply </w:t>
            </w:r>
            <w:r w:rsidR="000D287A">
              <w:rPr>
                <w:rFonts w:ascii="Calibri" w:hAnsi="Calibri" w:cs="Arial"/>
                <w:sz w:val="16"/>
                <w:szCs w:val="16"/>
              </w:rPr>
              <w:t xml:space="preserve">delete the sentence and revise the description in </w:t>
            </w:r>
            <w:r w:rsidR="009C737D" w:rsidRPr="009C737D">
              <w:rPr>
                <w:rFonts w:ascii="Calibri" w:hAnsi="Calibri" w:cs="Arial"/>
                <w:sz w:val="16"/>
                <w:szCs w:val="16"/>
              </w:rPr>
              <w:t>9.3.1.23</w:t>
            </w:r>
            <w:r w:rsidR="009C737D" w:rsidRPr="000D287A">
              <w:rPr>
                <w:b/>
                <w:i/>
                <w:lang w:eastAsia="ko-KR"/>
              </w:rPr>
              <w:t xml:space="preserve"> </w:t>
            </w:r>
            <w:r w:rsidR="000D287A">
              <w:rPr>
                <w:rFonts w:ascii="Calibri" w:hAnsi="Calibri" w:cs="Arial"/>
                <w:sz w:val="16"/>
                <w:szCs w:val="16"/>
              </w:rPr>
              <w:t xml:space="preserve">to </w:t>
            </w:r>
            <w:r>
              <w:rPr>
                <w:rFonts w:ascii="Calibri" w:hAnsi="Calibri" w:cs="Arial"/>
                <w:sz w:val="16"/>
                <w:szCs w:val="16"/>
              </w:rPr>
              <w:t>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5CBB0C61"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03CA77F1" w14:textId="37E32911" w:rsidR="00E27A4E" w:rsidRDefault="009C737D"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20AB3AAF" w14:textId="77777777" w:rsidR="009C737D" w:rsidRDefault="009C737D" w:rsidP="00E226A7">
            <w:pPr>
              <w:autoSpaceDE w:val="0"/>
              <w:autoSpaceDN w:val="0"/>
              <w:adjustRightInd w:val="0"/>
              <w:rPr>
                <w:rFonts w:ascii="Calibri" w:hAnsi="Calibri" w:cs="Arial"/>
                <w:sz w:val="16"/>
                <w:szCs w:val="16"/>
              </w:rPr>
            </w:pPr>
          </w:p>
          <w:p w14:paraId="1C0BF78C" w14:textId="61785C66"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11D83D7B" w14:textId="445F2F10"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129D4EC2" w14:textId="77777777" w:rsidR="009C737D" w:rsidRDefault="009C737D" w:rsidP="00675093">
            <w:pPr>
              <w:autoSpaceDE w:val="0"/>
              <w:autoSpaceDN w:val="0"/>
              <w:adjustRightInd w:val="0"/>
              <w:rPr>
                <w:rFonts w:ascii="Calibri" w:hAnsi="Calibri" w:cs="Arial"/>
                <w:sz w:val="16"/>
                <w:szCs w:val="16"/>
              </w:rPr>
            </w:pPr>
          </w:p>
          <w:p w14:paraId="2FBB5487" w14:textId="2B639BE5"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F588966" w14:textId="25F8D343"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55CD69C3" w14:textId="77777777" w:rsidR="009C737D" w:rsidRDefault="009C737D" w:rsidP="00675093">
            <w:pPr>
              <w:autoSpaceDE w:val="0"/>
              <w:autoSpaceDN w:val="0"/>
              <w:adjustRightInd w:val="0"/>
              <w:rPr>
                <w:rFonts w:ascii="Calibri" w:hAnsi="Calibri" w:cs="Arial"/>
                <w:sz w:val="16"/>
                <w:szCs w:val="16"/>
              </w:rPr>
            </w:pPr>
          </w:p>
          <w:p w14:paraId="67210901" w14:textId="3AC91B7E" w:rsidR="00E226A7" w:rsidRPr="00675093" w:rsidRDefault="00675093"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3E858EFC" w14:textId="33ECBB64" w:rsidR="009C737D" w:rsidRDefault="009C737D" w:rsidP="009C737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71A9F60C"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658CE00A"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707566DF"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71072808"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6A289089"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289C8AC8"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3F1D63E3"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0D73808E"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568B49FA"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5C735BBE" w14:textId="77777777" w:rsidR="0069328E" w:rsidRDefault="0069328E" w:rsidP="002E46D8">
            <w:pPr>
              <w:autoSpaceDE w:val="0"/>
              <w:autoSpaceDN w:val="0"/>
              <w:adjustRightInd w:val="0"/>
              <w:rPr>
                <w:rFonts w:ascii="Calibri" w:hAnsi="Calibri"/>
                <w:bCs/>
                <w:sz w:val="16"/>
                <w:szCs w:val="16"/>
                <w:lang w:eastAsia="ko-KR"/>
              </w:rPr>
            </w:pPr>
          </w:p>
          <w:p w14:paraId="50937FAF" w14:textId="1E900BF3" w:rsidR="0069328E" w:rsidRDefault="0069328E"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also revise the description of </w:t>
            </w:r>
            <w:r w:rsidRPr="0069328E">
              <w:rPr>
                <w:rFonts w:ascii="Calibri" w:hAnsi="Calibri"/>
                <w:bCs/>
                <w:sz w:val="16"/>
                <w:szCs w:val="16"/>
                <w:lang w:eastAsia="ko-KR"/>
              </w:rPr>
              <w:t xml:space="preserve">160 MHz/80+80 </w:t>
            </w:r>
            <w:proofErr w:type="spellStart"/>
            <w:r w:rsidRPr="0069328E">
              <w:rPr>
                <w:rFonts w:ascii="Calibri" w:hAnsi="Calibri"/>
                <w:bCs/>
                <w:sz w:val="16"/>
                <w:szCs w:val="16"/>
                <w:lang w:eastAsia="ko-KR"/>
              </w:rPr>
              <w:t>MHz.</w:t>
            </w:r>
            <w:proofErr w:type="spellEnd"/>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32EAAD70"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2A8F9458"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2732D8AB"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lastRenderedPageBreak/>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2274AADB"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w:t>
            </w:r>
            <w:r w:rsidRPr="00E226A7">
              <w:rPr>
                <w:rFonts w:ascii="Calibri" w:hAnsi="Calibri"/>
                <w:bCs/>
                <w:sz w:val="16"/>
                <w:szCs w:val="16"/>
                <w:lang w:eastAsia="ko-KR"/>
              </w:rPr>
              <w:lastRenderedPageBreak/>
              <w:t>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4678BC01"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17A1C15C"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1D27D0">
              <w:rPr>
                <w:bCs/>
                <w:sz w:val="16"/>
                <w:szCs w:val="18"/>
                <w:lang w:eastAsia="ko-KR"/>
              </w:rPr>
              <w:t>r3</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5C630AD4"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1D27D0">
        <w:rPr>
          <w:lang w:eastAsia="ko-KR"/>
        </w:rPr>
        <w:t>r3</w:t>
      </w:r>
      <w:r>
        <w:rPr>
          <w:lang w:eastAsia="ko-KR"/>
        </w:rPr>
        <w:t>.</w:t>
      </w:r>
    </w:p>
    <w:p w14:paraId="56A02E20" w14:textId="77777777" w:rsidR="00376F16" w:rsidRDefault="00376F16" w:rsidP="00376F16">
      <w:pPr>
        <w:rPr>
          <w:rFonts w:ascii="TimesNewRomanPSMT" w:hAnsi="TimesNewRomanPSMT"/>
          <w:color w:val="000000"/>
          <w:sz w:val="20"/>
        </w:rPr>
      </w:pPr>
    </w:p>
    <w:p w14:paraId="6724BD04" w14:textId="58A7D09F" w:rsidR="000D287A" w:rsidRPr="000D287A" w:rsidRDefault="000D287A" w:rsidP="000D287A">
      <w:pPr>
        <w:rPr>
          <w:b/>
          <w:i/>
          <w:lang w:eastAsia="ko-KR"/>
        </w:rPr>
      </w:pPr>
      <w:proofErr w:type="spellStart"/>
      <w:r>
        <w:rPr>
          <w:b/>
          <w:i/>
          <w:lang w:eastAsia="ko-KR"/>
        </w:rPr>
        <w:t>TGax</w:t>
      </w:r>
      <w:proofErr w:type="spellEnd"/>
      <w:r>
        <w:rPr>
          <w:b/>
          <w:i/>
          <w:lang w:eastAsia="ko-KR"/>
        </w:rPr>
        <w:t xml:space="preserve"> editor: A</w:t>
      </w:r>
      <w:r w:rsidRPr="000D287A">
        <w:rPr>
          <w:b/>
          <w:i/>
          <w:lang w:eastAsia="ko-KR"/>
        </w:rPr>
        <w:t xml:space="preserve">dd underlined texts on page </w:t>
      </w:r>
      <w:r>
        <w:rPr>
          <w:b/>
          <w:i/>
          <w:lang w:eastAsia="ko-KR"/>
        </w:rPr>
        <w:t>41</w:t>
      </w:r>
      <w:r w:rsidRPr="000D287A">
        <w:rPr>
          <w:b/>
          <w:i/>
          <w:lang w:eastAsia="ko-KR"/>
        </w:rPr>
        <w:t xml:space="preserve"> line </w:t>
      </w:r>
      <w:r>
        <w:rPr>
          <w:b/>
          <w:i/>
          <w:lang w:eastAsia="ko-KR"/>
        </w:rPr>
        <w:t>65</w:t>
      </w:r>
      <w:r w:rsidRPr="000D287A">
        <w:rPr>
          <w:b/>
          <w:i/>
          <w:lang w:eastAsia="ko-KR"/>
        </w:rPr>
        <w:t xml:space="preserve"> for 9.3.1.23 Trigger frame format as the following:</w:t>
      </w:r>
    </w:p>
    <w:p w14:paraId="0A100028" w14:textId="5909C704" w:rsidR="000D287A" w:rsidRDefault="000D287A" w:rsidP="0066149B">
      <w:pPr>
        <w:rPr>
          <w:b/>
          <w:i/>
          <w:lang w:eastAsia="ko-KR"/>
        </w:rPr>
      </w:pPr>
    </w:p>
    <w:p w14:paraId="22E2A3EC" w14:textId="4142A390" w:rsidR="000D287A" w:rsidRPr="000D287A" w:rsidRDefault="000D287A" w:rsidP="0066149B">
      <w:pPr>
        <w:rPr>
          <w:b/>
          <w:i/>
          <w:u w:val="single"/>
          <w:lang w:eastAsia="ko-KR"/>
        </w:rPr>
      </w:pPr>
      <w:r w:rsidRPr="000D287A">
        <w:rPr>
          <w:rFonts w:ascii="TimesNewRomanPSMT" w:hAnsi="TimesNewRomanPSMT"/>
          <w:color w:val="000000"/>
          <w:sz w:val="20"/>
        </w:rPr>
        <w:t>The TA field value is the address of the STA transmitting the Trigger frame.</w:t>
      </w:r>
      <w:r>
        <w:rPr>
          <w:rFonts w:ascii="TimesNewRomanPSMT" w:hAnsi="TimesNewRomanPSMT"/>
          <w:color w:val="000000"/>
          <w:sz w:val="20"/>
        </w:rPr>
        <w:t xml:space="preserve"> </w:t>
      </w:r>
      <w:r w:rsidRPr="000D287A">
        <w:rPr>
          <w:rFonts w:ascii="TimesNewRomanPSMT" w:hAnsi="TimesNewRomanPSMT"/>
          <w:color w:val="000000"/>
          <w:sz w:val="20"/>
          <w:u w:val="single"/>
        </w:rPr>
        <w:t>The allowed setting of the TA field is described in 27.5.2.2.2 (Allowed settings of the Trigger frame fields and UL MU Response Scheduling A-Control subfields)</w:t>
      </w:r>
      <w:proofErr w:type="gramStart"/>
      <w:r w:rsidRPr="000D287A">
        <w:rPr>
          <w:rFonts w:ascii="TimesNewRomanPSMT" w:hAnsi="TimesNewRomanPSMT"/>
          <w:color w:val="000000"/>
          <w:sz w:val="20"/>
          <w:u w:val="single"/>
        </w:rPr>
        <w:t>.</w:t>
      </w:r>
      <w:r w:rsidRPr="000D287A">
        <w:rPr>
          <w:rFonts w:ascii="TimesNewRomanPSMT" w:hAnsi="TimesNewRomanPSMT"/>
          <w:color w:val="000000"/>
          <w:sz w:val="20"/>
        </w:rPr>
        <w:t>(</w:t>
      </w:r>
      <w:proofErr w:type="gramEnd"/>
      <w:r w:rsidRPr="000D287A">
        <w:rPr>
          <w:rFonts w:ascii="TimesNewRomanPSMT" w:hAnsi="TimesNewRomanPSMT"/>
          <w:color w:val="000000"/>
          <w:sz w:val="20"/>
        </w:rPr>
        <w:t>#3166)</w:t>
      </w:r>
    </w:p>
    <w:p w14:paraId="12E1F52D" w14:textId="77777777" w:rsidR="000D287A" w:rsidRDefault="000D287A" w:rsidP="0066149B">
      <w:pPr>
        <w:rPr>
          <w:b/>
          <w:i/>
          <w:lang w:eastAsia="ko-KR"/>
        </w:rPr>
      </w:pPr>
    </w:p>
    <w:p w14:paraId="1D9274BD" w14:textId="1F160067" w:rsidR="004D4077" w:rsidRPr="000D287A" w:rsidRDefault="0066149B" w:rsidP="000348B1">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3E296498" w14:textId="77777777" w:rsidR="00140EC4" w:rsidRDefault="00140EC4" w:rsidP="000348B1">
      <w:pPr>
        <w:rPr>
          <w:rFonts w:ascii="TimesNewRomanPSMT" w:hAnsi="TimesNewRomanPSMT"/>
          <w:color w:val="000000"/>
          <w:sz w:val="20"/>
          <w:u w:val="single"/>
        </w:rPr>
      </w:pPr>
    </w:p>
    <w:p w14:paraId="6CA7588E" w14:textId="3489A1EE" w:rsidR="00982BCE" w:rsidRPr="000D287A" w:rsidRDefault="00982BCE" w:rsidP="000348B1">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20821BB6" w:rsidR="00B26484" w:rsidRPr="007B10AF" w:rsidRDefault="00B26484" w:rsidP="00B26484">
      <w:pPr>
        <w:autoSpaceDE w:val="0"/>
        <w:autoSpaceDN w:val="0"/>
        <w:adjustRightInd w:val="0"/>
        <w:rPr>
          <w:rFonts w:ascii="TimesNewRomanPSMT" w:hAnsi="TimesNewRomanPSMT"/>
          <w:color w:val="FF0000"/>
          <w:sz w:val="20"/>
        </w:rPr>
      </w:pPr>
      <w:r w:rsidRPr="00DA3460">
        <w:rPr>
          <w:rFonts w:ascii="TimesNewRomanPSMT" w:hAnsi="TimesNewRomanPSMT"/>
          <w:strike/>
          <w:color w:val="000000"/>
          <w:sz w:val="20"/>
        </w:rPr>
        <w:t>NOTE—</w:t>
      </w:r>
      <w:r w:rsidRPr="009C737D">
        <w:rPr>
          <w:rFonts w:ascii="TimesNewRomanPSMT" w:hAnsi="TimesNewRomanPSMT"/>
          <w:strike/>
          <w:color w:val="000000"/>
          <w:sz w:val="20"/>
        </w:rPr>
        <w:t xml:space="preserve">The </w:t>
      </w:r>
      <w:r w:rsidR="009C737D">
        <w:rPr>
          <w:rFonts w:ascii="TimesNewRomanPSMT" w:hAnsi="TimesNewRomanPSMT"/>
          <w:strike/>
          <w:color w:val="000000"/>
          <w:sz w:val="20"/>
        </w:rPr>
        <w:t xml:space="preserve">TA field </w:t>
      </w:r>
      <w:r w:rsidRPr="00DA3460">
        <w:rPr>
          <w:rFonts w:ascii="TimesNewRomanPSMT" w:hAnsi="TimesNewRomanPSMT"/>
          <w:strike/>
          <w:color w:val="000000"/>
          <w:sz w:val="20"/>
        </w:rPr>
        <w:t>value is the address of the STA transmitting the MU-RTS frame</w:t>
      </w:r>
      <w:proofErr w:type="gramStart"/>
      <w:r w:rsidRPr="00DA3460">
        <w:rPr>
          <w:rFonts w:ascii="TimesNewRomanPSMT" w:hAnsi="TimesNewRomanPSMT"/>
          <w:strike/>
          <w:color w:val="000000"/>
          <w:sz w:val="20"/>
        </w:rPr>
        <w:t>.</w:t>
      </w:r>
      <w:r>
        <w:rPr>
          <w:rFonts w:ascii="TimesNewRomanPSMT" w:hAnsi="TimesNewRomanPSMT"/>
          <w:color w:val="000000"/>
          <w:sz w:val="20"/>
        </w:rPr>
        <w:t>(</w:t>
      </w:r>
      <w:proofErr w:type="gramEnd"/>
      <w:r>
        <w:rPr>
          <w:rFonts w:ascii="TimesNewRomanPSMT" w:hAnsi="TimesNewRomanPSMT"/>
          <w:color w:val="000000"/>
          <w:sz w:val="20"/>
        </w:rPr>
        <w:t>#3166)</w:t>
      </w:r>
      <w:r w:rsidR="007B10AF">
        <w:rPr>
          <w:rFonts w:ascii="TimesNewRomanPSMT" w:hAnsi="TimesNewRomanPSMT"/>
          <w:color w:val="000000"/>
          <w:sz w:val="20"/>
        </w:rPr>
        <w:t xml:space="preserve"> </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6FD4A223"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MHz</w:t>
      </w:r>
      <w:r w:rsidRPr="0069328E">
        <w:rPr>
          <w:rFonts w:ascii="TimesNewRomanPSMT" w:hAnsi="TimesNewRomanPSMT"/>
          <w:strike/>
          <w:color w:val="000000"/>
          <w:sz w:val="20"/>
        </w:rPr>
        <w:t>/</w:t>
      </w:r>
      <w:r w:rsidR="0069328E">
        <w:rPr>
          <w:rFonts w:ascii="TimesNewRomanPSMT" w:hAnsi="TimesNewRomanPSMT"/>
          <w:color w:val="000000"/>
          <w:sz w:val="20"/>
          <w:u w:val="single"/>
        </w:rPr>
        <w:t xml:space="preserve"> a</w:t>
      </w:r>
      <w:r w:rsidR="0069328E" w:rsidRPr="0069328E">
        <w:rPr>
          <w:rFonts w:ascii="TimesNewRomanPSMT" w:hAnsi="TimesNewRomanPSMT"/>
          <w:color w:val="000000"/>
          <w:sz w:val="20"/>
          <w:u w:val="single"/>
        </w:rPr>
        <w:t xml:space="preserve">nd </w:t>
      </w:r>
      <w:r w:rsidR="0069328E">
        <w:rPr>
          <w:rFonts w:ascii="TimesNewRomanPSMT" w:hAnsi="TimesNewRomanPSMT"/>
          <w:color w:val="000000"/>
          <w:sz w:val="20"/>
        </w:rPr>
        <w:t>(#7273)</w:t>
      </w:r>
      <w:r w:rsidRPr="00982BCE">
        <w:rPr>
          <w:rFonts w:ascii="TimesNewRomanPSMT" w:hAnsi="TimesNewRomanPSMT"/>
          <w:color w:val="000000"/>
          <w:sz w:val="20"/>
        </w:rPr>
        <w:t xml:space="preserve">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09425FC6"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the 242-tone RU entry 0111101 </w:t>
      </w:r>
      <w:r w:rsidRPr="002E46D8">
        <w:rPr>
          <w:rFonts w:ascii="TimesNewRomanPSMT" w:hAnsi="TimesNewRomanPSMT"/>
          <w:color w:val="000000"/>
          <w:sz w:val="20"/>
        </w:rPr>
        <w:t>for B19-B13</w:t>
      </w:r>
      <w:r w:rsidRPr="00C16B8D">
        <w:rPr>
          <w:rFonts w:ascii="TimesNewRomanPSMT" w:hAnsi="TimesNewRomanPSMT"/>
          <w:color w:val="000000"/>
          <w:sz w:val="20"/>
        </w:rPr>
        <w:t xml:space="preserve"> indicate</w:t>
      </w:r>
      <w:r w:rsidRPr="00C16B8D">
        <w:rPr>
          <w:rFonts w:ascii="TimesNewRomanPSMT" w:hAnsi="TimesNewRomanPSMT"/>
          <w:strike/>
          <w:color w:val="000000"/>
          <w:sz w:val="20"/>
        </w:rPr>
        <w:t>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p>
    <w:p w14:paraId="34A62BD7" w14:textId="77777777" w:rsidR="00C16B8D" w:rsidRDefault="00C16B8D" w:rsidP="000348B1">
      <w:pPr>
        <w:rPr>
          <w:rFonts w:ascii="TimesNewRomanPSMT" w:hAnsi="TimesNewRomanPSMT"/>
          <w:color w:val="000000"/>
          <w:sz w:val="20"/>
        </w:rPr>
      </w:pPr>
    </w:p>
    <w:p w14:paraId="328B8F75" w14:textId="3E688C13" w:rsidR="00C16B8D" w:rsidRDefault="00C16B8D" w:rsidP="000348B1">
      <w:pPr>
        <w:rPr>
          <w:rFonts w:ascii="TimesNewRomanPSMT" w:hAnsi="TimesNewRomanPSMT"/>
          <w:color w:val="000000"/>
          <w:sz w:val="20"/>
        </w:rPr>
      </w:pPr>
      <w:r w:rsidRPr="00C16B8D">
        <w:rPr>
          <w:rFonts w:ascii="TimesNewRomanPSMT" w:hAnsi="TimesNewRomanPSMT"/>
          <w:color w:val="000000"/>
          <w:sz w:val="20"/>
        </w:rPr>
        <w:lastRenderedPageBreak/>
        <w:t>If the BW subfield indicates 40 MHz, then</w:t>
      </w:r>
      <w:r w:rsidR="00CD4319">
        <w:rPr>
          <w:rFonts w:ascii="TimesNewRomanPSMT" w:hAnsi="TimesNewRomanPSMT"/>
          <w:color w:val="000000"/>
          <w:sz w:val="20"/>
        </w:rPr>
        <w:t xml:space="preserve"> </w:t>
      </w:r>
      <w:r w:rsidR="00CD4319" w:rsidRPr="004B3824">
        <w:rPr>
          <w:rFonts w:ascii="TimesNewRomanPSMT" w:hAnsi="TimesNewRomanPSMT"/>
          <w:color w:val="000000"/>
          <w:sz w:val="20"/>
          <w:u w:val="single"/>
        </w:rPr>
        <w:t>the 242-tone RU entry</w:t>
      </w:r>
      <w:r w:rsidR="004B3824" w:rsidRPr="004B3824">
        <w:rPr>
          <w:rFonts w:ascii="TimesNewRomanPSMT" w:hAnsi="TimesNewRomanPSMT"/>
          <w:color w:val="000000"/>
          <w:sz w:val="20"/>
          <w:u w:val="single"/>
        </w:rPr>
        <w:t xml:space="preserve"> 0111101</w:t>
      </w:r>
      <w:r w:rsidR="00CD4319" w:rsidRPr="004B3824">
        <w:rPr>
          <w:rFonts w:ascii="TimesNewRomanPSMT" w:hAnsi="TimesNewRomanPSMT"/>
          <w:color w:val="000000"/>
          <w:sz w:val="20"/>
          <w:u w:val="single"/>
        </w:rPr>
        <w:t xml:space="preserve"> </w:t>
      </w:r>
      <w:r w:rsidR="00B32ABB" w:rsidRPr="00B32ABB">
        <w:rPr>
          <w:rFonts w:ascii="TimesNewRomanPSMT" w:hAnsi="TimesNewRomanPSMT"/>
          <w:color w:val="000000"/>
          <w:sz w:val="20"/>
          <w:u w:val="single"/>
        </w:rPr>
        <w:t xml:space="preserve">for B19-B13 </w:t>
      </w:r>
      <w:r w:rsidR="00CD4319" w:rsidRPr="00B32ABB">
        <w:rPr>
          <w:rFonts w:ascii="TimesNewRomanPSMT" w:hAnsi="TimesNewRomanPSMT"/>
          <w:color w:val="000000"/>
          <w:sz w:val="20"/>
          <w:u w:val="single"/>
        </w:rPr>
        <w:t>represents</w:t>
      </w:r>
      <w:r w:rsidR="00CD4319" w:rsidRPr="004B3824">
        <w:rPr>
          <w:rFonts w:ascii="TimesNewRomanPSMT" w:hAnsi="TimesNewRomanPSMT"/>
          <w:color w:val="000000"/>
          <w:sz w:val="20"/>
          <w:u w:val="single"/>
        </w:rPr>
        <w:t xml:space="preserve"> the lowest frequency 20 MHz channel</w:t>
      </w:r>
      <w:r w:rsidR="004B3824" w:rsidRPr="004B3824">
        <w:rPr>
          <w:rFonts w:ascii="TimesNewRomanPSMT" w:hAnsi="TimesNewRomanPSMT"/>
          <w:color w:val="000000"/>
          <w:sz w:val="20"/>
          <w:u w:val="single"/>
        </w:rPr>
        <w:t xml:space="preserve">, </w:t>
      </w:r>
      <w:r w:rsidR="00CD4319" w:rsidRPr="004B3824">
        <w:rPr>
          <w:rFonts w:ascii="TimesNewRomanPSMT" w:hAnsi="TimesNewRomanPSMT"/>
          <w:color w:val="000000"/>
          <w:sz w:val="20"/>
          <w:u w:val="single"/>
        </w:rPr>
        <w:t xml:space="preserve">the </w:t>
      </w:r>
      <w:r w:rsidR="004B3824" w:rsidRPr="004B3824">
        <w:rPr>
          <w:rFonts w:ascii="TimesNewRomanPSMT" w:hAnsi="TimesNewRomanPSMT"/>
          <w:color w:val="000000"/>
          <w:sz w:val="20"/>
          <w:u w:val="single"/>
        </w:rPr>
        <w:t xml:space="preserve">242-tone RU entry 0111110 </w:t>
      </w:r>
      <w:r w:rsidR="00B32ABB" w:rsidRPr="00B32ABB">
        <w:rPr>
          <w:rFonts w:ascii="TimesNewRomanPSMT" w:hAnsi="TimesNewRomanPSMT"/>
          <w:color w:val="000000"/>
          <w:sz w:val="20"/>
          <w:u w:val="single"/>
        </w:rPr>
        <w:t xml:space="preserve">for B19-B13 </w:t>
      </w:r>
      <w:r w:rsidR="004B3824" w:rsidRPr="004B3824">
        <w:rPr>
          <w:rFonts w:ascii="TimesNewRomanPSMT" w:hAnsi="TimesNewRomanPSMT"/>
          <w:color w:val="000000"/>
          <w:sz w:val="20"/>
          <w:u w:val="single"/>
        </w:rPr>
        <w:t xml:space="preserve">represents the second lowest frequency 20 MHz channel, and </w:t>
      </w:r>
      <w:r w:rsidRPr="00C16B8D">
        <w:rPr>
          <w:rFonts w:ascii="TimesNewRomanPSMT" w:hAnsi="TimesNewRomanPSMT"/>
          <w:color w:val="000000"/>
          <w:sz w:val="20"/>
        </w:rPr>
        <w:t>the 242-tone RU entry for B19-B13 corresponding to the primary</w:t>
      </w:r>
      <w:r w:rsidR="004B3824">
        <w:rPr>
          <w:rFonts w:ascii="TimesNewRomanPSMT" w:hAnsi="TimesNewRomanPSMT"/>
          <w:color w:val="000000"/>
          <w:sz w:val="20"/>
        </w:rPr>
        <w:t xml:space="preserve"> </w:t>
      </w:r>
      <w:r w:rsidRPr="00C16B8D">
        <w:rPr>
          <w:rFonts w:ascii="TimesNewRomanPSMT" w:hAnsi="TimesNewRomanPSMT"/>
          <w:color w:val="000000"/>
          <w:sz w:val="20"/>
        </w:rPr>
        <w:t xml:space="preserve">20 MHz channel indicates primary 20 </w:t>
      </w:r>
      <w:proofErr w:type="spellStart"/>
      <w:r w:rsidRPr="00C16B8D">
        <w:rPr>
          <w:rFonts w:ascii="TimesNewRomanPSMT" w:hAnsi="TimesNewRomanPSMT"/>
          <w:color w:val="000000"/>
          <w:sz w:val="20"/>
        </w:rPr>
        <w:t>MHz</w:t>
      </w:r>
      <w:r w:rsidR="00B32ABB" w:rsidRPr="00B32ABB">
        <w:rPr>
          <w:rFonts w:ascii="TimesNewRomanPSMT" w:hAnsi="TimesNewRomanPSMT"/>
          <w:color w:val="000000"/>
          <w:sz w:val="20"/>
          <w:u w:val="single"/>
        </w:rPr>
        <w:t>.</w:t>
      </w:r>
      <w:proofErr w:type="spellEnd"/>
      <w:r w:rsidRPr="00B32ABB">
        <w:rPr>
          <w:rFonts w:ascii="TimesNewRomanPSMT" w:hAnsi="TimesNewRomanPSMT"/>
          <w:strike/>
          <w:color w:val="000000"/>
          <w:sz w:val="20"/>
        </w:rPr>
        <w:t>;</w:t>
      </w:r>
      <w:r w:rsidRPr="00C16B8D">
        <w:rPr>
          <w:rFonts w:ascii="TimesNewRomanPSMT" w:hAnsi="TimesNewRomanPSMT"/>
          <w:color w:val="000000"/>
          <w:sz w:val="20"/>
        </w:rPr>
        <w:t xml:space="preserve"> </w:t>
      </w:r>
      <w:proofErr w:type="spellStart"/>
      <w:r w:rsidRPr="00B32ABB">
        <w:rPr>
          <w:rFonts w:ascii="TimesNewRomanPSMT" w:hAnsi="TimesNewRomanPSMT"/>
          <w:strike/>
          <w:color w:val="000000"/>
          <w:sz w:val="20"/>
        </w:rPr>
        <w:t>t</w:t>
      </w:r>
      <w:r w:rsidR="00B32ABB" w:rsidRPr="00B32ABB">
        <w:rPr>
          <w:rFonts w:ascii="TimesNewRomanPSMT" w:hAnsi="TimesNewRomanPSMT"/>
          <w:color w:val="000000"/>
          <w:sz w:val="20"/>
          <w:u w:val="single"/>
        </w:rPr>
        <w:t>T</w:t>
      </w:r>
      <w:r w:rsidRPr="00C16B8D">
        <w:rPr>
          <w:rFonts w:ascii="TimesNewRomanPSMT" w:hAnsi="TimesNewRomanPSMT"/>
          <w:color w:val="000000"/>
          <w:sz w:val="20"/>
        </w:rPr>
        <w:t>he</w:t>
      </w:r>
      <w:proofErr w:type="spellEnd"/>
      <w:r w:rsidRPr="00C16B8D">
        <w:rPr>
          <w:rFonts w:ascii="TimesNewRomanPSMT" w:hAnsi="TimesNewRomanPSMT"/>
          <w:color w:val="000000"/>
          <w:sz w:val="20"/>
        </w:rPr>
        <w:t xml:space="preserve"> 484-tone RU entry 1000001 for B19-B13 indicates the</w:t>
      </w:r>
      <w:r w:rsidR="004B3824">
        <w:rPr>
          <w:rFonts w:ascii="TimesNewRomanPSMT" w:hAnsi="TimesNewRomanPSMT"/>
          <w:color w:val="000000"/>
          <w:sz w:val="20"/>
        </w:rPr>
        <w:t xml:space="preserve"> </w:t>
      </w:r>
      <w:r w:rsidRPr="00C16B8D">
        <w:rPr>
          <w:rFonts w:ascii="TimesNewRomanPSMT" w:hAnsi="TimesNewRomanPSMT"/>
          <w:color w:val="000000"/>
          <w:sz w:val="20"/>
        </w:rPr>
        <w:t>primary 40 MHz channel</w:t>
      </w:r>
      <w:proofErr w:type="gramStart"/>
      <w:r w:rsidRPr="00C16B8D">
        <w:rPr>
          <w:rFonts w:ascii="TimesNewRomanPSMT" w:hAnsi="TimesNewRomanPSMT"/>
          <w:color w:val="000000"/>
          <w:sz w:val="20"/>
        </w:rPr>
        <w:t>.</w:t>
      </w:r>
      <w:r w:rsidR="001D27D0" w:rsidRPr="002E46D8">
        <w:rPr>
          <w:rFonts w:ascii="TimesNewRomanPSMT" w:hAnsi="TimesNewRomanPSMT"/>
          <w:color w:val="000000"/>
          <w:sz w:val="20"/>
        </w:rPr>
        <w:t>(</w:t>
      </w:r>
      <w:proofErr w:type="gramEnd"/>
      <w:r w:rsidR="001D27D0" w:rsidRPr="002E46D8">
        <w:rPr>
          <w:rFonts w:ascii="TimesNewRomanPSMT" w:hAnsi="TimesNewRomanPSMT"/>
          <w:color w:val="000000"/>
          <w:sz w:val="20"/>
        </w:rPr>
        <w:t>#8117)</w:t>
      </w:r>
    </w:p>
    <w:p w14:paraId="5A399A59" w14:textId="4BD28C0B" w:rsidR="00CB44D6" w:rsidRPr="00634281" w:rsidRDefault="00C16B8D" w:rsidP="000348B1">
      <w:pPr>
        <w:rPr>
          <w:rFonts w:ascii="TimesNewRomanPSMT" w:hAnsi="TimesNewRomanPSMT"/>
          <w:color w:val="000000"/>
          <w:sz w:val="20"/>
          <w:u w:val="single"/>
        </w:rPr>
      </w:pPr>
      <w:r w:rsidRPr="00C16B8D">
        <w:rPr>
          <w:rFonts w:ascii="TimesNewRomanPSMT" w:hAnsi="TimesNewRomanPSMT"/>
          <w:color w:val="000000"/>
          <w:sz w:val="20"/>
        </w:rPr>
        <w:br/>
        <w:t xml:space="preserve">If the BW subfield indicates 80 MHz or 80+80 MHz or 160 MHz, then </w:t>
      </w:r>
      <w:r w:rsidR="004B3824" w:rsidRPr="004B3824">
        <w:rPr>
          <w:rFonts w:ascii="TimesNewRomanPSMT" w:hAnsi="TimesNewRomanPSMT"/>
          <w:color w:val="000000"/>
          <w:sz w:val="20"/>
          <w:u w:val="single"/>
        </w:rPr>
        <w:t xml:space="preserve">the 242-tone RU entry 0111101 </w:t>
      </w:r>
      <w:r w:rsidR="00B32ABB" w:rsidRPr="00B32ABB">
        <w:rPr>
          <w:rFonts w:ascii="TimesNewRomanPSMT" w:hAnsi="TimesNewRomanPSMT"/>
          <w:color w:val="000000"/>
          <w:sz w:val="20"/>
          <w:u w:val="single"/>
        </w:rPr>
        <w:t xml:space="preserve">for B19-B13 </w:t>
      </w:r>
      <w:r w:rsidR="004B3824" w:rsidRPr="004B3824">
        <w:rPr>
          <w:rFonts w:ascii="TimesNewRomanPSMT" w:hAnsi="TimesNewRomanPSMT"/>
          <w:color w:val="000000"/>
          <w:sz w:val="20"/>
          <w:u w:val="single"/>
        </w:rPr>
        <w:t>represents the lowest frequency 20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the 242-tone RU entry 0111110</w:t>
      </w:r>
      <w:r w:rsidR="00B32ABB">
        <w:rPr>
          <w:rFonts w:ascii="TimesNewRomanPSMT" w:hAnsi="TimesNewRomanPSMT"/>
          <w:color w:val="000000"/>
          <w:sz w:val="20"/>
          <w:u w:val="single"/>
        </w:rPr>
        <w:t xml:space="preserve"> </w:t>
      </w:r>
      <w:r w:rsidR="00B32ABB" w:rsidRPr="00B32ABB">
        <w:rPr>
          <w:rFonts w:ascii="TimesNewRomanPSMT" w:hAnsi="TimesNewRomanPSMT"/>
          <w:color w:val="000000"/>
          <w:sz w:val="20"/>
          <w:u w:val="single"/>
        </w:rPr>
        <w:t>for B19-B13</w:t>
      </w:r>
      <w:r w:rsidR="004B3824" w:rsidRPr="004B3824">
        <w:rPr>
          <w:rFonts w:ascii="TimesNewRomanPSMT" w:hAnsi="TimesNewRomanPSMT"/>
          <w:color w:val="000000"/>
          <w:sz w:val="20"/>
          <w:u w:val="single"/>
        </w:rPr>
        <w:t xml:space="preserve"> represents the second 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the 242-tone RU entry 011111</w:t>
      </w:r>
      <w:r w:rsidR="004B3824">
        <w:rPr>
          <w:rFonts w:ascii="TimesNewRomanPSMT" w:hAnsi="TimesNewRomanPSMT"/>
          <w:color w:val="000000"/>
          <w:sz w:val="20"/>
          <w:u w:val="single"/>
        </w:rPr>
        <w:t>1</w:t>
      </w:r>
      <w:r w:rsidR="004B3824" w:rsidRPr="004B3824">
        <w:rPr>
          <w:rFonts w:ascii="TimesNewRomanPSMT" w:hAnsi="TimesNewRomanPSMT"/>
          <w:color w:val="000000"/>
          <w:sz w:val="20"/>
          <w:u w:val="single"/>
        </w:rPr>
        <w:t xml:space="preserve"> </w:t>
      </w:r>
      <w:r w:rsidR="00B32ABB" w:rsidRPr="00B32ABB">
        <w:rPr>
          <w:rFonts w:ascii="TimesNewRomanPSMT" w:hAnsi="TimesNewRomanPSMT"/>
          <w:color w:val="000000"/>
          <w:sz w:val="20"/>
          <w:u w:val="single"/>
        </w:rPr>
        <w:t xml:space="preserve">for B19-B13 </w:t>
      </w:r>
      <w:r w:rsidR="004B3824" w:rsidRPr="004B3824">
        <w:rPr>
          <w:rFonts w:ascii="TimesNewRomanPSMT" w:hAnsi="TimesNewRomanPSMT"/>
          <w:color w:val="000000"/>
          <w:sz w:val="20"/>
          <w:u w:val="single"/>
        </w:rPr>
        <w:t xml:space="preserve">represents the </w:t>
      </w:r>
      <w:r w:rsidR="004B3824">
        <w:rPr>
          <w:rFonts w:ascii="TimesNewRomanPSMT" w:hAnsi="TimesNewRomanPSMT"/>
          <w:color w:val="000000"/>
          <w:sz w:val="20"/>
          <w:u w:val="single"/>
        </w:rPr>
        <w:t xml:space="preserve">third </w:t>
      </w:r>
      <w:r w:rsidR="004B3824" w:rsidRPr="004B3824">
        <w:rPr>
          <w:rFonts w:ascii="TimesNewRomanPSMT" w:hAnsi="TimesNewRomanPSMT"/>
          <w:color w:val="000000"/>
          <w:sz w:val="20"/>
          <w:u w:val="single"/>
        </w:rPr>
        <w:t>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 xml:space="preserve">the 242-tone RU entry </w:t>
      </w:r>
      <w:r w:rsidR="004B3824">
        <w:rPr>
          <w:rFonts w:ascii="TimesNewRomanPSMT" w:hAnsi="TimesNewRomanPSMT"/>
          <w:color w:val="000000"/>
          <w:sz w:val="20"/>
          <w:u w:val="single"/>
        </w:rPr>
        <w:t>1000000</w:t>
      </w:r>
      <w:r w:rsidR="00B32ABB" w:rsidRPr="00B32ABB">
        <w:rPr>
          <w:rFonts w:ascii="TimesNewRomanPSMT" w:hAnsi="TimesNewRomanPSMT"/>
          <w:color w:val="000000"/>
          <w:sz w:val="20"/>
          <w:u w:val="single"/>
        </w:rPr>
        <w:t xml:space="preserve"> for B19-B13</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fourth</w:t>
      </w:r>
      <w:r w:rsidR="004B3824" w:rsidRPr="004B3824">
        <w:rPr>
          <w:rFonts w:ascii="TimesNewRomanPSMT" w:hAnsi="TimesNewRomanPSMT"/>
          <w:color w:val="000000"/>
          <w:sz w:val="20"/>
          <w:u w:val="single"/>
        </w:rPr>
        <w:t xml:space="preserve"> lowest frequency 20 MHz channel</w:t>
      </w:r>
      <w:r w:rsidR="004B3824">
        <w:rPr>
          <w:rFonts w:ascii="TimesNewRomanPSMT" w:hAnsi="TimesNewRomanPSMT"/>
          <w:color w:val="000000"/>
          <w:sz w:val="20"/>
          <w:u w:val="single"/>
        </w:rPr>
        <w:t xml:space="preserve"> in the primary 80 MHz channel, and </w:t>
      </w:r>
      <w:r w:rsidRPr="00C16B8D">
        <w:rPr>
          <w:rFonts w:ascii="TimesNewRomanPSMT" w:hAnsi="TimesNewRomanPSMT"/>
          <w:color w:val="000000"/>
          <w:sz w:val="20"/>
        </w:rPr>
        <w:t>the 242-tone RU entry for B19-B13</w:t>
      </w:r>
      <w:r w:rsidR="004B3824">
        <w:rPr>
          <w:rFonts w:ascii="TimesNewRomanPSMT" w:hAnsi="TimesNewRomanPSMT"/>
          <w:color w:val="000000"/>
          <w:sz w:val="20"/>
        </w:rPr>
        <w:t xml:space="preserve"> </w:t>
      </w:r>
      <w:r w:rsidRPr="00C16B8D">
        <w:rPr>
          <w:rFonts w:ascii="TimesNewRomanPSMT" w:hAnsi="TimesNewRomanPSMT"/>
          <w:color w:val="000000"/>
          <w:sz w:val="20"/>
        </w:rPr>
        <w:t>corresponding to the primary 20 MHz indic</w:t>
      </w:r>
      <w:r w:rsidR="004B3824">
        <w:rPr>
          <w:rFonts w:ascii="TimesNewRomanPSMT" w:hAnsi="TimesNewRomanPSMT"/>
          <w:color w:val="000000"/>
          <w:sz w:val="20"/>
        </w:rPr>
        <w:t>ates the primary 20 MHz channel</w:t>
      </w:r>
      <w:r w:rsidR="004B3824" w:rsidRPr="004B3824">
        <w:rPr>
          <w:rFonts w:ascii="TimesNewRomanPSMT" w:hAnsi="TimesNewRomanPSMT"/>
          <w:strike/>
          <w:color w:val="000000"/>
          <w:sz w:val="20"/>
        </w:rPr>
        <w:t>,</w:t>
      </w:r>
      <w:r w:rsidR="00B32ABB">
        <w:rPr>
          <w:rFonts w:ascii="TimesNewRomanPSMT" w:hAnsi="TimesNewRomanPSMT"/>
          <w:color w:val="000000"/>
          <w:sz w:val="20"/>
          <w:u w:val="single"/>
        </w:rPr>
        <w:t>.</w:t>
      </w:r>
      <w:r w:rsidR="004B3824">
        <w:rPr>
          <w:rFonts w:ascii="TimesNewRomanPSMT" w:hAnsi="TimesNewRomanPSMT"/>
          <w:color w:val="000000"/>
          <w:sz w:val="20"/>
          <w:u w:val="single"/>
        </w:rPr>
        <w:t xml:space="preserve"> </w:t>
      </w:r>
      <w:proofErr w:type="spellStart"/>
      <w:r w:rsidR="004B3824" w:rsidRPr="00B32ABB">
        <w:rPr>
          <w:rFonts w:ascii="TimesNewRomanPSMT" w:hAnsi="TimesNewRomanPSMT"/>
          <w:strike/>
          <w:color w:val="000000"/>
          <w:sz w:val="20"/>
        </w:rPr>
        <w:t>t</w:t>
      </w:r>
      <w:r w:rsidR="00B32ABB">
        <w:rPr>
          <w:rFonts w:ascii="TimesNewRomanPSMT" w:hAnsi="TimesNewRomanPSMT"/>
          <w:color w:val="000000"/>
          <w:sz w:val="20"/>
          <w:u w:val="single"/>
        </w:rPr>
        <w:t>T</w:t>
      </w:r>
      <w:r w:rsidR="004B3824" w:rsidRPr="004B3824">
        <w:rPr>
          <w:rFonts w:ascii="TimesNewRomanPSMT" w:hAnsi="TimesNewRomanPSMT"/>
          <w:color w:val="000000"/>
          <w:sz w:val="20"/>
          <w:u w:val="single"/>
        </w:rPr>
        <w:t>he</w:t>
      </w:r>
      <w:proofErr w:type="spellEnd"/>
      <w:r w:rsidR="004B3824" w:rsidRPr="004B3824">
        <w:rPr>
          <w:rFonts w:ascii="TimesNewRomanPSMT" w:hAnsi="TimesNewRomanPSMT"/>
          <w:color w:val="000000"/>
          <w:sz w:val="20"/>
          <w:u w:val="single"/>
        </w:rPr>
        <w:t xml:space="preserv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 xml:space="preserve">-tone RU entry </w:t>
      </w:r>
      <w:r w:rsidR="004B3824">
        <w:rPr>
          <w:rFonts w:ascii="TimesNewRomanPSMT" w:hAnsi="TimesNewRomanPSMT"/>
          <w:color w:val="000000"/>
          <w:sz w:val="20"/>
          <w:u w:val="single"/>
        </w:rPr>
        <w:t>1000001</w:t>
      </w:r>
      <w:r w:rsidR="004B3824" w:rsidRPr="004B3824">
        <w:rPr>
          <w:rFonts w:ascii="TimesNewRomanPSMT" w:hAnsi="TimesNewRomanPSMT"/>
          <w:color w:val="000000"/>
          <w:sz w:val="20"/>
          <w:u w:val="single"/>
        </w:rPr>
        <w:t xml:space="preserve"> </w:t>
      </w:r>
      <w:r w:rsidR="00B32ABB" w:rsidRPr="00B32ABB">
        <w:rPr>
          <w:rFonts w:ascii="TimesNewRomanPSMT" w:hAnsi="TimesNewRomanPSMT"/>
          <w:color w:val="000000"/>
          <w:sz w:val="20"/>
          <w:u w:val="single"/>
        </w:rPr>
        <w:t xml:space="preserve">for B19-B13 </w:t>
      </w:r>
      <w:r w:rsidR="004B3824" w:rsidRPr="004B3824">
        <w:rPr>
          <w:rFonts w:ascii="TimesNewRomanPSMT" w:hAnsi="TimesNewRomanPSMT"/>
          <w:color w:val="000000"/>
          <w:sz w:val="20"/>
          <w:u w:val="single"/>
        </w:rPr>
        <w:t>re</w:t>
      </w:r>
      <w:r w:rsidR="004B3824">
        <w:rPr>
          <w:rFonts w:ascii="TimesNewRomanPSMT" w:hAnsi="TimesNewRomanPSMT"/>
          <w:color w:val="000000"/>
          <w:sz w:val="20"/>
          <w:u w:val="single"/>
        </w:rPr>
        <w:t>presents the 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xml:space="preserve">, 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-tone RU entry</w:t>
      </w:r>
      <w:r w:rsidR="004B3824">
        <w:rPr>
          <w:rFonts w:ascii="TimesNewRomanPSMT" w:hAnsi="TimesNewRomanPSMT"/>
          <w:color w:val="000000"/>
          <w:sz w:val="20"/>
          <w:u w:val="single"/>
        </w:rPr>
        <w:t xml:space="preserve"> 1000010</w:t>
      </w:r>
      <w:r w:rsidR="004B3824" w:rsidRPr="004B3824">
        <w:rPr>
          <w:rFonts w:ascii="TimesNewRomanPSMT" w:hAnsi="TimesNewRomanPSMT"/>
          <w:color w:val="000000"/>
          <w:sz w:val="20"/>
          <w:u w:val="single"/>
        </w:rPr>
        <w:t xml:space="preserve"> </w:t>
      </w:r>
      <w:r w:rsidR="001D27D0" w:rsidRPr="00B32ABB">
        <w:rPr>
          <w:rFonts w:ascii="TimesNewRomanPSMT" w:hAnsi="TimesNewRomanPSMT"/>
          <w:color w:val="000000"/>
          <w:sz w:val="20"/>
          <w:u w:val="single"/>
        </w:rPr>
        <w:t xml:space="preserve">for B19-B13 </w:t>
      </w:r>
      <w:r w:rsidR="004B3824" w:rsidRPr="004B3824">
        <w:rPr>
          <w:rFonts w:ascii="TimesNewRomanPSMT" w:hAnsi="TimesNewRomanPSMT"/>
          <w:color w:val="000000"/>
          <w:sz w:val="20"/>
          <w:u w:val="single"/>
        </w:rPr>
        <w:t xml:space="preserve">represents the second </w:t>
      </w:r>
      <w:r w:rsidR="004B3824">
        <w:rPr>
          <w:rFonts w:ascii="TimesNewRomanPSMT" w:hAnsi="TimesNewRomanPSMT"/>
          <w:color w:val="000000"/>
          <w:sz w:val="20"/>
          <w:u w:val="single"/>
        </w:rPr>
        <w:t>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 and </w:t>
      </w:r>
      <w:r w:rsidR="00982BCE" w:rsidRPr="00982BCE">
        <w:rPr>
          <w:rFonts w:ascii="TimesNewRomanPSMT" w:hAnsi="TimesNewRomanPSMT"/>
          <w:color w:val="000000"/>
          <w:sz w:val="20"/>
        </w:rPr>
        <w:t xml:space="preserve">the </w:t>
      </w:r>
      <w:r w:rsidR="00634281">
        <w:rPr>
          <w:rFonts w:ascii="TimesNewRomanPSMT" w:hAnsi="TimesNewRomanPSMT"/>
          <w:color w:val="000000"/>
          <w:sz w:val="20"/>
        </w:rPr>
        <w:t xml:space="preserve">484-tone RU entry for </w:t>
      </w:r>
      <w:r w:rsidR="00982BCE" w:rsidRPr="00982BCE">
        <w:rPr>
          <w:rFonts w:ascii="TimesNewRomanPSMT" w:hAnsi="TimesNewRomanPSMT"/>
          <w:color w:val="000000"/>
          <w:sz w:val="20"/>
        </w:rPr>
        <w:t xml:space="preserve">B19-B13 corresponding to the primary 40 MHz indicates the primary 40 </w:t>
      </w:r>
      <w:r w:rsidR="00634281">
        <w:rPr>
          <w:rFonts w:ascii="TimesNewRomanPSMT" w:hAnsi="TimesNewRomanPSMT"/>
          <w:color w:val="000000"/>
          <w:sz w:val="20"/>
        </w:rPr>
        <w:t>MHz channel</w:t>
      </w:r>
      <w:r w:rsidR="001D27D0" w:rsidRPr="001D27D0">
        <w:rPr>
          <w:rFonts w:ascii="TimesNewRomanPSMT" w:hAnsi="TimesNewRomanPSMT"/>
          <w:color w:val="000000"/>
          <w:sz w:val="20"/>
          <w:u w:val="single"/>
        </w:rPr>
        <w:t>.</w:t>
      </w:r>
      <w:r w:rsidR="00634281" w:rsidRPr="001D27D0">
        <w:rPr>
          <w:rFonts w:ascii="TimesNewRomanPSMT" w:hAnsi="TimesNewRomanPSMT"/>
          <w:strike/>
          <w:color w:val="000000"/>
          <w:sz w:val="20"/>
        </w:rPr>
        <w:t xml:space="preserve"> </w:t>
      </w:r>
      <w:proofErr w:type="gramStart"/>
      <w:r w:rsidR="00634281" w:rsidRPr="001D27D0">
        <w:rPr>
          <w:rFonts w:ascii="TimesNewRomanPSMT" w:hAnsi="TimesNewRomanPSMT"/>
          <w:strike/>
          <w:color w:val="000000"/>
          <w:sz w:val="20"/>
        </w:rPr>
        <w:t>and</w:t>
      </w:r>
      <w:proofErr w:type="gramEnd"/>
      <w:r w:rsidR="00634281">
        <w:rPr>
          <w:rFonts w:ascii="TimesNewRomanPSMT" w:hAnsi="TimesNewRomanPSMT"/>
          <w:color w:val="000000"/>
          <w:sz w:val="20"/>
        </w:rPr>
        <w:t xml:space="preserve"> </w:t>
      </w:r>
      <w:proofErr w:type="spellStart"/>
      <w:r w:rsidR="00634281" w:rsidRPr="001D27D0">
        <w:rPr>
          <w:rFonts w:ascii="TimesNewRomanPSMT" w:hAnsi="TimesNewRomanPSMT"/>
          <w:strike/>
          <w:color w:val="000000"/>
          <w:sz w:val="20"/>
        </w:rPr>
        <w:t>t</w:t>
      </w:r>
      <w:r w:rsidR="001D27D0" w:rsidRPr="001D27D0">
        <w:rPr>
          <w:rFonts w:ascii="TimesNewRomanPSMT" w:hAnsi="TimesNewRomanPSMT"/>
          <w:color w:val="000000"/>
          <w:sz w:val="20"/>
          <w:u w:val="single"/>
        </w:rPr>
        <w:t>T</w:t>
      </w:r>
      <w:r w:rsidR="00634281">
        <w:rPr>
          <w:rFonts w:ascii="TimesNewRomanPSMT" w:hAnsi="TimesNewRomanPSMT"/>
          <w:color w:val="000000"/>
          <w:sz w:val="20"/>
        </w:rPr>
        <w:t>he</w:t>
      </w:r>
      <w:proofErr w:type="spellEnd"/>
      <w:r w:rsidR="00634281">
        <w:rPr>
          <w:rFonts w:ascii="TimesNewRomanPSMT" w:hAnsi="TimesNewRomanPSMT"/>
          <w:color w:val="000000"/>
          <w:sz w:val="20"/>
        </w:rPr>
        <w:t xml:space="preserve"> 996-tone RU </w:t>
      </w:r>
      <w:r w:rsidR="00982BCE" w:rsidRPr="00982BCE">
        <w:rPr>
          <w:rFonts w:ascii="TimesNewRomanPSMT" w:hAnsi="TimesNewRomanPSMT"/>
          <w:color w:val="000000"/>
          <w:sz w:val="20"/>
        </w:rPr>
        <w:t>entry 1000011 for B19-B13 indicates the primary 80 MHz channel.</w:t>
      </w:r>
      <w:bookmarkStart w:id="0" w:name="_GoBack"/>
      <w:bookmarkEnd w:id="0"/>
      <w:r w:rsidR="001D27D0" w:rsidRPr="002E46D8">
        <w:rPr>
          <w:rFonts w:ascii="TimesNewRomanPSMT" w:hAnsi="TimesNewRomanPSMT"/>
          <w:color w:val="000000"/>
          <w:sz w:val="20"/>
        </w:rPr>
        <w:t>(#8117)</w:t>
      </w:r>
    </w:p>
    <w:p w14:paraId="6E37FEA1" w14:textId="37C1DE9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indicates 80+80 MHz or 160 MHz, then the entr</w:t>
      </w:r>
      <w:r w:rsidR="00CB44D6">
        <w:rPr>
          <w:rFonts w:ascii="TimesNewRomanPSMT" w:hAnsi="TimesNewRomanPSMT"/>
          <w:color w:val="000000"/>
          <w:sz w:val="20"/>
        </w:rPr>
        <w:t xml:space="preserve">y 1000100 for B19-B13 indicates </w:t>
      </w:r>
      <w:r w:rsidRPr="00982BCE">
        <w:rPr>
          <w:rFonts w:ascii="TimesNewRomanPSMT" w:hAnsi="TimesNewRomanPSMT"/>
          <w:color w:val="000000"/>
          <w:sz w:val="20"/>
        </w:rPr>
        <w:t xml:space="preserve">primary and secondary 80 </w:t>
      </w:r>
      <w:proofErr w:type="spellStart"/>
      <w:r w:rsidRPr="00982BCE">
        <w:rPr>
          <w:rFonts w:ascii="TimesNewRomanPSMT" w:hAnsi="TimesNewRomanPSMT"/>
          <w:color w:val="000000"/>
          <w:sz w:val="20"/>
        </w:rPr>
        <w:t>MHz.</w:t>
      </w:r>
      <w:proofErr w:type="spellEnd"/>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FF21" w14:textId="77777777" w:rsidR="00DF6927" w:rsidRDefault="00DF6927">
      <w:r>
        <w:separator/>
      </w:r>
    </w:p>
  </w:endnote>
  <w:endnote w:type="continuationSeparator" w:id="0">
    <w:p w14:paraId="74D52414" w14:textId="77777777" w:rsidR="00DF6927" w:rsidRDefault="00D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DF6927">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3257D3">
      <w:rPr>
        <w:noProof/>
      </w:rPr>
      <w:t>8</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33C2" w14:textId="77777777" w:rsidR="00DF6927" w:rsidRDefault="00DF6927">
      <w:r>
        <w:separator/>
      </w:r>
    </w:p>
  </w:footnote>
  <w:footnote w:type="continuationSeparator" w:id="0">
    <w:p w14:paraId="2C701656" w14:textId="77777777" w:rsidR="00DF6927" w:rsidRDefault="00DF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5A4689F"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DF6927">
      <w:fldChar w:fldCharType="begin"/>
    </w:r>
    <w:r w:rsidR="00DF6927">
      <w:instrText xml:space="preserve"> TITLE  \* MERGEFORMAT </w:instrText>
    </w:r>
    <w:r w:rsidR="00DF6927">
      <w:fldChar w:fldCharType="separate"/>
    </w:r>
    <w:r w:rsidR="00202E43">
      <w:t xml:space="preserve">doc.: </w:t>
    </w:r>
    <w:r w:rsidR="00263FC6">
      <w:t>IEEE 802.11-17/0207</w:t>
    </w:r>
    <w:r w:rsidR="00F6137E">
      <w:t>r</w:t>
    </w:r>
    <w:r w:rsidR="00DF6927">
      <w:fldChar w:fldCharType="end"/>
    </w:r>
    <w:r w:rsidR="001D27D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87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62C5"/>
    <w:rsid w:val="006976B8"/>
    <w:rsid w:val="006A3A0E"/>
    <w:rsid w:val="006A3D2B"/>
    <w:rsid w:val="006A3EB3"/>
    <w:rsid w:val="006A40D8"/>
    <w:rsid w:val="006A40FB"/>
    <w:rsid w:val="006A503E"/>
    <w:rsid w:val="006A59B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B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5768-0D7D-4374-A8E5-C668F609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8</Pages>
  <Words>3100</Words>
  <Characters>17670</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20729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54</cp:revision>
  <cp:lastPrinted>2010-05-04T03:47:00Z</cp:lastPrinted>
  <dcterms:created xsi:type="dcterms:W3CDTF">2016-10-03T18:44:00Z</dcterms:created>
  <dcterms:modified xsi:type="dcterms:W3CDTF">2017-02-02T18:06:00Z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