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485A67">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rPr>
            </w:pPr>
            <w:r w:rsidRPr="009B21DC">
              <w:rPr>
                <w:b w:val="0"/>
                <w:sz w:val="18"/>
                <w:szCs w:val="24"/>
              </w:rPr>
              <w:t>pureLiFi</w:t>
            </w:r>
          </w:p>
        </w:tc>
        <w:tc>
          <w:tcPr>
            <w:tcW w:w="1428" w:type="dxa"/>
            <w:vAlign w:val="center"/>
          </w:tcPr>
          <w:p w14:paraId="49A8E959" w14:textId="77777777" w:rsidR="00CA09B2" w:rsidRPr="009B21DC" w:rsidRDefault="00CA09B2">
            <w:pPr>
              <w:pStyle w:val="T2"/>
              <w:spacing w:after="0"/>
              <w:ind w:left="0" w:right="0"/>
              <w:rPr>
                <w:b w:val="0"/>
                <w:sz w:val="18"/>
                <w:szCs w:val="24"/>
              </w:rPr>
            </w:pPr>
          </w:p>
        </w:tc>
        <w:tc>
          <w:tcPr>
            <w:tcW w:w="945" w:type="dxa"/>
            <w:vAlign w:val="center"/>
          </w:tcPr>
          <w:p w14:paraId="700CCF40" w14:textId="77777777" w:rsidR="00CA09B2" w:rsidRPr="009B21DC" w:rsidRDefault="00CA09B2">
            <w:pPr>
              <w:pStyle w:val="T2"/>
              <w:spacing w:after="0"/>
              <w:ind w:left="0" w:right="0"/>
              <w:rPr>
                <w:b w:val="0"/>
                <w:sz w:val="18"/>
                <w:szCs w:val="24"/>
              </w:rPr>
            </w:pPr>
          </w:p>
        </w:tc>
        <w:tc>
          <w:tcPr>
            <w:tcW w:w="3108" w:type="dxa"/>
            <w:vAlign w:val="center"/>
          </w:tcPr>
          <w:p w14:paraId="3677B4E0" w14:textId="77777777" w:rsidR="00E55018" w:rsidRPr="009B21DC" w:rsidRDefault="00A05F19">
            <w:pPr>
              <w:pStyle w:val="T2"/>
              <w:spacing w:after="0"/>
              <w:ind w:left="0" w:right="0"/>
              <w:rPr>
                <w:b w:val="0"/>
                <w:sz w:val="18"/>
                <w:szCs w:val="24"/>
              </w:rPr>
            </w:pPr>
            <w:hyperlink r:id="rId9" w:history="1">
              <w:r w:rsidR="00485A67" w:rsidRPr="009B21DC">
                <w:rPr>
                  <w:rStyle w:val="Hyperlink"/>
                  <w:noProof/>
                  <w:sz w:val="18"/>
                  <w:szCs w:val="24"/>
                  <w:lang w:eastAsia="en-GB"/>
                </w:rPr>
                <w:t>nikola.serafimovski@purelifi.com</w:t>
              </w:r>
            </w:hyperlink>
            <w:r w:rsidR="00485A67" w:rsidRPr="009B21DC">
              <w:rPr>
                <w:b w:val="0"/>
                <w:noProof/>
                <w:sz w:val="18"/>
                <w:szCs w:val="24"/>
                <w:lang w:eastAsia="en-GB"/>
              </w:rPr>
              <w:t xml:space="preserve"> </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A05F19">
            <w:pPr>
              <w:pStyle w:val="T2"/>
              <w:spacing w:after="0"/>
              <w:ind w:left="0" w:right="0"/>
              <w:rPr>
                <w:b w:val="0"/>
                <w:noProof/>
                <w:sz w:val="18"/>
                <w:szCs w:val="24"/>
                <w:lang w:val="en-US"/>
              </w:rPr>
            </w:pPr>
            <w:hyperlink r:id="rId10"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316845" w:rsidRPr="00316845" w14:paraId="0592F42B" w14:textId="77777777" w:rsidTr="00485A67">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Abdullah S. Nufaii</w:t>
            </w:r>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1428" w:type="dxa"/>
            <w:vAlign w:val="center"/>
          </w:tcPr>
          <w:p w14:paraId="06CB6168" w14:textId="77777777" w:rsidR="00316845" w:rsidRPr="009B21DC" w:rsidRDefault="00316845">
            <w:pPr>
              <w:pStyle w:val="T2"/>
              <w:spacing w:after="0"/>
              <w:ind w:left="0" w:right="0"/>
              <w:rPr>
                <w:b w:val="0"/>
                <w:sz w:val="18"/>
                <w:szCs w:val="24"/>
              </w:rPr>
            </w:pPr>
          </w:p>
        </w:tc>
        <w:tc>
          <w:tcPr>
            <w:tcW w:w="945" w:type="dxa"/>
            <w:vAlign w:val="center"/>
          </w:tcPr>
          <w:p w14:paraId="43648C1A" w14:textId="77777777" w:rsidR="00316845" w:rsidRPr="009B21DC" w:rsidRDefault="00316845">
            <w:pPr>
              <w:pStyle w:val="T2"/>
              <w:spacing w:after="0"/>
              <w:ind w:left="0" w:right="0"/>
              <w:rPr>
                <w:b w:val="0"/>
                <w:sz w:val="18"/>
                <w:szCs w:val="24"/>
              </w:rPr>
            </w:pPr>
          </w:p>
        </w:tc>
        <w:tc>
          <w:tcPr>
            <w:tcW w:w="3108" w:type="dxa"/>
            <w:vAlign w:val="center"/>
          </w:tcPr>
          <w:p w14:paraId="035F9991" w14:textId="1DFD6742" w:rsidR="00A11754" w:rsidRPr="009B21DC" w:rsidRDefault="00A05F19" w:rsidP="00A11754">
            <w:pPr>
              <w:pStyle w:val="T2"/>
              <w:spacing w:after="0"/>
              <w:ind w:left="0" w:right="0"/>
              <w:rPr>
                <w:b w:val="0"/>
                <w:noProof/>
                <w:sz w:val="18"/>
                <w:szCs w:val="24"/>
                <w:lang w:val="en-US"/>
              </w:rPr>
            </w:pPr>
            <w:hyperlink r:id="rId11" w:history="1">
              <w:r w:rsidR="003827A6" w:rsidRPr="009B21DC">
                <w:rPr>
                  <w:rStyle w:val="Hyperlink"/>
                  <w:noProof/>
                  <w:sz w:val="18"/>
                  <w:szCs w:val="24"/>
                  <w:lang w:val="en-US"/>
                </w:rPr>
                <w:t>abdullah.nufaii@aramco.com</w:t>
              </w:r>
            </w:hyperlink>
            <w:r w:rsidR="003827A6" w:rsidRPr="009B21DC">
              <w:rPr>
                <w:b w:val="0"/>
                <w:noProof/>
                <w:sz w:val="18"/>
                <w:szCs w:val="24"/>
                <w:lang w:val="en-US"/>
              </w:rPr>
              <w:t xml:space="preserve"> </w:t>
            </w:r>
          </w:p>
        </w:tc>
      </w:tr>
      <w:tr w:rsidR="00316845" w:rsidRPr="00316845" w14:paraId="3C17385E" w14:textId="77777777" w:rsidTr="00485A67">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Ahmed J. Ghamdi</w:t>
            </w:r>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1428" w:type="dxa"/>
          </w:tcPr>
          <w:p w14:paraId="26091AE3" w14:textId="77777777" w:rsidR="00316845" w:rsidRPr="009B21DC" w:rsidRDefault="00316845" w:rsidP="00316845">
            <w:pPr>
              <w:pStyle w:val="T2"/>
              <w:spacing w:after="0"/>
              <w:ind w:left="0" w:right="0"/>
              <w:rPr>
                <w:b w:val="0"/>
                <w:sz w:val="18"/>
                <w:szCs w:val="24"/>
              </w:rPr>
            </w:pPr>
          </w:p>
        </w:tc>
        <w:tc>
          <w:tcPr>
            <w:tcW w:w="945" w:type="dxa"/>
          </w:tcPr>
          <w:p w14:paraId="4659309C" w14:textId="77777777" w:rsidR="00316845" w:rsidRPr="009B21DC" w:rsidRDefault="00316845" w:rsidP="00316845">
            <w:pPr>
              <w:pStyle w:val="T2"/>
              <w:spacing w:after="0"/>
              <w:ind w:left="0" w:right="0"/>
              <w:rPr>
                <w:b w:val="0"/>
                <w:sz w:val="18"/>
                <w:szCs w:val="24"/>
              </w:rPr>
            </w:pPr>
          </w:p>
        </w:tc>
        <w:tc>
          <w:tcPr>
            <w:tcW w:w="3108" w:type="dxa"/>
          </w:tcPr>
          <w:p w14:paraId="66AAA8B6" w14:textId="1B36C798" w:rsidR="0043678A" w:rsidRPr="009B21DC" w:rsidRDefault="00A05F19" w:rsidP="00316845">
            <w:pPr>
              <w:pStyle w:val="T2"/>
              <w:spacing w:after="0"/>
              <w:ind w:left="0" w:right="0"/>
              <w:rPr>
                <w:b w:val="0"/>
                <w:noProof/>
                <w:sz w:val="18"/>
                <w:szCs w:val="24"/>
                <w:lang w:val="en-US"/>
              </w:rPr>
            </w:pPr>
            <w:hyperlink r:id="rId12" w:history="1">
              <w:r w:rsidR="003827A6" w:rsidRPr="009B21DC">
                <w:rPr>
                  <w:rStyle w:val="Hyperlink"/>
                  <w:noProof/>
                  <w:sz w:val="18"/>
                  <w:szCs w:val="24"/>
                  <w:lang w:val="en-US"/>
                </w:rPr>
                <w:t>ahmad.ghamdi.54@aramco.com</w:t>
              </w:r>
            </w:hyperlink>
            <w:r w:rsidR="003827A6" w:rsidRPr="009B21DC">
              <w:rPr>
                <w:b w:val="0"/>
                <w:noProof/>
                <w:sz w:val="18"/>
                <w:szCs w:val="24"/>
                <w:lang w:val="en-US"/>
              </w:rPr>
              <w:t xml:space="preserve"> </w:t>
            </w:r>
          </w:p>
        </w:tc>
      </w:tr>
      <w:tr w:rsidR="00316845" w:rsidRPr="00316845" w14:paraId="23966100" w14:textId="77777777" w:rsidTr="00485A67">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Murat Uysal</w:t>
            </w:r>
          </w:p>
        </w:tc>
        <w:tc>
          <w:tcPr>
            <w:tcW w:w="2257" w:type="dxa"/>
          </w:tcPr>
          <w:p w14:paraId="0B8A634C" w14:textId="13990253" w:rsidR="00316845" w:rsidRPr="009B21DC" w:rsidRDefault="003827A6" w:rsidP="00316845">
            <w:pPr>
              <w:pStyle w:val="T2"/>
              <w:spacing w:after="0"/>
              <w:ind w:left="0" w:right="0"/>
              <w:rPr>
                <w:b w:val="0"/>
                <w:sz w:val="18"/>
                <w:szCs w:val="24"/>
              </w:rPr>
            </w:pPr>
            <w:r w:rsidRPr="009B21DC">
              <w:rPr>
                <w:b w:val="0"/>
                <w:sz w:val="18"/>
                <w:szCs w:val="24"/>
              </w:rPr>
              <w:t>Ozyegin University</w:t>
            </w:r>
          </w:p>
        </w:tc>
        <w:tc>
          <w:tcPr>
            <w:tcW w:w="1428" w:type="dxa"/>
          </w:tcPr>
          <w:p w14:paraId="571007CA" w14:textId="77777777" w:rsidR="00316845" w:rsidRPr="009B21DC" w:rsidRDefault="00316845" w:rsidP="00316845">
            <w:pPr>
              <w:pStyle w:val="T2"/>
              <w:spacing w:after="0"/>
              <w:ind w:left="0" w:right="0"/>
              <w:rPr>
                <w:b w:val="0"/>
                <w:sz w:val="18"/>
                <w:szCs w:val="24"/>
              </w:rPr>
            </w:pPr>
          </w:p>
        </w:tc>
        <w:tc>
          <w:tcPr>
            <w:tcW w:w="945" w:type="dxa"/>
          </w:tcPr>
          <w:p w14:paraId="1D07BE88" w14:textId="77777777" w:rsidR="00316845" w:rsidRPr="009B21DC" w:rsidRDefault="00316845" w:rsidP="00316845">
            <w:pPr>
              <w:pStyle w:val="T2"/>
              <w:spacing w:after="0"/>
              <w:ind w:left="0" w:right="0"/>
              <w:rPr>
                <w:b w:val="0"/>
                <w:sz w:val="18"/>
                <w:szCs w:val="24"/>
              </w:rPr>
            </w:pPr>
          </w:p>
        </w:tc>
        <w:tc>
          <w:tcPr>
            <w:tcW w:w="3108" w:type="dxa"/>
          </w:tcPr>
          <w:p w14:paraId="4D251B55" w14:textId="5DFB02C9" w:rsidR="00D037AA" w:rsidRPr="009B21DC" w:rsidRDefault="00A05F19" w:rsidP="00316845">
            <w:pPr>
              <w:pStyle w:val="T2"/>
              <w:spacing w:after="0"/>
              <w:ind w:left="0" w:right="0"/>
              <w:rPr>
                <w:b w:val="0"/>
                <w:noProof/>
                <w:sz w:val="18"/>
                <w:szCs w:val="24"/>
                <w:lang w:val="en-US"/>
              </w:rPr>
            </w:pPr>
            <w:hyperlink r:id="rId13" w:history="1">
              <w:r w:rsidR="003827A6" w:rsidRPr="009B21DC">
                <w:rPr>
                  <w:rStyle w:val="Hyperlink"/>
                  <w:noProof/>
                  <w:sz w:val="18"/>
                  <w:szCs w:val="24"/>
                  <w:lang w:val="en-US"/>
                </w:rPr>
                <w:t>murat.uysal@ozyegin.edu.tr</w:t>
              </w:r>
            </w:hyperlink>
            <w:r w:rsidR="003827A6" w:rsidRPr="009B21DC">
              <w:rPr>
                <w:b w:val="0"/>
                <w:noProof/>
                <w:sz w:val="18"/>
                <w:szCs w:val="24"/>
                <w:lang w:val="en-US"/>
              </w:rPr>
              <w:t xml:space="preserve"> </w:t>
            </w:r>
          </w:p>
        </w:tc>
      </w:tr>
      <w:tr w:rsidR="005F41EC" w:rsidRPr="00316845" w14:paraId="06A52D7D" w14:textId="77777777" w:rsidTr="00485A67">
        <w:trPr>
          <w:jc w:val="center"/>
        </w:trPr>
        <w:tc>
          <w:tcPr>
            <w:tcW w:w="1755" w:type="dxa"/>
          </w:tcPr>
          <w:p w14:paraId="5B13FDA9" w14:textId="67ABFA90" w:rsidR="005F41EC" w:rsidRPr="009B21DC" w:rsidRDefault="0041102C" w:rsidP="005F41EC">
            <w:pPr>
              <w:pStyle w:val="T2"/>
              <w:spacing w:after="0"/>
              <w:ind w:left="0" w:right="0"/>
              <w:rPr>
                <w:b w:val="0"/>
                <w:sz w:val="18"/>
                <w:szCs w:val="24"/>
              </w:rPr>
            </w:pPr>
            <w:r w:rsidRPr="009B21DC">
              <w:rPr>
                <w:b w:val="0"/>
                <w:sz w:val="18"/>
                <w:szCs w:val="24"/>
              </w:rPr>
              <w:t>Vinko Erceg</w:t>
            </w:r>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1428" w:type="dxa"/>
          </w:tcPr>
          <w:p w14:paraId="2E753B6C" w14:textId="77777777" w:rsidR="005F41EC" w:rsidRPr="009B21DC" w:rsidRDefault="005F41EC" w:rsidP="005F41EC">
            <w:pPr>
              <w:pStyle w:val="T2"/>
              <w:spacing w:after="0"/>
              <w:ind w:left="0" w:right="0"/>
              <w:rPr>
                <w:b w:val="0"/>
                <w:sz w:val="18"/>
                <w:szCs w:val="24"/>
              </w:rPr>
            </w:pPr>
          </w:p>
        </w:tc>
        <w:tc>
          <w:tcPr>
            <w:tcW w:w="945" w:type="dxa"/>
          </w:tcPr>
          <w:p w14:paraId="627561AB" w14:textId="77777777" w:rsidR="005F41EC" w:rsidRPr="009B21DC" w:rsidRDefault="005F41EC" w:rsidP="005F41EC">
            <w:pPr>
              <w:pStyle w:val="T2"/>
              <w:spacing w:after="0"/>
              <w:ind w:left="0" w:right="0"/>
              <w:rPr>
                <w:b w:val="0"/>
                <w:sz w:val="18"/>
                <w:szCs w:val="24"/>
              </w:rPr>
            </w:pPr>
          </w:p>
        </w:tc>
        <w:tc>
          <w:tcPr>
            <w:tcW w:w="3108" w:type="dxa"/>
          </w:tcPr>
          <w:p w14:paraId="4C30C93E" w14:textId="69DA4391" w:rsidR="0043678A" w:rsidRPr="009B21DC" w:rsidRDefault="00A05F19" w:rsidP="005F41EC">
            <w:pPr>
              <w:pStyle w:val="T2"/>
              <w:spacing w:after="0"/>
              <w:ind w:left="0" w:right="0"/>
              <w:rPr>
                <w:b w:val="0"/>
                <w:noProof/>
                <w:sz w:val="18"/>
                <w:szCs w:val="24"/>
                <w:lang w:val="en-US"/>
              </w:rPr>
            </w:pPr>
            <w:hyperlink r:id="rId14" w:history="1">
              <w:r w:rsidR="0041102C" w:rsidRPr="009B21DC">
                <w:rPr>
                  <w:rStyle w:val="Hyperlink"/>
                  <w:noProof/>
                  <w:sz w:val="18"/>
                  <w:szCs w:val="24"/>
                  <w:lang w:val="en-US"/>
                </w:rPr>
                <w:t>vinko.erceg@broadcom.com</w:t>
              </w:r>
            </w:hyperlink>
            <w:r w:rsidR="0041102C" w:rsidRPr="009B21DC">
              <w:rPr>
                <w:b w:val="0"/>
                <w:noProof/>
                <w:sz w:val="18"/>
                <w:szCs w:val="24"/>
                <w:lang w:val="en-US"/>
              </w:rPr>
              <w:t xml:space="preserve"> </w:t>
            </w:r>
          </w:p>
        </w:tc>
      </w:tr>
      <w:tr w:rsidR="00CE5D10" w:rsidRPr="00316845" w14:paraId="0E55EAE7" w14:textId="77777777" w:rsidTr="00485A67">
        <w:trPr>
          <w:jc w:val="center"/>
        </w:trPr>
        <w:tc>
          <w:tcPr>
            <w:tcW w:w="1755" w:type="dxa"/>
          </w:tcPr>
          <w:p w14:paraId="09CEBF59" w14:textId="77777777" w:rsidR="00CE5D10" w:rsidRPr="005F41EC" w:rsidRDefault="00CE5D10" w:rsidP="005F41EC">
            <w:pPr>
              <w:rPr>
                <w:sz w:val="20"/>
                <w:lang w:val="fi-FI"/>
              </w:rPr>
            </w:pPr>
          </w:p>
        </w:tc>
        <w:tc>
          <w:tcPr>
            <w:tcW w:w="2257" w:type="dxa"/>
          </w:tcPr>
          <w:p w14:paraId="5B8F6FE1" w14:textId="77777777" w:rsidR="00CE5D10" w:rsidRPr="005F41EC" w:rsidRDefault="00CE5D10" w:rsidP="005F41EC">
            <w:pPr>
              <w:pStyle w:val="T2"/>
              <w:spacing w:after="0"/>
              <w:ind w:left="0" w:right="0"/>
              <w:rPr>
                <w:b w:val="0"/>
                <w:sz w:val="20"/>
              </w:rPr>
            </w:pPr>
          </w:p>
        </w:tc>
        <w:tc>
          <w:tcPr>
            <w:tcW w:w="1428" w:type="dxa"/>
          </w:tcPr>
          <w:p w14:paraId="28C3ED92" w14:textId="77777777" w:rsidR="00CE5D10" w:rsidRPr="002D34E9" w:rsidRDefault="00CE5D10" w:rsidP="005F41EC">
            <w:pPr>
              <w:rPr>
                <w:sz w:val="20"/>
              </w:rPr>
            </w:pPr>
          </w:p>
        </w:tc>
        <w:tc>
          <w:tcPr>
            <w:tcW w:w="945" w:type="dxa"/>
          </w:tcPr>
          <w:p w14:paraId="7F7DC3EA" w14:textId="77777777" w:rsidR="00CE5D10" w:rsidRPr="002D34E9" w:rsidRDefault="00CE5D10" w:rsidP="005F41EC">
            <w:pPr>
              <w:pStyle w:val="T2"/>
              <w:spacing w:after="0"/>
              <w:ind w:left="0" w:right="0"/>
              <w:rPr>
                <w:b w:val="0"/>
                <w:sz w:val="20"/>
              </w:rPr>
            </w:pPr>
          </w:p>
        </w:tc>
        <w:tc>
          <w:tcPr>
            <w:tcW w:w="3108" w:type="dxa"/>
          </w:tcPr>
          <w:p w14:paraId="16D1EBF6" w14:textId="77777777" w:rsidR="00CE5D10" w:rsidRPr="002D34E9" w:rsidRDefault="00CE5D10" w:rsidP="005F41EC">
            <w:pPr>
              <w:pStyle w:val="T2"/>
              <w:spacing w:after="0"/>
              <w:ind w:left="0" w:right="0"/>
              <w:rPr>
                <w:b w:val="0"/>
                <w:sz w:val="20"/>
              </w:rPr>
            </w:pPr>
          </w:p>
        </w:tc>
      </w:tr>
      <w:tr w:rsidR="002D34E9" w:rsidRPr="00316845" w14:paraId="64F56A25" w14:textId="77777777" w:rsidTr="00485A67">
        <w:trPr>
          <w:jc w:val="center"/>
        </w:trPr>
        <w:tc>
          <w:tcPr>
            <w:tcW w:w="1755" w:type="dxa"/>
          </w:tcPr>
          <w:p w14:paraId="11214BAE" w14:textId="77777777" w:rsidR="002D34E9" w:rsidRPr="002D34E9" w:rsidRDefault="002D34E9" w:rsidP="002D34E9">
            <w:pPr>
              <w:rPr>
                <w:sz w:val="20"/>
                <w:lang w:val="fi-FI"/>
              </w:rPr>
            </w:pPr>
          </w:p>
        </w:tc>
        <w:tc>
          <w:tcPr>
            <w:tcW w:w="2257" w:type="dxa"/>
          </w:tcPr>
          <w:p w14:paraId="456108AF" w14:textId="77777777" w:rsidR="002D34E9" w:rsidRPr="005F41EC" w:rsidRDefault="002D34E9" w:rsidP="002D34E9">
            <w:pPr>
              <w:pStyle w:val="T2"/>
              <w:spacing w:after="0"/>
              <w:ind w:left="0" w:right="0"/>
              <w:rPr>
                <w:b w:val="0"/>
                <w:sz w:val="20"/>
              </w:rPr>
            </w:pPr>
          </w:p>
        </w:tc>
        <w:tc>
          <w:tcPr>
            <w:tcW w:w="1428" w:type="dxa"/>
            <w:vAlign w:val="center"/>
          </w:tcPr>
          <w:p w14:paraId="3696FD70" w14:textId="77777777" w:rsidR="002D34E9" w:rsidRPr="002D34E9" w:rsidRDefault="002D34E9" w:rsidP="002D34E9">
            <w:pPr>
              <w:rPr>
                <w:sz w:val="20"/>
              </w:rPr>
            </w:pPr>
          </w:p>
        </w:tc>
        <w:tc>
          <w:tcPr>
            <w:tcW w:w="945" w:type="dxa"/>
          </w:tcPr>
          <w:p w14:paraId="59857FB0" w14:textId="77777777" w:rsidR="002D34E9" w:rsidRPr="005F41EC" w:rsidRDefault="002D34E9" w:rsidP="002D34E9">
            <w:pPr>
              <w:pStyle w:val="T2"/>
              <w:spacing w:after="0"/>
              <w:ind w:left="0" w:right="0"/>
              <w:rPr>
                <w:b w:val="0"/>
                <w:sz w:val="20"/>
              </w:rPr>
            </w:pPr>
          </w:p>
        </w:tc>
        <w:tc>
          <w:tcPr>
            <w:tcW w:w="3108" w:type="dxa"/>
          </w:tcPr>
          <w:p w14:paraId="71806025" w14:textId="77777777" w:rsidR="002D34E9" w:rsidRPr="002D34E9" w:rsidRDefault="002D34E9" w:rsidP="002D34E9">
            <w:pPr>
              <w:pStyle w:val="T2"/>
              <w:spacing w:after="0"/>
              <w:ind w:left="0" w:right="0"/>
              <w:rPr>
                <w:b w:val="0"/>
                <w:sz w:val="20"/>
              </w:rPr>
            </w:pPr>
          </w:p>
        </w:tc>
      </w:tr>
      <w:tr w:rsidR="002D34E9" w:rsidRPr="00316845" w14:paraId="02C0DB2E" w14:textId="77777777" w:rsidTr="00485A67">
        <w:trPr>
          <w:jc w:val="center"/>
        </w:trPr>
        <w:tc>
          <w:tcPr>
            <w:tcW w:w="1755" w:type="dxa"/>
            <w:vAlign w:val="center"/>
          </w:tcPr>
          <w:p w14:paraId="35F5ED47" w14:textId="77777777" w:rsidR="00F860A0" w:rsidRPr="00316845" w:rsidRDefault="00F860A0" w:rsidP="002D34E9">
            <w:pPr>
              <w:pStyle w:val="T2"/>
              <w:spacing w:after="0"/>
              <w:ind w:left="0" w:right="0"/>
              <w:rPr>
                <w:b w:val="0"/>
                <w:sz w:val="20"/>
              </w:rPr>
            </w:pPr>
          </w:p>
        </w:tc>
        <w:tc>
          <w:tcPr>
            <w:tcW w:w="2257" w:type="dxa"/>
            <w:vAlign w:val="center"/>
          </w:tcPr>
          <w:p w14:paraId="369C7C7C" w14:textId="77777777" w:rsidR="002D34E9" w:rsidRPr="00316845" w:rsidRDefault="002D34E9" w:rsidP="002D34E9">
            <w:pPr>
              <w:pStyle w:val="T2"/>
              <w:spacing w:after="0"/>
              <w:ind w:left="0" w:right="0"/>
              <w:rPr>
                <w:b w:val="0"/>
                <w:sz w:val="20"/>
              </w:rPr>
            </w:pPr>
          </w:p>
        </w:tc>
        <w:tc>
          <w:tcPr>
            <w:tcW w:w="1428" w:type="dxa"/>
            <w:vAlign w:val="center"/>
          </w:tcPr>
          <w:p w14:paraId="2C6063A9" w14:textId="77777777" w:rsidR="002D34E9" w:rsidRPr="00316845" w:rsidRDefault="002D34E9" w:rsidP="002D34E9">
            <w:pPr>
              <w:pStyle w:val="T2"/>
              <w:spacing w:after="0"/>
              <w:ind w:left="0" w:right="0"/>
              <w:rPr>
                <w:b w:val="0"/>
                <w:sz w:val="20"/>
              </w:rPr>
            </w:pPr>
          </w:p>
        </w:tc>
        <w:tc>
          <w:tcPr>
            <w:tcW w:w="945" w:type="dxa"/>
            <w:vAlign w:val="center"/>
          </w:tcPr>
          <w:p w14:paraId="08DC103B" w14:textId="77777777" w:rsidR="002D34E9" w:rsidRPr="00316845" w:rsidRDefault="002D34E9" w:rsidP="002D34E9">
            <w:pPr>
              <w:pStyle w:val="T2"/>
              <w:spacing w:after="0"/>
              <w:ind w:left="0" w:right="0"/>
              <w:rPr>
                <w:b w:val="0"/>
                <w:sz w:val="20"/>
              </w:rPr>
            </w:pPr>
          </w:p>
        </w:tc>
        <w:tc>
          <w:tcPr>
            <w:tcW w:w="3108" w:type="dxa"/>
            <w:vAlign w:val="center"/>
          </w:tcPr>
          <w:p w14:paraId="7D6765FF" w14:textId="77777777" w:rsidR="00F860A0" w:rsidRPr="00316845" w:rsidRDefault="00F860A0" w:rsidP="009F5A4B">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Strong"/>
        </w:rPr>
      </w:pPr>
      <w:bookmarkStart w:id="0" w:name="_GoBack"/>
      <w:bookmarkEnd w:id="0"/>
      <w:r w:rsidRPr="009F5A4B">
        <w:rPr>
          <w:rStyle w:val="Strong"/>
        </w:rPr>
        <w:lastRenderedPageBreak/>
        <w:t>Introduction</w:t>
      </w:r>
    </w:p>
    <w:p w14:paraId="35560192" w14:textId="77777777" w:rsidR="00067396" w:rsidRPr="009F5A4B" w:rsidRDefault="00067396" w:rsidP="0086708F">
      <w:pPr>
        <w:rPr>
          <w:rStyle w:val="Strong"/>
        </w:rPr>
      </w:pPr>
    </w:p>
    <w:p w14:paraId="3F86FB1B" w14:textId="77777777" w:rsidR="00261B4B" w:rsidRPr="00261B4B" w:rsidRDefault="00261B4B" w:rsidP="00261B4B">
      <w:pPr>
        <w:rPr>
          <w:lang w:val="en-US"/>
        </w:rPr>
      </w:pPr>
      <w:r w:rsidRPr="00261B4B">
        <w:rPr>
          <w:lang w:val="en-US"/>
        </w:rPr>
        <w:t>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WiFi access point. This enormous utilisation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60EE2E37" w:rsidR="009629A7" w:rsidRDefault="00261B4B" w:rsidP="00261B4B">
      <w:pPr>
        <w:rPr>
          <w:lang w:val="en-US"/>
        </w:rPr>
      </w:pPr>
      <w:r w:rsidRPr="00261B4B">
        <w:rPr>
          <w:lang w:val="en-US"/>
        </w:rPr>
        <w:t>Undeniably, there are multiple solutions that can provide an increase in the available spectrum and increased confinement of the RF signal. As an example, WiGig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unlicenses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ListParagraph"/>
        <w:numPr>
          <w:ilvl w:val="0"/>
          <w:numId w:val="23"/>
        </w:numPr>
        <w:jc w:val="both"/>
        <w:rPr>
          <w:lang w:val="en-US"/>
        </w:rPr>
      </w:pPr>
      <w:r>
        <w:rPr>
          <w:lang w:val="en-US"/>
        </w:rPr>
        <w:t>Enterprise</w:t>
      </w:r>
    </w:p>
    <w:p w14:paraId="2E937F63" w14:textId="77777777" w:rsidR="0063095F" w:rsidRDefault="0063095F" w:rsidP="0063095F">
      <w:pPr>
        <w:pStyle w:val="ListParagraph"/>
        <w:numPr>
          <w:ilvl w:val="0"/>
          <w:numId w:val="23"/>
        </w:numPr>
        <w:jc w:val="both"/>
        <w:rPr>
          <w:lang w:val="en-US"/>
        </w:rPr>
      </w:pPr>
      <w:r>
        <w:rPr>
          <w:lang w:val="en-US"/>
        </w:rPr>
        <w:t>Home</w:t>
      </w:r>
    </w:p>
    <w:p w14:paraId="6B8AD580" w14:textId="77777777" w:rsidR="0063095F" w:rsidRPr="0063095F" w:rsidRDefault="0063095F" w:rsidP="0063095F">
      <w:pPr>
        <w:pStyle w:val="ListParagraph"/>
        <w:numPr>
          <w:ilvl w:val="1"/>
          <w:numId w:val="23"/>
        </w:numPr>
        <w:jc w:val="both"/>
        <w:rPr>
          <w:lang w:val="en-US"/>
        </w:rPr>
      </w:pPr>
      <w:r>
        <w:rPr>
          <w:lang w:val="en-US"/>
        </w:rPr>
        <w:t>Fast setup</w:t>
      </w:r>
    </w:p>
    <w:p w14:paraId="482D75DA" w14:textId="77777777" w:rsidR="0063095F" w:rsidRDefault="0063095F" w:rsidP="0063095F">
      <w:pPr>
        <w:pStyle w:val="ListParagraph"/>
        <w:numPr>
          <w:ilvl w:val="0"/>
          <w:numId w:val="23"/>
        </w:numPr>
        <w:jc w:val="both"/>
        <w:rPr>
          <w:lang w:val="en-US"/>
        </w:rPr>
      </w:pPr>
      <w:r>
        <w:rPr>
          <w:lang w:val="en-US"/>
        </w:rPr>
        <w:t>Retail</w:t>
      </w:r>
    </w:p>
    <w:p w14:paraId="130F0AD5" w14:textId="77777777" w:rsidR="0063095F" w:rsidRDefault="0063095F" w:rsidP="0063095F">
      <w:pPr>
        <w:pStyle w:val="ListParagraph"/>
        <w:numPr>
          <w:ilvl w:val="1"/>
          <w:numId w:val="23"/>
        </w:numPr>
        <w:jc w:val="both"/>
        <w:rPr>
          <w:lang w:val="en-US"/>
        </w:rPr>
      </w:pPr>
      <w:r>
        <w:rPr>
          <w:lang w:val="en-US"/>
        </w:rPr>
        <w:t>Location-based connectivity and services</w:t>
      </w:r>
    </w:p>
    <w:p w14:paraId="431F50AA" w14:textId="77777777" w:rsidR="0063095F" w:rsidRDefault="0063095F" w:rsidP="0063095F">
      <w:pPr>
        <w:pStyle w:val="ListParagraph"/>
        <w:numPr>
          <w:ilvl w:val="0"/>
          <w:numId w:val="23"/>
        </w:numPr>
        <w:jc w:val="both"/>
        <w:rPr>
          <w:lang w:val="en-US"/>
        </w:rPr>
      </w:pPr>
      <w:r>
        <w:rPr>
          <w:lang w:val="en-US"/>
        </w:rPr>
        <w:t>IoT</w:t>
      </w:r>
    </w:p>
    <w:p w14:paraId="236667F2" w14:textId="77777777" w:rsidR="0063095F" w:rsidRDefault="0063095F" w:rsidP="0063095F">
      <w:pPr>
        <w:pStyle w:val="ListParagraph"/>
        <w:numPr>
          <w:ilvl w:val="1"/>
          <w:numId w:val="23"/>
        </w:numPr>
        <w:jc w:val="both"/>
        <w:rPr>
          <w:lang w:val="en-US"/>
        </w:rPr>
      </w:pPr>
      <w:r>
        <w:rPr>
          <w:lang w:val="en-US"/>
        </w:rPr>
        <w:t>Home</w:t>
      </w:r>
    </w:p>
    <w:p w14:paraId="00DBB2AA" w14:textId="43C1D4DF" w:rsidR="0063095F" w:rsidRDefault="0063095F" w:rsidP="0063095F">
      <w:pPr>
        <w:pStyle w:val="ListParagraph"/>
        <w:numPr>
          <w:ilvl w:val="1"/>
          <w:numId w:val="23"/>
        </w:numPr>
        <w:jc w:val="both"/>
        <w:rPr>
          <w:lang w:val="en-US"/>
        </w:rPr>
      </w:pPr>
      <w:r>
        <w:rPr>
          <w:lang w:val="en-US"/>
        </w:rPr>
        <w:t>Smart cities</w:t>
      </w:r>
    </w:p>
    <w:p w14:paraId="7E105775" w14:textId="5C72A879" w:rsidR="003827A6" w:rsidRDefault="003827A6" w:rsidP="0063095F">
      <w:pPr>
        <w:pStyle w:val="ListParagraph"/>
        <w:numPr>
          <w:ilvl w:val="1"/>
          <w:numId w:val="23"/>
        </w:numPr>
        <w:jc w:val="both"/>
        <w:rPr>
          <w:lang w:val="en-US"/>
        </w:rPr>
      </w:pPr>
      <w:r>
        <w:rPr>
          <w:lang w:val="en-US"/>
        </w:rPr>
        <w:t>Factories of the future</w:t>
      </w:r>
    </w:p>
    <w:p w14:paraId="35B6139B" w14:textId="6E1EF539" w:rsidR="003827A6" w:rsidRDefault="003827A6" w:rsidP="0063095F">
      <w:pPr>
        <w:pStyle w:val="ListParagraph"/>
        <w:numPr>
          <w:ilvl w:val="1"/>
          <w:numId w:val="23"/>
        </w:numPr>
        <w:jc w:val="both"/>
        <w:rPr>
          <w:lang w:val="en-US"/>
        </w:rPr>
      </w:pPr>
      <w:r>
        <w:rPr>
          <w:lang w:val="en-US"/>
        </w:rPr>
        <w:t>Healthcare</w:t>
      </w:r>
    </w:p>
    <w:p w14:paraId="34B278E1" w14:textId="16CA0384" w:rsidR="003827A6" w:rsidRDefault="003827A6" w:rsidP="003827A6">
      <w:pPr>
        <w:pStyle w:val="ListParagraph"/>
        <w:numPr>
          <w:ilvl w:val="0"/>
          <w:numId w:val="23"/>
        </w:numPr>
        <w:jc w:val="both"/>
        <w:rPr>
          <w:lang w:val="en-US"/>
        </w:rPr>
      </w:pPr>
      <w:r>
        <w:rPr>
          <w:lang w:val="en-US"/>
        </w:rPr>
        <w:t>Industrial and manufacturing</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60A8D741" w14:textId="77777777" w:rsidR="0063095F" w:rsidRDefault="0063095F" w:rsidP="0063095F">
      <w:pPr>
        <w:jc w:val="both"/>
        <w:rPr>
          <w:b/>
          <w:lang w:val="en-US"/>
        </w:rPr>
      </w:pPr>
    </w:p>
    <w:p w14:paraId="4856CBC7" w14:textId="77777777" w:rsidR="0063095F" w:rsidRDefault="0063095F" w:rsidP="0063095F">
      <w:pPr>
        <w:pStyle w:val="ListParagraph"/>
        <w:numPr>
          <w:ilvl w:val="0"/>
          <w:numId w:val="24"/>
        </w:numPr>
        <w:jc w:val="both"/>
        <w:rPr>
          <w:lang w:val="en-US"/>
        </w:rPr>
      </w:pPr>
      <w:r w:rsidRPr="0063095F">
        <w:rPr>
          <w:lang w:val="en-US"/>
        </w:rPr>
        <w:t>Data rate</w:t>
      </w:r>
    </w:p>
    <w:p w14:paraId="44D4721A" w14:textId="77777777" w:rsidR="00AC132D" w:rsidRDefault="00AC132D" w:rsidP="0063095F">
      <w:pPr>
        <w:pStyle w:val="ListParagraph"/>
        <w:numPr>
          <w:ilvl w:val="0"/>
          <w:numId w:val="24"/>
        </w:numPr>
        <w:jc w:val="both"/>
        <w:rPr>
          <w:lang w:val="en-US"/>
        </w:rPr>
      </w:pPr>
      <w:r>
        <w:rPr>
          <w:lang w:val="en-US"/>
        </w:rPr>
        <w:t>SNR Link Margin (for PIN/APD detectors under illumination constraints)</w:t>
      </w:r>
    </w:p>
    <w:p w14:paraId="252A1D00" w14:textId="77777777" w:rsidR="0063095F" w:rsidRDefault="00AC132D" w:rsidP="00800E54">
      <w:pPr>
        <w:pStyle w:val="ListParagraph"/>
        <w:numPr>
          <w:ilvl w:val="1"/>
          <w:numId w:val="24"/>
        </w:numPr>
        <w:jc w:val="both"/>
        <w:rPr>
          <w:lang w:val="en-US"/>
        </w:rPr>
      </w:pPr>
      <w:r>
        <w:rPr>
          <w:lang w:val="en-US"/>
        </w:rPr>
        <w:t xml:space="preserve">Provide typical </w:t>
      </w:r>
      <w:r w:rsidR="0063095F">
        <w:rPr>
          <w:lang w:val="en-US"/>
        </w:rPr>
        <w:t>Transmission range</w:t>
      </w:r>
      <w:r>
        <w:rPr>
          <w:lang w:val="en-US"/>
        </w:rPr>
        <w:t xml:space="preserve"> examples</w:t>
      </w:r>
    </w:p>
    <w:p w14:paraId="39C5061F" w14:textId="77777777" w:rsidR="0063095F" w:rsidRDefault="0063095F" w:rsidP="0063095F">
      <w:pPr>
        <w:pStyle w:val="ListParagraph"/>
        <w:numPr>
          <w:ilvl w:val="0"/>
          <w:numId w:val="24"/>
        </w:numPr>
        <w:jc w:val="both"/>
        <w:rPr>
          <w:lang w:val="en-US"/>
        </w:rPr>
      </w:pPr>
      <w:r>
        <w:rPr>
          <w:lang w:val="en-US"/>
        </w:rPr>
        <w:t>Latency</w:t>
      </w:r>
    </w:p>
    <w:p w14:paraId="5688B0C5" w14:textId="00D54AFA" w:rsidR="0063095F" w:rsidRDefault="0063095F" w:rsidP="0063095F">
      <w:pPr>
        <w:pStyle w:val="ListParagraph"/>
        <w:numPr>
          <w:ilvl w:val="0"/>
          <w:numId w:val="24"/>
        </w:numPr>
        <w:jc w:val="both"/>
        <w:rPr>
          <w:lang w:val="en-US"/>
        </w:rPr>
      </w:pPr>
      <w:r>
        <w:rPr>
          <w:lang w:val="en-US"/>
        </w:rPr>
        <w:t>Channel access fairness</w:t>
      </w:r>
    </w:p>
    <w:p w14:paraId="11AA0DA6" w14:textId="36A22BC5" w:rsidR="003827A6" w:rsidRDefault="003827A6" w:rsidP="0063095F">
      <w:pPr>
        <w:pStyle w:val="ListParagraph"/>
        <w:numPr>
          <w:ilvl w:val="0"/>
          <w:numId w:val="24"/>
        </w:numPr>
        <w:jc w:val="both"/>
        <w:rPr>
          <w:lang w:val="en-US"/>
        </w:rPr>
      </w:pPr>
      <w:r>
        <w:rPr>
          <w:lang w:val="en-US"/>
        </w:rPr>
        <w:t>Area spectral density (bit/s/sqm)</w:t>
      </w:r>
    </w:p>
    <w:p w14:paraId="54F269C7" w14:textId="77777777" w:rsidR="0063095F" w:rsidRPr="0063095F" w:rsidRDefault="00FB4CA1" w:rsidP="0063095F">
      <w:pPr>
        <w:pStyle w:val="ListParagraph"/>
        <w:numPr>
          <w:ilvl w:val="0"/>
          <w:numId w:val="24"/>
        </w:numPr>
        <w:jc w:val="both"/>
        <w:rPr>
          <w:lang w:val="en-US"/>
        </w:rPr>
      </w:pPr>
      <w:r>
        <w:rPr>
          <w:lang w:val="en-US"/>
        </w:rPr>
        <w:t xml:space="preserve"> </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7644FC5C" w14:textId="77777777" w:rsidR="0063095F" w:rsidRDefault="0063095F" w:rsidP="0063095F">
      <w:pPr>
        <w:pStyle w:val="ListParagraph"/>
        <w:numPr>
          <w:ilvl w:val="0"/>
          <w:numId w:val="25"/>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4F92413E" w14:textId="77777777" w:rsidR="0063095F" w:rsidRDefault="0063095F" w:rsidP="0063095F">
      <w:pPr>
        <w:pStyle w:val="ListParagraph"/>
        <w:numPr>
          <w:ilvl w:val="0"/>
          <w:numId w:val="25"/>
        </w:numPr>
        <w:jc w:val="both"/>
        <w:rPr>
          <w:lang w:val="en-US"/>
        </w:rPr>
      </w:pPr>
      <w:r w:rsidRPr="00534E18">
        <w:rPr>
          <w:lang w:val="en-US"/>
        </w:rPr>
        <w:t>low-latency data delivery</w:t>
      </w:r>
    </w:p>
    <w:p w14:paraId="38DDD00D" w14:textId="77777777"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ListParagraph"/>
        <w:numPr>
          <w:ilvl w:val="0"/>
          <w:numId w:val="27"/>
        </w:numPr>
        <w:jc w:val="both"/>
        <w:rPr>
          <w:lang w:val="en-US"/>
        </w:rPr>
      </w:pPr>
      <w:r w:rsidRPr="009629A7">
        <w:lastRenderedPageBreak/>
        <w:t>General Questions</w:t>
      </w:r>
    </w:p>
    <w:p w14:paraId="73A71228" w14:textId="77777777" w:rsidR="0063095F" w:rsidRPr="0063095F" w:rsidRDefault="0063095F" w:rsidP="007C2C65">
      <w:pPr>
        <w:pStyle w:val="ListParagraph"/>
        <w:numPr>
          <w:ilvl w:val="1"/>
          <w:numId w:val="27"/>
        </w:numPr>
        <w:jc w:val="both"/>
        <w:rPr>
          <w:lang w:val="en-US"/>
        </w:rPr>
      </w:pPr>
      <w:r w:rsidRPr="00964000">
        <w:t xml:space="preserve">How does </w:t>
      </w:r>
      <w:r w:rsidR="007C2C65">
        <w:t>LC</w:t>
      </w:r>
      <w:r w:rsidRPr="00964000">
        <w:t xml:space="preserve"> work?</w:t>
      </w:r>
    </w:p>
    <w:p w14:paraId="6B707AF2" w14:textId="77777777" w:rsidR="0063095F" w:rsidRPr="00964000" w:rsidRDefault="007C2C65" w:rsidP="007C2C65">
      <w:pPr>
        <w:pStyle w:val="ListParagraph"/>
        <w:numPr>
          <w:ilvl w:val="1"/>
          <w:numId w:val="27"/>
        </w:numPr>
      </w:pPr>
      <w:r>
        <w:t>How does LC</w:t>
      </w:r>
      <w:r w:rsidR="0063095F" w:rsidRPr="00964000">
        <w:t xml:space="preserve"> work in a bright room with sunlight?</w:t>
      </w:r>
    </w:p>
    <w:p w14:paraId="55297DD7" w14:textId="77777777" w:rsidR="0063095F" w:rsidRPr="0063095F" w:rsidRDefault="007C2C65" w:rsidP="007C2C65">
      <w:pPr>
        <w:pStyle w:val="ListParagraph"/>
        <w:numPr>
          <w:ilvl w:val="1"/>
          <w:numId w:val="27"/>
        </w:numPr>
        <w:jc w:val="both"/>
        <w:rPr>
          <w:lang w:val="en-US"/>
        </w:rPr>
      </w:pPr>
      <w:r>
        <w:t>How does LC</w:t>
      </w:r>
      <w:r w:rsidR="0063095F" w:rsidRPr="00964000">
        <w:t xml:space="preserve"> work when you turn off the lights?</w:t>
      </w:r>
    </w:p>
    <w:p w14:paraId="33CD788C" w14:textId="77777777" w:rsidR="0063095F" w:rsidRPr="0063095F" w:rsidRDefault="007C2C65" w:rsidP="007C2C65">
      <w:pPr>
        <w:pStyle w:val="ListParagraph"/>
        <w:numPr>
          <w:ilvl w:val="1"/>
          <w:numId w:val="27"/>
        </w:numPr>
        <w:jc w:val="both"/>
        <w:rPr>
          <w:lang w:val="en-US"/>
        </w:rPr>
      </w:pPr>
      <w:r>
        <w:t>Can we see LC</w:t>
      </w:r>
      <w:r w:rsidR="0063095F" w:rsidRPr="00964000">
        <w:t xml:space="preserve"> lights flicker?</w:t>
      </w:r>
    </w:p>
    <w:p w14:paraId="6C966BB9" w14:textId="77777777" w:rsidR="0063095F" w:rsidRPr="0063095F" w:rsidRDefault="0063095F" w:rsidP="007C2C65">
      <w:pPr>
        <w:pStyle w:val="ListParagraph"/>
        <w:numPr>
          <w:ilvl w:val="1"/>
          <w:numId w:val="27"/>
        </w:numPr>
        <w:jc w:val="both"/>
        <w:rPr>
          <w:lang w:val="en-US"/>
        </w:rPr>
      </w:pPr>
      <w:r w:rsidRPr="00964000">
        <w:t>Is the in flicker created by modulation safe?</w:t>
      </w:r>
    </w:p>
    <w:p w14:paraId="61AF8261" w14:textId="77777777" w:rsidR="0063095F" w:rsidRPr="0063095F" w:rsidRDefault="007C2C65" w:rsidP="007C2C65">
      <w:pPr>
        <w:pStyle w:val="ListParagraph"/>
        <w:numPr>
          <w:ilvl w:val="1"/>
          <w:numId w:val="27"/>
        </w:numPr>
        <w:jc w:val="both"/>
        <w:rPr>
          <w:lang w:val="en-US"/>
        </w:rPr>
      </w:pPr>
      <w:r>
        <w:t>Is LC</w:t>
      </w:r>
      <w:r w:rsidR="0063095F" w:rsidRPr="00964000">
        <w:t xml:space="preserve"> a line of sight technology?</w:t>
      </w:r>
    </w:p>
    <w:p w14:paraId="2529ABEA" w14:textId="77777777" w:rsidR="0063095F" w:rsidRPr="0063095F" w:rsidRDefault="007C2C65" w:rsidP="007C2C65">
      <w:pPr>
        <w:pStyle w:val="ListParagraph"/>
        <w:numPr>
          <w:ilvl w:val="1"/>
          <w:numId w:val="27"/>
        </w:numPr>
        <w:jc w:val="both"/>
        <w:rPr>
          <w:lang w:val="en-US"/>
        </w:rPr>
      </w:pPr>
      <w:r>
        <w:t>If LC</w:t>
      </w:r>
      <w:r w:rsidR="0063095F" w:rsidRPr="00964000">
        <w:t xml:space="preserve"> is a non-line-of-sight technology then how is it more secure than other wireless technologies?</w:t>
      </w:r>
    </w:p>
    <w:p w14:paraId="4AB50055" w14:textId="77777777" w:rsidR="0063095F" w:rsidRPr="0063095F" w:rsidRDefault="0063095F" w:rsidP="007C2C65">
      <w:pPr>
        <w:pStyle w:val="ListParagraph"/>
        <w:numPr>
          <w:ilvl w:val="1"/>
          <w:numId w:val="27"/>
        </w:numPr>
        <w:jc w:val="both"/>
        <w:rPr>
          <w:lang w:val="en-US"/>
        </w:rPr>
      </w:pPr>
      <w:r w:rsidRPr="00964000">
        <w:t xml:space="preserve">Will </w:t>
      </w:r>
      <w:r w:rsidR="007C2C65">
        <w:t>LC</w:t>
      </w:r>
      <w:r w:rsidRPr="00964000">
        <w:t xml:space="preserve"> work in my pocket?</w:t>
      </w:r>
    </w:p>
    <w:p w14:paraId="0736F524" w14:textId="77777777" w:rsidR="0063095F" w:rsidRPr="0063095F" w:rsidRDefault="0063095F" w:rsidP="007C2C65">
      <w:pPr>
        <w:pStyle w:val="ListParagraph"/>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62672B16" w14:textId="77777777" w:rsidR="0063095F" w:rsidRDefault="000A6E4E" w:rsidP="007C2C65">
      <w:pPr>
        <w:pStyle w:val="ListParagraph"/>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2AECCFFF" w14:textId="3A6E0163" w:rsidR="007C2C65" w:rsidRPr="00800E54" w:rsidRDefault="000A6E4E" w:rsidP="009D79A5">
      <w:pPr>
        <w:pStyle w:val="ListParagraph"/>
        <w:numPr>
          <w:ilvl w:val="1"/>
          <w:numId w:val="27"/>
        </w:numPr>
        <w:jc w:val="both"/>
        <w:rPr>
          <w:lang w:val="en-US"/>
        </w:rPr>
      </w:pPr>
      <w:r w:rsidRPr="007C2C65">
        <w:rPr>
          <w:lang w:val="en-US"/>
        </w:rPr>
        <w:t>How does the backhaul work?</w:t>
      </w:r>
    </w:p>
    <w:p w14:paraId="29380CF5" w14:textId="093E459A" w:rsidR="001D341B" w:rsidRPr="007C2C65" w:rsidRDefault="001D341B" w:rsidP="009D79A5">
      <w:pPr>
        <w:pStyle w:val="ListParagraph"/>
        <w:numPr>
          <w:ilvl w:val="1"/>
          <w:numId w:val="27"/>
        </w:numPr>
        <w:jc w:val="both"/>
        <w:rPr>
          <w:b/>
          <w:lang w:val="en-US"/>
        </w:rPr>
      </w:pPr>
      <w:r>
        <w:rPr>
          <w:lang w:val="en-US"/>
        </w:rPr>
        <w:t xml:space="preserve"> </w:t>
      </w:r>
    </w:p>
    <w:p w14:paraId="59F43DC8" w14:textId="77777777" w:rsidR="007C2C65" w:rsidRPr="009629A7" w:rsidRDefault="007C2C65" w:rsidP="003B5F80">
      <w:pPr>
        <w:pStyle w:val="ListParagraph"/>
        <w:numPr>
          <w:ilvl w:val="0"/>
          <w:numId w:val="27"/>
        </w:numPr>
        <w:jc w:val="both"/>
        <w:rPr>
          <w:lang w:val="en-US"/>
        </w:rPr>
      </w:pPr>
      <w:r w:rsidRPr="009629A7">
        <w:rPr>
          <w:lang w:val="en-US"/>
        </w:rPr>
        <w:t>C</w:t>
      </w:r>
      <w:r w:rsidR="004964EC" w:rsidRPr="009629A7">
        <w:rPr>
          <w:lang w:val="en-US"/>
        </w:rPr>
        <w:t>ompatibility with 802.11</w:t>
      </w:r>
    </w:p>
    <w:p w14:paraId="09F2FAD3" w14:textId="77777777" w:rsidR="004964EC" w:rsidRPr="009629A7" w:rsidRDefault="007C2C65" w:rsidP="003B5F80">
      <w:pPr>
        <w:pStyle w:val="ListParagraph"/>
        <w:numPr>
          <w:ilvl w:val="0"/>
          <w:numId w:val="27"/>
        </w:numPr>
        <w:jc w:val="both"/>
        <w:rPr>
          <w:lang w:val="en-US"/>
        </w:rPr>
      </w:pPr>
      <w:r w:rsidRPr="009629A7">
        <w:rPr>
          <w:lang w:val="en-US"/>
        </w:rPr>
        <w:t>I</w:t>
      </w:r>
      <w:r w:rsidR="004964EC" w:rsidRPr="009629A7">
        <w:rPr>
          <w:lang w:val="en-US"/>
        </w:rPr>
        <w:t>ntegration with 802.11</w:t>
      </w:r>
    </w:p>
    <w:p w14:paraId="498D29F9" w14:textId="77777777" w:rsidR="007C2C65" w:rsidRPr="009629A7" w:rsidRDefault="007C2C65" w:rsidP="003B5F80">
      <w:pPr>
        <w:pStyle w:val="ListParagraph"/>
        <w:numPr>
          <w:ilvl w:val="0"/>
          <w:numId w:val="27"/>
        </w:numPr>
        <w:jc w:val="both"/>
        <w:rPr>
          <w:lang w:val="en-US"/>
        </w:rPr>
      </w:pPr>
      <w:r w:rsidRPr="009629A7">
        <w:rPr>
          <w:lang w:val="en-US"/>
        </w:rPr>
        <w:t>Coexistence with other 802 wireless protocols</w:t>
      </w:r>
    </w:p>
    <w:p w14:paraId="47900D93" w14:textId="77777777" w:rsidR="007C2C65" w:rsidRPr="009629A7" w:rsidRDefault="007C2C65" w:rsidP="003B5F80">
      <w:pPr>
        <w:pStyle w:val="ListParagraph"/>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ListParagraph"/>
        <w:numPr>
          <w:ilvl w:val="0"/>
          <w:numId w:val="28"/>
        </w:numPr>
        <w:jc w:val="both"/>
        <w:rPr>
          <w:lang w:val="en-US"/>
        </w:rPr>
      </w:pPr>
      <w:r>
        <w:rPr>
          <w:lang w:val="en-US"/>
        </w:rPr>
        <w:t>Balanced costs</w:t>
      </w:r>
    </w:p>
    <w:p w14:paraId="1A2AC600" w14:textId="77777777" w:rsidR="009629A7" w:rsidRDefault="009629A7" w:rsidP="009629A7">
      <w:pPr>
        <w:pStyle w:val="ListParagraph"/>
        <w:numPr>
          <w:ilvl w:val="0"/>
          <w:numId w:val="28"/>
        </w:numPr>
        <w:jc w:val="both"/>
        <w:rPr>
          <w:lang w:val="en-US"/>
        </w:rPr>
      </w:pPr>
      <w:r>
        <w:rPr>
          <w:lang w:val="en-US"/>
        </w:rPr>
        <w:t>Known cost factors</w:t>
      </w:r>
    </w:p>
    <w:p w14:paraId="75FABF4B" w14:textId="77777777" w:rsidR="009629A7" w:rsidRDefault="009629A7" w:rsidP="009629A7">
      <w:pPr>
        <w:pStyle w:val="ListParagraph"/>
        <w:numPr>
          <w:ilvl w:val="0"/>
          <w:numId w:val="28"/>
        </w:numPr>
        <w:jc w:val="both"/>
        <w:rPr>
          <w:lang w:val="en-US"/>
        </w:rPr>
      </w:pPr>
      <w:r>
        <w:rPr>
          <w:lang w:val="en-US"/>
        </w:rPr>
        <w:t>Consideration of installation costs</w:t>
      </w:r>
    </w:p>
    <w:p w14:paraId="2F89A386" w14:textId="77777777" w:rsidR="009629A7" w:rsidRDefault="009629A7" w:rsidP="009629A7">
      <w:pPr>
        <w:pStyle w:val="ListParagraph"/>
        <w:numPr>
          <w:ilvl w:val="0"/>
          <w:numId w:val="28"/>
        </w:numPr>
        <w:jc w:val="both"/>
        <w:rPr>
          <w:lang w:val="en-US"/>
        </w:rPr>
      </w:pPr>
      <w:r>
        <w:rPr>
          <w:lang w:val="en-US"/>
        </w:rPr>
        <w:t>Consideration of operation costs</w:t>
      </w:r>
    </w:p>
    <w:p w14:paraId="4E530825" w14:textId="77777777" w:rsidR="009629A7" w:rsidRDefault="009629A7" w:rsidP="009629A7">
      <w:pPr>
        <w:jc w:val="both"/>
        <w:rPr>
          <w:lang w:val="en-US"/>
        </w:rPr>
      </w:pPr>
    </w:p>
    <w:p w14:paraId="626C63AF" w14:textId="77777777" w:rsidR="009629A7" w:rsidRPr="009629A7" w:rsidRDefault="009629A7" w:rsidP="009629A7">
      <w:pPr>
        <w:jc w:val="both"/>
        <w:rPr>
          <w:b/>
          <w:lang w:val="en-US"/>
        </w:rPr>
      </w:pPr>
      <w:r w:rsidRPr="009629A7">
        <w:rPr>
          <w:b/>
          <w:lang w:val="en-US"/>
        </w:rPr>
        <w:t>LC Regulatory perspective</w:t>
      </w:r>
    </w:p>
    <w:p w14:paraId="73390E28" w14:textId="77777777" w:rsidR="004964EC" w:rsidRPr="001B2567" w:rsidRDefault="004964EC" w:rsidP="004964EC">
      <w:pPr>
        <w:jc w:val="both"/>
        <w:rPr>
          <w:lang w:val="en-US"/>
        </w:rPr>
      </w:pPr>
    </w:p>
    <w:p w14:paraId="6EE10FB6" w14:textId="77777777" w:rsidR="00B40471" w:rsidRDefault="00B40471" w:rsidP="00240B3B">
      <w:pPr>
        <w:jc w:val="both"/>
        <w:rPr>
          <w:lang w:val="en-US"/>
        </w:rPr>
      </w:pPr>
    </w:p>
    <w:p w14:paraId="4B24AAA2" w14:textId="77777777" w:rsidR="00384396" w:rsidRDefault="00384396" w:rsidP="00240B3B">
      <w:pPr>
        <w:jc w:val="both"/>
        <w:rPr>
          <w:lang w:val="en-US"/>
        </w:rPr>
      </w:pPr>
    </w:p>
    <w:p w14:paraId="58B2E9E2" w14:textId="77777777" w:rsidR="00384396" w:rsidRPr="00942B62" w:rsidRDefault="00384396" w:rsidP="00240B3B">
      <w:pPr>
        <w:jc w:val="both"/>
        <w:rPr>
          <w:lang w:val="en-US"/>
        </w:rPr>
      </w:pPr>
    </w:p>
    <w:sectPr w:rsidR="00384396" w:rsidRPr="00942B6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FBCA" w14:textId="77777777" w:rsidR="00A05F19" w:rsidRDefault="00A05F19">
      <w:r>
        <w:separator/>
      </w:r>
    </w:p>
  </w:endnote>
  <w:endnote w:type="continuationSeparator" w:id="0">
    <w:p w14:paraId="2F91391B" w14:textId="77777777" w:rsidR="00A05F19" w:rsidRDefault="00A0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75BF355F" w:rsidR="005E7A01" w:rsidRDefault="00A05F19">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2C6BFA">
      <w:rPr>
        <w:noProof/>
      </w:rPr>
      <w:t>3</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4356" w14:textId="77777777" w:rsidR="00A05F19" w:rsidRDefault="00A05F19">
      <w:r>
        <w:separator/>
      </w:r>
    </w:p>
  </w:footnote>
  <w:footnote w:type="continuationSeparator" w:id="0">
    <w:p w14:paraId="431781B6" w14:textId="77777777" w:rsidR="00A05F19" w:rsidRDefault="00A0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1B6C46E4" w:rsidR="005E7A01" w:rsidRDefault="00485A67">
    <w:pPr>
      <w:pStyle w:val="Header"/>
      <w:tabs>
        <w:tab w:val="clear" w:pos="6480"/>
        <w:tab w:val="center" w:pos="4680"/>
        <w:tab w:val="right" w:pos="9360"/>
      </w:tabs>
    </w:pPr>
    <w:r>
      <w:t xml:space="preserve">January </w:t>
    </w:r>
    <w:r w:rsidR="005E7A01">
      <w:t>201</w:t>
    </w:r>
    <w:r w:rsidR="003B4442">
      <w:t>7</w:t>
    </w:r>
    <w:r w:rsidR="005E7A01">
      <w:tab/>
    </w:r>
    <w:r w:rsidR="005E7A01">
      <w:tab/>
    </w:r>
    <w:r w:rsidR="00A05F19">
      <w:fldChar w:fldCharType="begin"/>
    </w:r>
    <w:r w:rsidR="00A05F19">
      <w:instrText xml:space="preserve"> TITLE  \* MERGEFORMAT </w:instrText>
    </w:r>
    <w:r w:rsidR="00A05F19">
      <w:fldChar w:fldCharType="separate"/>
    </w:r>
    <w:r w:rsidR="009B21DC">
      <w:t>doc. 11-17-0023-00-00lc</w:t>
    </w:r>
    <w:r w:rsidR="00A05F1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3"/>
  </w:num>
  <w:num w:numId="12">
    <w:abstractNumId w:val="13"/>
  </w:num>
  <w:num w:numId="13">
    <w:abstractNumId w:val="3"/>
  </w:num>
  <w:num w:numId="14">
    <w:abstractNumId w:val="15"/>
  </w:num>
  <w:num w:numId="15">
    <w:abstractNumId w:val="12"/>
  </w:num>
  <w:num w:numId="16">
    <w:abstractNumId w:val="11"/>
  </w:num>
  <w:num w:numId="17">
    <w:abstractNumId w:val="5"/>
  </w:num>
  <w:num w:numId="18">
    <w:abstractNumId w:val="18"/>
  </w:num>
  <w:num w:numId="19">
    <w:abstractNumId w:val="17"/>
  </w:num>
  <w:num w:numId="20">
    <w:abstractNumId w:val="2"/>
  </w:num>
  <w:num w:numId="21">
    <w:abstractNumId w:val="10"/>
  </w:num>
  <w:num w:numId="22">
    <w:abstractNumId w:val="8"/>
  </w:num>
  <w:num w:numId="23">
    <w:abstractNumId w:val="6"/>
  </w:num>
  <w:num w:numId="24">
    <w:abstractNumId w:val="16"/>
  </w:num>
  <w:num w:numId="25">
    <w:abstractNumId w:val="7"/>
  </w:num>
  <w:num w:numId="26">
    <w:abstractNumId w:val="9"/>
  </w:num>
  <w:num w:numId="27">
    <w:abstractNumId w:val="14"/>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71713"/>
    <w:rsid w:val="00271F48"/>
    <w:rsid w:val="002770E2"/>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27A6"/>
    <w:rsid w:val="00384396"/>
    <w:rsid w:val="003860B4"/>
    <w:rsid w:val="00386608"/>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1102C"/>
    <w:rsid w:val="00420B52"/>
    <w:rsid w:val="004338C4"/>
    <w:rsid w:val="00435B1B"/>
    <w:rsid w:val="0043678A"/>
    <w:rsid w:val="00442037"/>
    <w:rsid w:val="00447B54"/>
    <w:rsid w:val="00453122"/>
    <w:rsid w:val="00457E79"/>
    <w:rsid w:val="004670A3"/>
    <w:rsid w:val="004712BE"/>
    <w:rsid w:val="004713D5"/>
    <w:rsid w:val="00471FD8"/>
    <w:rsid w:val="00483A39"/>
    <w:rsid w:val="00485A67"/>
    <w:rsid w:val="00495F8C"/>
    <w:rsid w:val="004961FE"/>
    <w:rsid w:val="004964EC"/>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0390"/>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2C65"/>
    <w:rsid w:val="007C7AF3"/>
    <w:rsid w:val="007D175D"/>
    <w:rsid w:val="007D6307"/>
    <w:rsid w:val="007E6EC2"/>
    <w:rsid w:val="007E7E1E"/>
    <w:rsid w:val="007F2C55"/>
    <w:rsid w:val="007F7397"/>
    <w:rsid w:val="00800E54"/>
    <w:rsid w:val="00806F92"/>
    <w:rsid w:val="0081230D"/>
    <w:rsid w:val="00822C10"/>
    <w:rsid w:val="00825A48"/>
    <w:rsid w:val="008307CF"/>
    <w:rsid w:val="00854C7B"/>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5725A"/>
    <w:rsid w:val="00962492"/>
    <w:rsid w:val="009629A7"/>
    <w:rsid w:val="00966EC2"/>
    <w:rsid w:val="00974FA2"/>
    <w:rsid w:val="009908E8"/>
    <w:rsid w:val="00991ABE"/>
    <w:rsid w:val="00993FA9"/>
    <w:rsid w:val="00996846"/>
    <w:rsid w:val="009A530B"/>
    <w:rsid w:val="009A6A27"/>
    <w:rsid w:val="009B21DC"/>
    <w:rsid w:val="009B7E08"/>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B3456"/>
    <w:rsid w:val="00BC41DE"/>
    <w:rsid w:val="00BC6AC4"/>
    <w:rsid w:val="00BD305E"/>
    <w:rsid w:val="00BE68C2"/>
    <w:rsid w:val="00BF4B7C"/>
    <w:rsid w:val="00C07F53"/>
    <w:rsid w:val="00C13476"/>
    <w:rsid w:val="00C14A01"/>
    <w:rsid w:val="00C171D1"/>
    <w:rsid w:val="00C179A1"/>
    <w:rsid w:val="00C54A71"/>
    <w:rsid w:val="00C551FE"/>
    <w:rsid w:val="00C6628B"/>
    <w:rsid w:val="00C679A9"/>
    <w:rsid w:val="00C7249D"/>
    <w:rsid w:val="00C765F2"/>
    <w:rsid w:val="00C77D26"/>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obroslav.tsonev@purelifi.com"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3C00-F276-46BE-B4CF-499A760B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11-17-0023-00-00lc</vt:lpstr>
    </vt:vector>
  </TitlesOfParts>
  <Company>EPRI</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11-17-0023-00-00lc</dc:title>
  <dc:subject>Submission</dc:subject>
  <dc:creator>Nikola Serafimovski</dc:creator>
  <cp:keywords>doc.: IEEE 802.11-17/0023r0</cp:keywords>
  <dc:description/>
  <cp:lastModifiedBy>Nikola Serafimovski</cp:lastModifiedBy>
  <cp:revision>3</cp:revision>
  <cp:lastPrinted>2015-06-17T00:57:00Z</cp:lastPrinted>
  <dcterms:created xsi:type="dcterms:W3CDTF">2017-01-11T18:53:00Z</dcterms:created>
  <dcterms:modified xsi:type="dcterms:W3CDTF">2017-01-11T18:53:00Z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