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29"/>
        <w:gridCol w:w="1665"/>
        <w:gridCol w:w="3420"/>
        <w:gridCol w:w="54"/>
      </w:tblGrid>
      <w:tr w:rsidR="00CA09B2" w:rsidTr="00F65E52">
        <w:trPr>
          <w:trHeight w:val="485"/>
          <w:jc w:val="center"/>
        </w:trPr>
        <w:tc>
          <w:tcPr>
            <w:tcW w:w="10368" w:type="dxa"/>
            <w:gridSpan w:val="6"/>
            <w:vAlign w:val="center"/>
          </w:tcPr>
          <w:p w:rsidR="00CA09B2" w:rsidRDefault="00050C43" w:rsidP="00BB0933">
            <w:pPr>
              <w:pStyle w:val="T2"/>
            </w:pPr>
            <w:r>
              <w:t>Resoluti</w:t>
            </w:r>
            <w:r w:rsidR="00CD5EC8">
              <w:t>ons for some comments on 11mc/D5</w:t>
            </w:r>
            <w:r>
              <w:t>.0</w:t>
            </w:r>
          </w:p>
        </w:tc>
      </w:tr>
      <w:tr w:rsidR="00CA09B2" w:rsidTr="00F65E52">
        <w:trPr>
          <w:trHeight w:val="359"/>
          <w:jc w:val="center"/>
        </w:trPr>
        <w:tc>
          <w:tcPr>
            <w:tcW w:w="10368" w:type="dxa"/>
            <w:gridSpan w:val="6"/>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CD5EC8">
              <w:rPr>
                <w:b w:val="0"/>
                <w:sz w:val="20"/>
              </w:rPr>
              <w:t>6-02-23</w:t>
            </w:r>
          </w:p>
        </w:tc>
      </w:tr>
      <w:tr w:rsidR="00CA09B2" w:rsidTr="00F65E52">
        <w:trPr>
          <w:cantSplit/>
          <w:trHeight w:val="287"/>
          <w:jc w:val="center"/>
        </w:trPr>
        <w:tc>
          <w:tcPr>
            <w:tcW w:w="10368" w:type="dxa"/>
            <w:gridSpan w:val="6"/>
            <w:vAlign w:val="center"/>
          </w:tcPr>
          <w:p w:rsidR="00CA09B2" w:rsidRDefault="00CA09B2">
            <w:pPr>
              <w:pStyle w:val="T2"/>
              <w:spacing w:after="0"/>
              <w:ind w:left="0" w:right="0"/>
              <w:jc w:val="left"/>
              <w:rPr>
                <w:sz w:val="20"/>
              </w:rPr>
            </w:pPr>
            <w:r>
              <w:rPr>
                <w:sz w:val="20"/>
              </w:rPr>
              <w:t>Author(s):</w:t>
            </w:r>
          </w:p>
        </w:tc>
      </w:tr>
      <w:tr w:rsidR="00CA09B2" w:rsidTr="00F65E52">
        <w:trPr>
          <w:gridAfter w:val="1"/>
          <w:wAfter w:w="54" w:type="dxa"/>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1829" w:type="dxa"/>
            <w:vAlign w:val="center"/>
          </w:tcPr>
          <w:p w:rsidR="00CA09B2" w:rsidRDefault="00CA09B2">
            <w:pPr>
              <w:pStyle w:val="T2"/>
              <w:spacing w:after="0"/>
              <w:ind w:left="0" w:right="0"/>
              <w:jc w:val="left"/>
              <w:rPr>
                <w:sz w:val="20"/>
              </w:rPr>
            </w:pPr>
            <w:r>
              <w:rPr>
                <w:sz w:val="20"/>
              </w:rPr>
              <w:t>Address</w:t>
            </w:r>
          </w:p>
        </w:tc>
        <w:tc>
          <w:tcPr>
            <w:tcW w:w="1665" w:type="dxa"/>
            <w:vAlign w:val="center"/>
          </w:tcPr>
          <w:p w:rsidR="00CA09B2" w:rsidRDefault="00CA09B2">
            <w:pPr>
              <w:pStyle w:val="T2"/>
              <w:spacing w:after="0"/>
              <w:ind w:left="0" w:right="0"/>
              <w:jc w:val="left"/>
              <w:rPr>
                <w:sz w:val="20"/>
              </w:rPr>
            </w:pPr>
            <w:r>
              <w:rPr>
                <w:sz w:val="20"/>
              </w:rPr>
              <w:t>Phone</w:t>
            </w:r>
          </w:p>
        </w:tc>
        <w:tc>
          <w:tcPr>
            <w:tcW w:w="3420" w:type="dxa"/>
            <w:vAlign w:val="center"/>
          </w:tcPr>
          <w:p w:rsidR="00CA09B2" w:rsidRDefault="00CA09B2">
            <w:pPr>
              <w:pStyle w:val="T2"/>
              <w:spacing w:after="0"/>
              <w:ind w:left="0" w:right="0"/>
              <w:jc w:val="left"/>
              <w:rPr>
                <w:sz w:val="20"/>
              </w:rPr>
            </w:pPr>
            <w:r>
              <w:rPr>
                <w:sz w:val="20"/>
              </w:rPr>
              <w:t>email</w:t>
            </w:r>
          </w:p>
        </w:tc>
      </w:tr>
      <w:tr w:rsidR="00CA09B2" w:rsidTr="00F65E52">
        <w:trPr>
          <w:gridAfter w:val="1"/>
          <w:wAfter w:w="54" w:type="dxa"/>
          <w:jc w:val="center"/>
        </w:trPr>
        <w:tc>
          <w:tcPr>
            <w:tcW w:w="1336" w:type="dxa"/>
            <w:vAlign w:val="center"/>
          </w:tcPr>
          <w:p w:rsidR="00CA09B2" w:rsidRPr="00F65E52" w:rsidRDefault="00FB3F58">
            <w:pPr>
              <w:pStyle w:val="T2"/>
              <w:spacing w:after="0"/>
              <w:ind w:left="0" w:right="0"/>
              <w:rPr>
                <w:b w:val="0"/>
                <w:sz w:val="20"/>
              </w:rPr>
            </w:pPr>
            <w:r w:rsidRPr="00F65E52">
              <w:rPr>
                <w:b w:val="0"/>
                <w:sz w:val="20"/>
              </w:rPr>
              <w:t>Mark Hamilton</w:t>
            </w:r>
          </w:p>
        </w:tc>
        <w:tc>
          <w:tcPr>
            <w:tcW w:w="2064" w:type="dxa"/>
            <w:vAlign w:val="center"/>
          </w:tcPr>
          <w:p w:rsidR="00CA09B2" w:rsidRPr="00F65E52" w:rsidRDefault="00C70BB3">
            <w:pPr>
              <w:pStyle w:val="T2"/>
              <w:spacing w:after="0"/>
              <w:ind w:left="0" w:right="0"/>
              <w:rPr>
                <w:b w:val="0"/>
                <w:sz w:val="20"/>
              </w:rPr>
            </w:pPr>
            <w:r w:rsidRPr="00F65E52">
              <w:rPr>
                <w:b w:val="0"/>
                <w:sz w:val="20"/>
              </w:rPr>
              <w:t>Ruckus Wireless</w:t>
            </w:r>
          </w:p>
        </w:tc>
        <w:tc>
          <w:tcPr>
            <w:tcW w:w="1829" w:type="dxa"/>
            <w:vAlign w:val="center"/>
          </w:tcPr>
          <w:p w:rsidR="00FB3F58" w:rsidRPr="00F65E52" w:rsidRDefault="00C70BB3">
            <w:pPr>
              <w:pStyle w:val="T2"/>
              <w:spacing w:after="0"/>
              <w:ind w:left="0" w:right="0"/>
              <w:rPr>
                <w:b w:val="0"/>
                <w:sz w:val="20"/>
              </w:rPr>
            </w:pPr>
            <w:r w:rsidRPr="00F65E52">
              <w:rPr>
                <w:b w:val="0"/>
                <w:sz w:val="20"/>
              </w:rPr>
              <w:t>350 W. Java Dr</w:t>
            </w:r>
          </w:p>
          <w:p w:rsidR="00C70BB3" w:rsidRPr="00F65E52" w:rsidRDefault="00C70BB3">
            <w:pPr>
              <w:pStyle w:val="T2"/>
              <w:spacing w:after="0"/>
              <w:ind w:left="0" w:right="0"/>
              <w:rPr>
                <w:b w:val="0"/>
                <w:sz w:val="20"/>
              </w:rPr>
            </w:pPr>
            <w:r w:rsidRPr="00F65E52">
              <w:rPr>
                <w:b w:val="0"/>
                <w:sz w:val="20"/>
              </w:rPr>
              <w:t>Sunnyvale, CA</w:t>
            </w:r>
          </w:p>
        </w:tc>
        <w:tc>
          <w:tcPr>
            <w:tcW w:w="1665" w:type="dxa"/>
            <w:vAlign w:val="center"/>
          </w:tcPr>
          <w:p w:rsidR="00CA09B2" w:rsidRPr="00F65E52" w:rsidRDefault="00C70BB3">
            <w:pPr>
              <w:pStyle w:val="T2"/>
              <w:spacing w:after="0"/>
              <w:ind w:left="0" w:right="0"/>
              <w:rPr>
                <w:b w:val="0"/>
                <w:sz w:val="20"/>
              </w:rPr>
            </w:pPr>
            <w:r w:rsidRPr="00F65E52">
              <w:rPr>
                <w:b w:val="0"/>
                <w:sz w:val="20"/>
              </w:rPr>
              <w:t>+1.303.818.8472</w:t>
            </w:r>
          </w:p>
        </w:tc>
        <w:tc>
          <w:tcPr>
            <w:tcW w:w="3420" w:type="dxa"/>
            <w:vAlign w:val="center"/>
          </w:tcPr>
          <w:p w:rsidR="00CA09B2" w:rsidRPr="00F65E52" w:rsidRDefault="00CD5EC8" w:rsidP="00CD5EC8">
            <w:pPr>
              <w:pStyle w:val="T2"/>
              <w:spacing w:after="0"/>
              <w:ind w:left="0" w:right="0"/>
              <w:rPr>
                <w:b w:val="0"/>
                <w:sz w:val="20"/>
              </w:rPr>
            </w:pPr>
            <w:hyperlink r:id="rId8" w:history="1">
              <w:r w:rsidRPr="00730C1E">
                <w:rPr>
                  <w:rStyle w:val="Hyperlink"/>
                  <w:sz w:val="20"/>
                </w:rPr>
                <w:t>mark.hamilton2152@gmail.com</w:t>
              </w:r>
            </w:hyperlink>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submission contains proposed </w:t>
                            </w:r>
                            <w:r w:rsidR="00050C43">
                              <w:t>resolutions</w:t>
                            </w:r>
                            <w:r w:rsidR="00C70BB3">
                              <w:t xml:space="preserve"> to </w:t>
                            </w:r>
                            <w:r w:rsidR="00050C43">
                              <w:t>miscellaneous</w:t>
                            </w:r>
                            <w:r w:rsidR="00CD5EC8">
                              <w:t xml:space="preserve"> MAC Ad Hoc comments on REVmc D5</w:t>
                            </w:r>
                            <w:r w:rsidR="00050C43">
                              <w:t>.0 Sponsor Ballot</w:t>
                            </w:r>
                            <w:r w:rsidR="00C70BB3">
                              <w:t>.</w:t>
                            </w:r>
                          </w:p>
                          <w:p w:rsidR="00D52FEA" w:rsidRDefault="00D52FEA" w:rsidP="005A65B0"/>
                          <w:p w:rsidR="00D52FEA" w:rsidRDefault="00D52FEA" w:rsidP="005A65B0">
                            <w:r>
                              <w:t>Referenc</w:t>
                            </w:r>
                            <w:r w:rsidR="00050C43">
                              <w:t>es</w:t>
                            </w:r>
                            <w:r w:rsidR="00CD5EC8">
                              <w:t xml:space="preserve"> herein are to REVmc Draft 5</w:t>
                            </w:r>
                            <w:r w:rsidR="00050C43">
                              <w:t>.0</w:t>
                            </w:r>
                            <w:r>
                              <w:t>.</w:t>
                            </w:r>
                          </w:p>
                          <w:p w:rsidR="00D52FEA" w:rsidRDefault="00D52FEA" w:rsidP="005A65B0"/>
                          <w:p w:rsidR="00C21571" w:rsidRDefault="00C21571" w:rsidP="00C70BB3">
                            <w:r>
                              <w:t>R0</w:t>
                            </w:r>
                            <w:r w:rsidRPr="000C3329">
                              <w:t xml:space="preserve"> –</w:t>
                            </w:r>
                            <w:r>
                              <w:t xml:space="preserve"> </w:t>
                            </w:r>
                            <w:r w:rsidR="00C70BB3">
                              <w:t>initial version</w:t>
                            </w:r>
                            <w:r w:rsidR="00050C43">
                              <w:t xml:space="preserve">, with CIDs: </w:t>
                            </w:r>
                            <w:r w:rsidR="00CD5EC8">
                              <w:t>7131</w:t>
                            </w:r>
                          </w:p>
                          <w:p w:rsidR="00C21571" w:rsidRDefault="00C21571"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submission contains proposed </w:t>
                      </w:r>
                      <w:r w:rsidR="00050C43">
                        <w:t>resolutions</w:t>
                      </w:r>
                      <w:r w:rsidR="00C70BB3">
                        <w:t xml:space="preserve"> to </w:t>
                      </w:r>
                      <w:r w:rsidR="00050C43">
                        <w:t>miscellaneous</w:t>
                      </w:r>
                      <w:r w:rsidR="00CD5EC8">
                        <w:t xml:space="preserve"> MAC Ad Hoc comments on REVmc D5</w:t>
                      </w:r>
                      <w:r w:rsidR="00050C43">
                        <w:t>.0 Sponsor Ballot</w:t>
                      </w:r>
                      <w:r w:rsidR="00C70BB3">
                        <w:t>.</w:t>
                      </w:r>
                    </w:p>
                    <w:p w:rsidR="00D52FEA" w:rsidRDefault="00D52FEA" w:rsidP="005A65B0"/>
                    <w:p w:rsidR="00D52FEA" w:rsidRDefault="00D52FEA" w:rsidP="005A65B0">
                      <w:r>
                        <w:t>Referenc</w:t>
                      </w:r>
                      <w:r w:rsidR="00050C43">
                        <w:t>es</w:t>
                      </w:r>
                      <w:r w:rsidR="00CD5EC8">
                        <w:t xml:space="preserve"> herein are to REVmc Draft 5</w:t>
                      </w:r>
                      <w:r w:rsidR="00050C43">
                        <w:t>.0</w:t>
                      </w:r>
                      <w:r>
                        <w:t>.</w:t>
                      </w:r>
                    </w:p>
                    <w:p w:rsidR="00D52FEA" w:rsidRDefault="00D52FEA" w:rsidP="005A65B0"/>
                    <w:p w:rsidR="00C21571" w:rsidRDefault="00C21571" w:rsidP="00C70BB3">
                      <w:r>
                        <w:t>R0</w:t>
                      </w:r>
                      <w:r w:rsidRPr="000C3329">
                        <w:t xml:space="preserve"> –</w:t>
                      </w:r>
                      <w:r>
                        <w:t xml:space="preserve"> </w:t>
                      </w:r>
                      <w:r w:rsidR="00C70BB3">
                        <w:t>initial version</w:t>
                      </w:r>
                      <w:r w:rsidR="00050C43">
                        <w:t xml:space="preserve">, with CIDs: </w:t>
                      </w:r>
                      <w:r w:rsidR="00CD5EC8">
                        <w:t>7131</w:t>
                      </w:r>
                    </w:p>
                    <w:p w:rsidR="00C21571" w:rsidRDefault="00C21571" w:rsidP="00544790"/>
                    <w:p w:rsidR="00C21571" w:rsidRDefault="00C21571" w:rsidP="005A65B0"/>
                  </w:txbxContent>
                </v:textbox>
              </v:shape>
            </w:pict>
          </mc:Fallback>
        </mc:AlternateContent>
      </w:r>
    </w:p>
    <w:p w:rsidR="00FB3F58" w:rsidRPr="00FB3F58" w:rsidRDefault="00CA09B2" w:rsidP="00C70BB3">
      <w:pPr>
        <w:pStyle w:val="Heading1"/>
        <w:numPr>
          <w:ilvl w:val="0"/>
          <w:numId w:val="0"/>
        </w:numPr>
        <w:ind w:left="432" w:hanging="432"/>
        <w:rPr>
          <w:lang w:val="en-US"/>
        </w:rPr>
      </w:pPr>
      <w:r>
        <w:br w:type="page"/>
      </w:r>
    </w:p>
    <w:p w:rsidR="00D6371D" w:rsidRDefault="00D6371D" w:rsidP="00D6371D">
      <w:pPr>
        <w:rPr>
          <w:lang w:val="en-US"/>
        </w:rPr>
      </w:pPr>
    </w:p>
    <w:p w:rsidR="00CD5EC8" w:rsidRDefault="00CD5EC8" w:rsidP="00CD5EC8"/>
    <w:tbl>
      <w:tblPr>
        <w:tblStyle w:val="TableGrid"/>
        <w:tblW w:w="9715" w:type="dxa"/>
        <w:tblLayout w:type="fixed"/>
        <w:tblLook w:val="04A0" w:firstRow="1" w:lastRow="0" w:firstColumn="1" w:lastColumn="0" w:noHBand="0" w:noVBand="1"/>
      </w:tblPr>
      <w:tblGrid>
        <w:gridCol w:w="715"/>
        <w:gridCol w:w="895"/>
        <w:gridCol w:w="905"/>
        <w:gridCol w:w="810"/>
        <w:gridCol w:w="3150"/>
        <w:gridCol w:w="3240"/>
      </w:tblGrid>
      <w:tr w:rsidR="00CD5EC8" w:rsidRPr="00017A95" w:rsidTr="005321F2">
        <w:trPr>
          <w:trHeight w:val="2805"/>
        </w:trPr>
        <w:tc>
          <w:tcPr>
            <w:tcW w:w="715" w:type="dxa"/>
            <w:hideMark/>
          </w:tcPr>
          <w:p w:rsidR="00CD5EC8" w:rsidRPr="00017A95" w:rsidRDefault="00CD5EC8" w:rsidP="005321F2">
            <w:r w:rsidRPr="00017A95">
              <w:t>7131</w:t>
            </w:r>
          </w:p>
        </w:tc>
        <w:tc>
          <w:tcPr>
            <w:tcW w:w="895" w:type="dxa"/>
            <w:hideMark/>
          </w:tcPr>
          <w:p w:rsidR="00CD5EC8" w:rsidRPr="00017A95" w:rsidRDefault="00CD5EC8" w:rsidP="005321F2">
            <w:r w:rsidRPr="00017A95">
              <w:t>Stephens, Adrian</w:t>
            </w:r>
          </w:p>
        </w:tc>
        <w:tc>
          <w:tcPr>
            <w:tcW w:w="905" w:type="dxa"/>
            <w:hideMark/>
          </w:tcPr>
          <w:p w:rsidR="00CD5EC8" w:rsidRPr="00017A95" w:rsidRDefault="00CD5EC8" w:rsidP="005321F2">
            <w:r w:rsidRPr="00017A95">
              <w:t>3581.57</w:t>
            </w:r>
          </w:p>
        </w:tc>
        <w:tc>
          <w:tcPr>
            <w:tcW w:w="810" w:type="dxa"/>
            <w:hideMark/>
          </w:tcPr>
          <w:p w:rsidR="00CD5EC8" w:rsidRPr="00017A95" w:rsidRDefault="00CD5EC8" w:rsidP="005321F2">
            <w:r w:rsidRPr="00017A95">
              <w:t>N.2</w:t>
            </w:r>
          </w:p>
        </w:tc>
        <w:tc>
          <w:tcPr>
            <w:tcW w:w="3150" w:type="dxa"/>
            <w:hideMark/>
          </w:tcPr>
          <w:p w:rsidR="00CD5EC8" w:rsidRPr="00017A95" w:rsidRDefault="00CD5EC8" w:rsidP="005321F2">
            <w:r w:rsidRPr="00017A95">
              <w:t>"A STA can also form an integral part of an AP".   I thought an AP always contained a STA</w:t>
            </w:r>
            <w:proofErr w:type="gramStart"/>
            <w:r w:rsidRPr="00017A95">
              <w:t>,  otherwise</w:t>
            </w:r>
            <w:proofErr w:type="gramEnd"/>
            <w:r w:rsidRPr="00017A95">
              <w:t xml:space="preserve"> we would have to change all statements of the form "A STA that receives an RTS shall sent a CTS" to say "An AP or STA that receives...".   I'm sure we don't want to do that work.</w:t>
            </w:r>
          </w:p>
        </w:tc>
        <w:tc>
          <w:tcPr>
            <w:tcW w:w="3240" w:type="dxa"/>
            <w:hideMark/>
          </w:tcPr>
          <w:p w:rsidR="00CD5EC8" w:rsidRPr="00017A95" w:rsidRDefault="00CD5EC8" w:rsidP="005321F2">
            <w:r w:rsidRPr="00017A95">
              <w:t>Replace "ACM_STA</w:t>
            </w:r>
            <w:proofErr w:type="gramStart"/>
            <w:r w:rsidRPr="00017A95">
              <w:t>"  by</w:t>
            </w:r>
            <w:proofErr w:type="gramEnd"/>
            <w:r w:rsidRPr="00017A95">
              <w:t xml:space="preserve"> "AP" throughout Annex N,  and delete the para at line 57.</w:t>
            </w:r>
          </w:p>
        </w:tc>
      </w:tr>
    </w:tbl>
    <w:p w:rsidR="00CD5EC8" w:rsidRDefault="00CD5EC8" w:rsidP="00CD5EC8"/>
    <w:p w:rsidR="00CD5EC8" w:rsidRPr="00CD5EC8" w:rsidRDefault="00CD5EC8" w:rsidP="00CD5EC8">
      <w:pPr>
        <w:rPr>
          <w:b/>
          <w:u w:val="single"/>
        </w:rPr>
      </w:pPr>
      <w:r w:rsidRPr="00CD5EC8">
        <w:rPr>
          <w:b/>
          <w:u w:val="single"/>
        </w:rPr>
        <w:t>Discussion:</w:t>
      </w:r>
    </w:p>
    <w:p w:rsidR="00CD5EC8" w:rsidRDefault="00CD5EC8" w:rsidP="00CD5EC8"/>
    <w:p w:rsidR="00CD5EC8" w:rsidRDefault="00CD5EC8" w:rsidP="00CD5EC8">
      <w:r>
        <w:t>Yes, an AP always contains a STA.  But, not all STAs are contained within an AP (there are other STAs, in clients, etc., of course).  So, it seems correct to say that “A STA can also form an integral part of an AP”</w:t>
      </w:r>
      <w:r>
        <w:t>.</w:t>
      </w:r>
    </w:p>
    <w:p w:rsidR="00CD5EC8" w:rsidRDefault="00CD5EC8" w:rsidP="00CD5EC8"/>
    <w:p w:rsidR="00CD5EC8" w:rsidRDefault="00CD5EC8" w:rsidP="00CD5EC8">
      <w:r>
        <w:t>But, if this is too confusing, would it be better to say, “An AP is comprised of a STA and other functions outside the STA known as the DSAF”?  If we do that, we’ll need to describe the DSAF here, which is probably a good idea, but is the start of the slippery slope toward the resolution to CID 7150 – to rewrite Annex N to align better with the latest normative text description of an AP.  I suggest we defer going down to this slope, to handle it as part of CID 7150.</w:t>
      </w:r>
    </w:p>
    <w:p w:rsidR="00CD5EC8" w:rsidRDefault="00CD5EC8" w:rsidP="00CD5EC8"/>
    <w:p w:rsidR="00CD5EC8" w:rsidRDefault="00CD5EC8" w:rsidP="00CD5EC8">
      <w:r>
        <w:t>As for replacing “ACM_STA” with “AP”, those are not the same thing.  This is consistent with the normative description of an AP, as comprising a STA (the “ACM_STA” in Annex N) and a DSAF.  However, there are sentences/phrases in Annex N which confuse the idea that the AP contains an ACM_STA, and those could be corrected/clarified:</w:t>
      </w:r>
    </w:p>
    <w:p w:rsidR="00CD5EC8" w:rsidRDefault="00CD5EC8" w:rsidP="00CD5EC8"/>
    <w:p w:rsidR="00CD5EC8" w:rsidRDefault="00CD5EC8" w:rsidP="00CD5EC8">
      <w:r>
        <w:t>At 3582.36:</w:t>
      </w:r>
    </w:p>
    <w:p w:rsidR="00CD5EC8" w:rsidRDefault="00CD5EC8" w:rsidP="00CD5EC8">
      <w:pPr>
        <w:autoSpaceDE w:val="0"/>
        <w:autoSpaceDN w:val="0"/>
        <w:adjustRightInd w:val="0"/>
        <w:spacing w:after="120"/>
        <w:ind w:left="720"/>
      </w:pPr>
      <w:r>
        <w:rPr>
          <w:rFonts w:ascii="TimesNewRomanPSMT" w:hAnsi="TimesNewRomanPSMT" w:cs="TimesNewRomanPSMT"/>
          <w:sz w:val="20"/>
        </w:rPr>
        <w:t>Often the functions of an AP</w:t>
      </w:r>
      <w:r w:rsidRPr="00272E3B">
        <w:rPr>
          <w:rFonts w:ascii="TimesNewRomanPSMT" w:hAnsi="TimesNewRomanPSMT" w:cs="TimesNewRomanPSMT"/>
          <w:strike/>
          <w:sz w:val="20"/>
        </w:rPr>
        <w:t>,</w:t>
      </w:r>
      <w:r>
        <w:rPr>
          <w:rFonts w:ascii="TimesNewRomanPSMT" w:hAnsi="TimesNewRomanPSMT" w:cs="TimesNewRomanPSMT"/>
          <w:sz w:val="20"/>
        </w:rPr>
        <w:t xml:space="preserve"> </w:t>
      </w:r>
      <w:r>
        <w:rPr>
          <w:rFonts w:ascii="TimesNewRomanPSMT" w:hAnsi="TimesNewRomanPSMT" w:cs="TimesNewRomanPSMT"/>
          <w:sz w:val="20"/>
          <w:u w:val="single"/>
        </w:rPr>
        <w:t>(</w:t>
      </w:r>
      <w:r>
        <w:rPr>
          <w:rFonts w:ascii="TimesNewRomanPSMT" w:hAnsi="TimesNewRomanPSMT" w:cs="TimesNewRomanPSMT"/>
          <w:sz w:val="20"/>
        </w:rPr>
        <w:t>which includes an ACM_STA</w:t>
      </w:r>
      <w:r>
        <w:rPr>
          <w:rFonts w:ascii="TimesNewRomanPSMT" w:hAnsi="TimesNewRomanPSMT" w:cs="TimesNewRomanPSMT"/>
          <w:sz w:val="20"/>
          <w:u w:val="single"/>
        </w:rPr>
        <w:t>)</w:t>
      </w:r>
      <w:r w:rsidRPr="00272E3B">
        <w:rPr>
          <w:rFonts w:ascii="TimesNewRomanPSMT" w:hAnsi="TimesNewRomanPSMT" w:cs="TimesNewRomanPSMT"/>
          <w:strike/>
          <w:sz w:val="20"/>
        </w:rPr>
        <w:t>,</w:t>
      </w:r>
      <w:r>
        <w:rPr>
          <w:rFonts w:ascii="TimesNewRomanPSMT" w:hAnsi="TimesNewRomanPSMT" w:cs="TimesNewRomanPSMT"/>
          <w:sz w:val="20"/>
        </w:rPr>
        <w:t xml:space="preserve"> a DS, and a portal, are combined into a single device, referred to in this annex as an </w:t>
      </w:r>
      <w:r>
        <w:rPr>
          <w:rFonts w:ascii="TimesNewRomanPS-ItalicMT" w:hAnsi="TimesNewRomanPS-ItalicMT" w:cs="TimesNewRomanPS-ItalicMT"/>
          <w:i/>
          <w:iCs/>
          <w:sz w:val="20"/>
        </w:rPr>
        <w:t xml:space="preserve">access unit </w:t>
      </w:r>
      <w:r>
        <w:rPr>
          <w:rFonts w:ascii="TimesNewRomanPSMT" w:hAnsi="TimesNewRomanPSMT" w:cs="TimesNewRomanPSMT"/>
          <w:sz w:val="20"/>
        </w:rPr>
        <w:t>(AU).</w:t>
      </w:r>
    </w:p>
    <w:p w:rsidR="00CD5EC8" w:rsidRDefault="00CD5EC8" w:rsidP="00CD5EC8"/>
    <w:p w:rsidR="00CD5EC8" w:rsidRDefault="00CD5EC8" w:rsidP="00CD5EC8">
      <w:r>
        <w:t>At 3583.61:</w:t>
      </w:r>
    </w:p>
    <w:p w:rsidR="00CD5EC8" w:rsidRDefault="00CD5EC8" w:rsidP="00CD5EC8">
      <w:pPr>
        <w:autoSpaceDE w:val="0"/>
        <w:autoSpaceDN w:val="0"/>
        <w:adjustRightInd w:val="0"/>
        <w:spacing w:after="120"/>
        <w:ind w:left="720"/>
      </w:pPr>
      <w:r>
        <w:rPr>
          <w:rFonts w:ascii="TimesNewRomanPSMT" w:hAnsi="TimesNewRomanPSMT" w:cs="TimesNewRomanPSMT"/>
          <w:sz w:val="20"/>
        </w:rPr>
        <w:t xml:space="preserve">The primary functions of the WLAN system, </w:t>
      </w:r>
      <w:proofErr w:type="gramStart"/>
      <w:r>
        <w:rPr>
          <w:rFonts w:ascii="TimesNewRomanPSMT" w:hAnsi="TimesNewRomanPSMT" w:cs="TimesNewRomanPSMT"/>
          <w:sz w:val="20"/>
        </w:rPr>
        <w:t>…  are</w:t>
      </w:r>
      <w:proofErr w:type="gramEnd"/>
      <w:r>
        <w:rPr>
          <w:rFonts w:ascii="TimesNewRomanPSMT" w:hAnsi="TimesNewRomanPSMT" w:cs="TimesNewRomanPSMT"/>
          <w:sz w:val="20"/>
        </w:rPr>
        <w:t xml:space="preserve"> provided by the </w:t>
      </w:r>
      <w:r w:rsidRPr="00272E3B">
        <w:rPr>
          <w:rFonts w:ascii="TimesNewRomanPSMT" w:hAnsi="TimesNewRomanPSMT" w:cs="TimesNewRomanPSMT"/>
          <w:strike/>
          <w:sz w:val="20"/>
        </w:rPr>
        <w:t>ACM_STA,</w:t>
      </w:r>
      <w:r>
        <w:rPr>
          <w:rFonts w:ascii="TimesNewRomanPSMT" w:hAnsi="TimesNewRomanPSMT" w:cs="TimesNewRomanPSMT"/>
          <w:sz w:val="20"/>
        </w:rPr>
        <w:t xml:space="preserve"> AP, and DS entities</w:t>
      </w:r>
    </w:p>
    <w:p w:rsidR="00CD5EC8" w:rsidRDefault="00CD5EC8" w:rsidP="00CD5EC8"/>
    <w:p w:rsidR="00CD5EC8" w:rsidRDefault="00CD5EC8" w:rsidP="00CD5EC8">
      <w:r>
        <w:t>The rest of the uses of ACM_STA seem to be consistent with the current and normative structures/definitions.</w:t>
      </w:r>
    </w:p>
    <w:p w:rsidR="00CD5EC8" w:rsidRPr="00CD5EC8" w:rsidRDefault="00CD5EC8" w:rsidP="00CD5EC8"/>
    <w:p w:rsidR="00CD5EC8" w:rsidRPr="00CD5EC8" w:rsidRDefault="00CD5EC8" w:rsidP="00CD5EC8">
      <w:pPr>
        <w:rPr>
          <w:b/>
          <w:u w:val="single"/>
        </w:rPr>
      </w:pPr>
      <w:r w:rsidRPr="00CD5EC8">
        <w:rPr>
          <w:b/>
          <w:u w:val="single"/>
        </w:rPr>
        <w:t>Proposed Resolution:</w:t>
      </w:r>
    </w:p>
    <w:p w:rsidR="00CD5EC8" w:rsidRDefault="00CD5EC8" w:rsidP="00CD5EC8"/>
    <w:p w:rsidR="00CD5EC8" w:rsidRDefault="00CD5EC8" w:rsidP="00CD5EC8">
      <w:r>
        <w:t>REVISED.</w:t>
      </w:r>
    </w:p>
    <w:p w:rsidR="00CD5EC8" w:rsidRDefault="00CD5EC8" w:rsidP="00CD5EC8"/>
    <w:p w:rsidR="00CD5EC8" w:rsidRDefault="00CD5EC8" w:rsidP="00CD5EC8">
      <w:r>
        <w:t>Modify at 3582.36 as shown:</w:t>
      </w:r>
    </w:p>
    <w:p w:rsidR="00CD5EC8" w:rsidRDefault="00CD5EC8" w:rsidP="00CD5EC8">
      <w:pPr>
        <w:autoSpaceDE w:val="0"/>
        <w:autoSpaceDN w:val="0"/>
        <w:adjustRightInd w:val="0"/>
        <w:spacing w:after="120"/>
        <w:ind w:left="720"/>
      </w:pPr>
      <w:r>
        <w:rPr>
          <w:rFonts w:ascii="TimesNewRomanPSMT" w:hAnsi="TimesNewRomanPSMT" w:cs="TimesNewRomanPSMT"/>
          <w:sz w:val="20"/>
        </w:rPr>
        <w:t>Often the functions of an AP</w:t>
      </w:r>
      <w:r w:rsidRPr="00272E3B">
        <w:rPr>
          <w:rFonts w:ascii="TimesNewRomanPSMT" w:hAnsi="TimesNewRomanPSMT" w:cs="TimesNewRomanPSMT"/>
          <w:strike/>
          <w:sz w:val="20"/>
        </w:rPr>
        <w:t>,</w:t>
      </w:r>
      <w:r>
        <w:rPr>
          <w:rFonts w:ascii="TimesNewRomanPSMT" w:hAnsi="TimesNewRomanPSMT" w:cs="TimesNewRomanPSMT"/>
          <w:sz w:val="20"/>
        </w:rPr>
        <w:t xml:space="preserve"> </w:t>
      </w:r>
      <w:r>
        <w:rPr>
          <w:rFonts w:ascii="TimesNewRomanPSMT" w:hAnsi="TimesNewRomanPSMT" w:cs="TimesNewRomanPSMT"/>
          <w:sz w:val="20"/>
          <w:u w:val="single"/>
        </w:rPr>
        <w:t>(</w:t>
      </w:r>
      <w:r>
        <w:rPr>
          <w:rFonts w:ascii="TimesNewRomanPSMT" w:hAnsi="TimesNewRomanPSMT" w:cs="TimesNewRomanPSMT"/>
          <w:sz w:val="20"/>
        </w:rPr>
        <w:t>which includes an ACM_STA</w:t>
      </w:r>
      <w:r>
        <w:rPr>
          <w:rFonts w:ascii="TimesNewRomanPSMT" w:hAnsi="TimesNewRomanPSMT" w:cs="TimesNewRomanPSMT"/>
          <w:sz w:val="20"/>
          <w:u w:val="single"/>
        </w:rPr>
        <w:t>)</w:t>
      </w:r>
      <w:r w:rsidRPr="00272E3B">
        <w:rPr>
          <w:rFonts w:ascii="TimesNewRomanPSMT" w:hAnsi="TimesNewRomanPSMT" w:cs="TimesNewRomanPSMT"/>
          <w:strike/>
          <w:sz w:val="20"/>
        </w:rPr>
        <w:t>,</w:t>
      </w:r>
      <w:r>
        <w:rPr>
          <w:rFonts w:ascii="TimesNewRomanPSMT" w:hAnsi="TimesNewRomanPSMT" w:cs="TimesNewRomanPSMT"/>
          <w:sz w:val="20"/>
        </w:rPr>
        <w:t xml:space="preserve"> a DS, and a portal, are combined into a single device, referred to in this annex as an </w:t>
      </w:r>
      <w:r>
        <w:rPr>
          <w:rFonts w:ascii="TimesNewRomanPS-ItalicMT" w:hAnsi="TimesNewRomanPS-ItalicMT" w:cs="TimesNewRomanPS-ItalicMT"/>
          <w:i/>
          <w:iCs/>
          <w:sz w:val="20"/>
        </w:rPr>
        <w:t xml:space="preserve">access unit </w:t>
      </w:r>
      <w:r>
        <w:rPr>
          <w:rFonts w:ascii="TimesNewRomanPSMT" w:hAnsi="TimesNewRomanPSMT" w:cs="TimesNewRomanPSMT"/>
          <w:sz w:val="20"/>
        </w:rPr>
        <w:t>(AU).</w:t>
      </w:r>
    </w:p>
    <w:p w:rsidR="00CD5EC8" w:rsidRDefault="00CD5EC8" w:rsidP="00CD5EC8">
      <w:r>
        <w:t>Modify at 3583.61 as shown:</w:t>
      </w:r>
    </w:p>
    <w:p w:rsidR="00CD5EC8" w:rsidRDefault="00CD5EC8" w:rsidP="00CD5EC8">
      <w:pPr>
        <w:autoSpaceDE w:val="0"/>
        <w:autoSpaceDN w:val="0"/>
        <w:adjustRightInd w:val="0"/>
        <w:spacing w:after="120"/>
        <w:ind w:left="720"/>
      </w:pPr>
      <w:r>
        <w:rPr>
          <w:rFonts w:ascii="TimesNewRomanPSMT" w:hAnsi="TimesNewRomanPSMT" w:cs="TimesNewRomanPSMT"/>
          <w:sz w:val="20"/>
        </w:rPr>
        <w:t xml:space="preserve">The primary functions of the WLAN system, </w:t>
      </w:r>
      <w:proofErr w:type="gramStart"/>
      <w:r>
        <w:rPr>
          <w:rFonts w:ascii="TimesNewRomanPSMT" w:hAnsi="TimesNewRomanPSMT" w:cs="TimesNewRomanPSMT"/>
          <w:sz w:val="20"/>
        </w:rPr>
        <w:t>…  are</w:t>
      </w:r>
      <w:proofErr w:type="gramEnd"/>
      <w:r>
        <w:rPr>
          <w:rFonts w:ascii="TimesNewRomanPSMT" w:hAnsi="TimesNewRomanPSMT" w:cs="TimesNewRomanPSMT"/>
          <w:sz w:val="20"/>
        </w:rPr>
        <w:t xml:space="preserve"> provided by the </w:t>
      </w:r>
      <w:r w:rsidRPr="00272E3B">
        <w:rPr>
          <w:rFonts w:ascii="TimesNewRomanPSMT" w:hAnsi="TimesNewRomanPSMT" w:cs="TimesNewRomanPSMT"/>
          <w:strike/>
          <w:sz w:val="20"/>
        </w:rPr>
        <w:t>ACM_STA,</w:t>
      </w:r>
      <w:r>
        <w:rPr>
          <w:rFonts w:ascii="TimesNewRomanPSMT" w:hAnsi="TimesNewRomanPSMT" w:cs="TimesNewRomanPSMT"/>
          <w:sz w:val="20"/>
        </w:rPr>
        <w:t xml:space="preserve"> AP, and DS entities</w:t>
      </w:r>
    </w:p>
    <w:p w:rsidR="00CD5EC8" w:rsidRDefault="00CD5EC8" w:rsidP="00CD5EC8"/>
    <w:p w:rsidR="00CD5EC8" w:rsidRDefault="00CD5EC8">
      <w:r>
        <w:br w:type="page"/>
      </w:r>
    </w:p>
    <w:p w:rsidR="00C77F55" w:rsidRDefault="00C77F55"/>
    <w:p w:rsidR="00CD5EC8" w:rsidRDefault="00CD5EC8">
      <w:r>
        <w:t>No proposed resolution, yet:</w:t>
      </w:r>
    </w:p>
    <w:p w:rsidR="00CD5EC8" w:rsidRDefault="00CD5EC8" w:rsidP="00CD5EC8"/>
    <w:tbl>
      <w:tblPr>
        <w:tblStyle w:val="TableGrid"/>
        <w:tblW w:w="9715" w:type="dxa"/>
        <w:tblLayout w:type="fixed"/>
        <w:tblLook w:val="04A0" w:firstRow="1" w:lastRow="0" w:firstColumn="1" w:lastColumn="0" w:noHBand="0" w:noVBand="1"/>
      </w:tblPr>
      <w:tblGrid>
        <w:gridCol w:w="715"/>
        <w:gridCol w:w="895"/>
        <w:gridCol w:w="905"/>
        <w:gridCol w:w="810"/>
        <w:gridCol w:w="3150"/>
        <w:gridCol w:w="3240"/>
      </w:tblGrid>
      <w:tr w:rsidR="00CD5EC8" w:rsidRPr="00017A95" w:rsidTr="00CD5EC8">
        <w:trPr>
          <w:trHeight w:val="765"/>
        </w:trPr>
        <w:tc>
          <w:tcPr>
            <w:tcW w:w="715" w:type="dxa"/>
            <w:hideMark/>
          </w:tcPr>
          <w:p w:rsidR="00CD5EC8" w:rsidRPr="00017A95" w:rsidRDefault="00CD5EC8" w:rsidP="005321F2">
            <w:pPr>
              <w:rPr>
                <w:b/>
                <w:bCs/>
              </w:rPr>
            </w:pPr>
            <w:r w:rsidRPr="00017A95">
              <w:rPr>
                <w:b/>
                <w:bCs/>
              </w:rPr>
              <w:t>CID</w:t>
            </w:r>
          </w:p>
        </w:tc>
        <w:tc>
          <w:tcPr>
            <w:tcW w:w="895" w:type="dxa"/>
            <w:hideMark/>
          </w:tcPr>
          <w:p w:rsidR="00CD5EC8" w:rsidRPr="00017A95" w:rsidRDefault="00CD5EC8" w:rsidP="005321F2">
            <w:pPr>
              <w:rPr>
                <w:b/>
                <w:bCs/>
              </w:rPr>
            </w:pPr>
            <w:r w:rsidRPr="00017A95">
              <w:rPr>
                <w:b/>
                <w:bCs/>
              </w:rPr>
              <w:t>Commenter</w:t>
            </w:r>
          </w:p>
        </w:tc>
        <w:tc>
          <w:tcPr>
            <w:tcW w:w="905" w:type="dxa"/>
            <w:hideMark/>
          </w:tcPr>
          <w:p w:rsidR="00CD5EC8" w:rsidRPr="00017A95" w:rsidRDefault="00CD5EC8" w:rsidP="005321F2">
            <w:pPr>
              <w:rPr>
                <w:b/>
                <w:bCs/>
              </w:rPr>
            </w:pPr>
            <w:r w:rsidRPr="00017A95">
              <w:rPr>
                <w:b/>
                <w:bCs/>
              </w:rPr>
              <w:t>Page</w:t>
            </w:r>
          </w:p>
        </w:tc>
        <w:tc>
          <w:tcPr>
            <w:tcW w:w="810" w:type="dxa"/>
            <w:hideMark/>
          </w:tcPr>
          <w:p w:rsidR="00CD5EC8" w:rsidRPr="00017A95" w:rsidRDefault="00CD5EC8" w:rsidP="005321F2">
            <w:pPr>
              <w:rPr>
                <w:b/>
                <w:bCs/>
              </w:rPr>
            </w:pPr>
            <w:r w:rsidRPr="00017A95">
              <w:rPr>
                <w:b/>
                <w:bCs/>
              </w:rPr>
              <w:t>Clause</w:t>
            </w:r>
          </w:p>
        </w:tc>
        <w:tc>
          <w:tcPr>
            <w:tcW w:w="3150" w:type="dxa"/>
            <w:hideMark/>
          </w:tcPr>
          <w:p w:rsidR="00CD5EC8" w:rsidRPr="00017A95" w:rsidRDefault="00CD5EC8" w:rsidP="005321F2">
            <w:pPr>
              <w:rPr>
                <w:b/>
                <w:bCs/>
              </w:rPr>
            </w:pPr>
            <w:r w:rsidRPr="00017A95">
              <w:rPr>
                <w:b/>
                <w:bCs/>
              </w:rPr>
              <w:t>Comment</w:t>
            </w:r>
          </w:p>
        </w:tc>
        <w:tc>
          <w:tcPr>
            <w:tcW w:w="3240" w:type="dxa"/>
            <w:hideMark/>
          </w:tcPr>
          <w:p w:rsidR="00CD5EC8" w:rsidRPr="00017A95" w:rsidRDefault="00CD5EC8" w:rsidP="005321F2">
            <w:pPr>
              <w:rPr>
                <w:b/>
                <w:bCs/>
              </w:rPr>
            </w:pPr>
            <w:r w:rsidRPr="00017A95">
              <w:rPr>
                <w:b/>
                <w:bCs/>
              </w:rPr>
              <w:t>Proposed Change</w:t>
            </w:r>
          </w:p>
        </w:tc>
      </w:tr>
      <w:tr w:rsidR="00CD5EC8" w:rsidRPr="00017A95" w:rsidTr="00CD5EC8">
        <w:trPr>
          <w:trHeight w:val="1020"/>
        </w:trPr>
        <w:tc>
          <w:tcPr>
            <w:tcW w:w="715" w:type="dxa"/>
            <w:hideMark/>
          </w:tcPr>
          <w:p w:rsidR="00CD5EC8" w:rsidRPr="00017A95" w:rsidRDefault="00CD5EC8" w:rsidP="005321F2">
            <w:r w:rsidRPr="00017A95">
              <w:t>7826</w:t>
            </w:r>
          </w:p>
        </w:tc>
        <w:tc>
          <w:tcPr>
            <w:tcW w:w="895" w:type="dxa"/>
            <w:hideMark/>
          </w:tcPr>
          <w:p w:rsidR="00CD5EC8" w:rsidRPr="00017A95" w:rsidRDefault="00CD5EC8" w:rsidP="005321F2">
            <w:r w:rsidRPr="00017A95">
              <w:t>Hamilton, Mark</w:t>
            </w:r>
          </w:p>
        </w:tc>
        <w:tc>
          <w:tcPr>
            <w:tcW w:w="905" w:type="dxa"/>
            <w:hideMark/>
          </w:tcPr>
          <w:p w:rsidR="00CD5EC8" w:rsidRPr="00017A95" w:rsidRDefault="00CD5EC8" w:rsidP="005321F2">
            <w:r w:rsidRPr="00017A95">
              <w:t>653.35</w:t>
            </w:r>
          </w:p>
        </w:tc>
        <w:tc>
          <w:tcPr>
            <w:tcW w:w="810" w:type="dxa"/>
            <w:hideMark/>
          </w:tcPr>
          <w:p w:rsidR="00CD5EC8" w:rsidRPr="00017A95" w:rsidRDefault="00CD5EC8" w:rsidP="005321F2">
            <w:r w:rsidRPr="00017A95">
              <w:t>9.3.5</w:t>
            </w:r>
          </w:p>
        </w:tc>
        <w:tc>
          <w:tcPr>
            <w:tcW w:w="3150" w:type="dxa"/>
            <w:hideMark/>
          </w:tcPr>
          <w:p w:rsidR="00CD5EC8" w:rsidRPr="00017A95" w:rsidRDefault="00CD5EC8" w:rsidP="005321F2">
            <w:r w:rsidRPr="00017A95">
              <w:t xml:space="preserve">Figure 9-63 is missing some </w:t>
            </w:r>
            <w:proofErr w:type="spellStart"/>
            <w:r w:rsidRPr="00017A95">
              <w:t>DSes</w:t>
            </w:r>
            <w:proofErr w:type="spellEnd"/>
          </w:p>
        </w:tc>
        <w:tc>
          <w:tcPr>
            <w:tcW w:w="3240" w:type="dxa"/>
            <w:hideMark/>
          </w:tcPr>
          <w:p w:rsidR="00CD5EC8" w:rsidRPr="00017A95" w:rsidRDefault="00CD5EC8" w:rsidP="005321F2">
            <w:r w:rsidRPr="00017A95">
              <w:t>Insert a box labelled "DS" between the Gate and Portal, and another similar one between the Gate and AP.</w:t>
            </w:r>
          </w:p>
        </w:tc>
      </w:tr>
      <w:tr w:rsidR="00CD5EC8" w:rsidRPr="00017A95" w:rsidTr="00CD5EC8">
        <w:trPr>
          <w:trHeight w:val="2040"/>
        </w:trPr>
        <w:tc>
          <w:tcPr>
            <w:tcW w:w="715" w:type="dxa"/>
            <w:hideMark/>
          </w:tcPr>
          <w:p w:rsidR="00CD5EC8" w:rsidRPr="00017A95" w:rsidRDefault="00CD5EC8" w:rsidP="005321F2">
            <w:r w:rsidRPr="00017A95">
              <w:t>7817</w:t>
            </w:r>
          </w:p>
        </w:tc>
        <w:tc>
          <w:tcPr>
            <w:tcW w:w="895" w:type="dxa"/>
            <w:hideMark/>
          </w:tcPr>
          <w:p w:rsidR="00CD5EC8" w:rsidRPr="00017A95" w:rsidRDefault="00CD5EC8" w:rsidP="005321F2">
            <w:r w:rsidRPr="00017A95">
              <w:t>Hamilton, Mark</w:t>
            </w:r>
          </w:p>
        </w:tc>
        <w:tc>
          <w:tcPr>
            <w:tcW w:w="905" w:type="dxa"/>
            <w:hideMark/>
          </w:tcPr>
          <w:p w:rsidR="00CD5EC8" w:rsidRPr="00017A95" w:rsidRDefault="00CD5EC8" w:rsidP="005321F2">
            <w:r w:rsidRPr="00017A95">
              <w:t>133.54</w:t>
            </w:r>
          </w:p>
        </w:tc>
        <w:tc>
          <w:tcPr>
            <w:tcW w:w="810" w:type="dxa"/>
            <w:hideMark/>
          </w:tcPr>
          <w:p w:rsidR="00CD5EC8" w:rsidRPr="00017A95" w:rsidRDefault="00CD5EC8" w:rsidP="005321F2">
            <w:r w:rsidRPr="00017A95">
              <w:t>5.1.5.1</w:t>
            </w:r>
          </w:p>
        </w:tc>
        <w:tc>
          <w:tcPr>
            <w:tcW w:w="3150" w:type="dxa"/>
            <w:hideMark/>
          </w:tcPr>
          <w:p w:rsidR="00CD5EC8" w:rsidRPr="00017A95" w:rsidRDefault="00CD5EC8" w:rsidP="005321F2">
            <w:r w:rsidRPr="00017A95">
              <w:t xml:space="preserve">In Figure 5-1, put BA </w:t>
            </w:r>
            <w:proofErr w:type="spellStart"/>
            <w:r w:rsidRPr="00017A95">
              <w:t>sscoreboarding</w:t>
            </w:r>
            <w:proofErr w:type="spellEnd"/>
            <w:r w:rsidRPr="00017A95">
              <w:t xml:space="preserve"> between Address 1 address filtering and Duplicate Detection.</w:t>
            </w:r>
          </w:p>
        </w:tc>
        <w:tc>
          <w:tcPr>
            <w:tcW w:w="3240" w:type="dxa"/>
            <w:hideMark/>
          </w:tcPr>
          <w:p w:rsidR="00CD5EC8" w:rsidRPr="00017A95" w:rsidRDefault="00CD5EC8" w:rsidP="005321F2">
            <w:r w:rsidRPr="00017A95">
              <w:t xml:space="preserve">In Figure 5-1, add a block to the Receiving flow side for "Block </w:t>
            </w:r>
            <w:proofErr w:type="spellStart"/>
            <w:r w:rsidRPr="00017A95">
              <w:t>Ack</w:t>
            </w:r>
            <w:proofErr w:type="spellEnd"/>
            <w:r w:rsidRPr="00017A95">
              <w:t xml:space="preserve"> </w:t>
            </w:r>
            <w:proofErr w:type="spellStart"/>
            <w:r w:rsidRPr="00017A95">
              <w:t>scoreboarding</w:t>
            </w:r>
            <w:proofErr w:type="spellEnd"/>
            <w:r w:rsidRPr="00017A95">
              <w:t>", between "Address 1 address filtering" and "Duplicate Detection".   Use "(null)" for the transmitting flow side.  Same thing in Figure 5-2.</w:t>
            </w:r>
          </w:p>
        </w:tc>
      </w:tr>
      <w:tr w:rsidR="00CD5EC8" w:rsidRPr="00017A95" w:rsidTr="00CD5EC8">
        <w:trPr>
          <w:trHeight w:val="1020"/>
        </w:trPr>
        <w:tc>
          <w:tcPr>
            <w:tcW w:w="715" w:type="dxa"/>
            <w:hideMark/>
          </w:tcPr>
          <w:p w:rsidR="00CD5EC8" w:rsidRPr="00017A95" w:rsidRDefault="00CD5EC8" w:rsidP="005321F2">
            <w:r w:rsidRPr="00017A95">
              <w:t>7808</w:t>
            </w:r>
          </w:p>
        </w:tc>
        <w:tc>
          <w:tcPr>
            <w:tcW w:w="895" w:type="dxa"/>
            <w:hideMark/>
          </w:tcPr>
          <w:p w:rsidR="00CD5EC8" w:rsidRPr="00017A95" w:rsidRDefault="00CD5EC8" w:rsidP="005321F2">
            <w:r w:rsidRPr="00017A95">
              <w:t>Hamilton, Mark</w:t>
            </w:r>
          </w:p>
        </w:tc>
        <w:tc>
          <w:tcPr>
            <w:tcW w:w="905" w:type="dxa"/>
            <w:hideMark/>
          </w:tcPr>
          <w:p w:rsidR="00CD5EC8" w:rsidRPr="00017A95" w:rsidRDefault="00CD5EC8" w:rsidP="005321F2">
            <w:r w:rsidRPr="00017A95">
              <w:t>96.01</w:t>
            </w:r>
          </w:p>
        </w:tc>
        <w:tc>
          <w:tcPr>
            <w:tcW w:w="810" w:type="dxa"/>
            <w:hideMark/>
          </w:tcPr>
          <w:p w:rsidR="00CD5EC8" w:rsidRPr="00017A95" w:rsidRDefault="00CD5EC8" w:rsidP="005321F2">
            <w:r w:rsidRPr="00017A95">
              <w:t>4.4</w:t>
            </w:r>
          </w:p>
        </w:tc>
        <w:tc>
          <w:tcPr>
            <w:tcW w:w="3150" w:type="dxa"/>
            <w:hideMark/>
          </w:tcPr>
          <w:p w:rsidR="00CD5EC8" w:rsidRPr="00017A95" w:rsidRDefault="00CD5EC8" w:rsidP="005321F2">
            <w:r w:rsidRPr="00017A95">
              <w:t>Review 4.4 through 4.9.  How are these descriptions different/aligned with clauses 5, 6, 7 and 8?</w:t>
            </w:r>
          </w:p>
        </w:tc>
        <w:tc>
          <w:tcPr>
            <w:tcW w:w="3240" w:type="dxa"/>
            <w:hideMark/>
          </w:tcPr>
          <w:p w:rsidR="00CD5EC8" w:rsidRPr="00017A95" w:rsidRDefault="00CD5EC8" w:rsidP="005321F2">
            <w:r w:rsidRPr="00017A95">
              <w:t>Perform technical and editorial review and remove duplication and bring like concepts together.</w:t>
            </w:r>
          </w:p>
        </w:tc>
      </w:tr>
      <w:tr w:rsidR="00CD5EC8" w:rsidRPr="00017A95" w:rsidTr="00CD5EC8">
        <w:trPr>
          <w:trHeight w:val="2295"/>
        </w:trPr>
        <w:tc>
          <w:tcPr>
            <w:tcW w:w="715" w:type="dxa"/>
            <w:hideMark/>
          </w:tcPr>
          <w:p w:rsidR="00CD5EC8" w:rsidRPr="00017A95" w:rsidRDefault="00CD5EC8" w:rsidP="005321F2">
            <w:r w:rsidRPr="00017A95">
              <w:t>7146</w:t>
            </w:r>
          </w:p>
        </w:tc>
        <w:tc>
          <w:tcPr>
            <w:tcW w:w="895" w:type="dxa"/>
            <w:hideMark/>
          </w:tcPr>
          <w:p w:rsidR="00CD5EC8" w:rsidRPr="00017A95" w:rsidRDefault="00CD5EC8" w:rsidP="005321F2">
            <w:r w:rsidRPr="00017A95">
              <w:t>Stephens, Adrian</w:t>
            </w:r>
          </w:p>
        </w:tc>
        <w:tc>
          <w:tcPr>
            <w:tcW w:w="905" w:type="dxa"/>
            <w:hideMark/>
          </w:tcPr>
          <w:p w:rsidR="00CD5EC8" w:rsidRPr="00017A95" w:rsidRDefault="00CD5EC8" w:rsidP="005321F2">
            <w:r w:rsidRPr="00017A95">
              <w:t>134.10</w:t>
            </w:r>
          </w:p>
        </w:tc>
        <w:tc>
          <w:tcPr>
            <w:tcW w:w="810" w:type="dxa"/>
            <w:hideMark/>
          </w:tcPr>
          <w:p w:rsidR="00CD5EC8" w:rsidRPr="00017A95" w:rsidRDefault="00CD5EC8" w:rsidP="005321F2">
            <w:r w:rsidRPr="00017A95">
              <w:t>5.1.5.1</w:t>
            </w:r>
          </w:p>
        </w:tc>
        <w:tc>
          <w:tcPr>
            <w:tcW w:w="3150" w:type="dxa"/>
            <w:hideMark/>
          </w:tcPr>
          <w:p w:rsidR="00CD5EC8" w:rsidRPr="00017A95" w:rsidRDefault="00CD5EC8" w:rsidP="005321F2">
            <w:r w:rsidRPr="00017A95">
              <w:t>A role-specific behaviour is not shown for a DMG relay.</w:t>
            </w:r>
            <w:r w:rsidRPr="00017A95">
              <w:br/>
              <w:t>If security on a DMG relay is established for each leg of the relay</w:t>
            </w:r>
            <w:proofErr w:type="gramStart"/>
            <w:r w:rsidRPr="00017A95">
              <w:t>,  then</w:t>
            </w:r>
            <w:proofErr w:type="gramEnd"/>
            <w:r w:rsidRPr="00017A95">
              <w:t xml:space="preserve"> the data-flow must pass through the controlled port,  and therefore be shown in the role-specific behaviour.</w:t>
            </w:r>
          </w:p>
        </w:tc>
        <w:tc>
          <w:tcPr>
            <w:tcW w:w="3240" w:type="dxa"/>
            <w:hideMark/>
          </w:tcPr>
          <w:p w:rsidR="00CD5EC8" w:rsidRPr="00017A95" w:rsidRDefault="00CD5EC8" w:rsidP="005321F2">
            <w:r w:rsidRPr="00017A95">
              <w:t>Determine whether to show a role-specific behaviour for a DMG relay,  which would be similar to a mesh STA.</w:t>
            </w:r>
          </w:p>
        </w:tc>
      </w:tr>
      <w:tr w:rsidR="00CD5EC8" w:rsidRPr="00017A95" w:rsidTr="00CD5EC8">
        <w:trPr>
          <w:trHeight w:val="2550"/>
        </w:trPr>
        <w:tc>
          <w:tcPr>
            <w:tcW w:w="715" w:type="dxa"/>
            <w:hideMark/>
          </w:tcPr>
          <w:p w:rsidR="00CD5EC8" w:rsidRPr="00017A95" w:rsidRDefault="00CD5EC8" w:rsidP="005321F2">
            <w:r w:rsidRPr="00017A95">
              <w:t>7150</w:t>
            </w:r>
          </w:p>
        </w:tc>
        <w:tc>
          <w:tcPr>
            <w:tcW w:w="895" w:type="dxa"/>
            <w:hideMark/>
          </w:tcPr>
          <w:p w:rsidR="00CD5EC8" w:rsidRPr="00017A95" w:rsidRDefault="00CD5EC8" w:rsidP="005321F2">
            <w:r w:rsidRPr="00017A95">
              <w:t>Stephens, Adrian</w:t>
            </w:r>
          </w:p>
        </w:tc>
        <w:tc>
          <w:tcPr>
            <w:tcW w:w="905" w:type="dxa"/>
            <w:hideMark/>
          </w:tcPr>
          <w:p w:rsidR="00CD5EC8" w:rsidRPr="00017A95" w:rsidRDefault="00CD5EC8" w:rsidP="005321F2">
            <w:r w:rsidRPr="00017A95">
              <w:t>3581.01</w:t>
            </w:r>
          </w:p>
        </w:tc>
        <w:tc>
          <w:tcPr>
            <w:tcW w:w="810" w:type="dxa"/>
            <w:hideMark/>
          </w:tcPr>
          <w:p w:rsidR="00CD5EC8" w:rsidRPr="00017A95" w:rsidRDefault="00CD5EC8" w:rsidP="005321F2">
            <w:r w:rsidRPr="00017A95">
              <w:t>Annex N</w:t>
            </w:r>
          </w:p>
        </w:tc>
        <w:tc>
          <w:tcPr>
            <w:tcW w:w="3150" w:type="dxa"/>
            <w:hideMark/>
          </w:tcPr>
          <w:p w:rsidR="00CD5EC8" w:rsidRPr="00017A95" w:rsidRDefault="00CD5EC8" w:rsidP="005321F2">
            <w:r w:rsidRPr="00017A95">
              <w:t>Annex N contains terminology that is unique to itself</w:t>
            </w:r>
            <w:proofErr w:type="gramStart"/>
            <w:r w:rsidRPr="00017A95">
              <w:t>,  such</w:t>
            </w:r>
            <w:proofErr w:type="gramEnd"/>
            <w:r w:rsidRPr="00017A95">
              <w:t xml:space="preserve"> as WLAN system and ACM_STA.   The understanding of what a DS is has developed and change in the ARC standing committee</w:t>
            </w:r>
            <w:proofErr w:type="gramStart"/>
            <w:r w:rsidRPr="00017A95">
              <w:t>,  resulting</w:t>
            </w:r>
            <w:proofErr w:type="gramEnd"/>
            <w:r w:rsidRPr="00017A95">
              <w:t xml:space="preserve"> in changes to Clause 5.  Annex N has been ignored.</w:t>
            </w:r>
          </w:p>
        </w:tc>
        <w:tc>
          <w:tcPr>
            <w:tcW w:w="3240" w:type="dxa"/>
            <w:hideMark/>
          </w:tcPr>
          <w:p w:rsidR="00CD5EC8" w:rsidRPr="00017A95" w:rsidRDefault="00CD5EC8" w:rsidP="005321F2">
            <w:r w:rsidRPr="00017A95">
              <w:t>Review Annex N and change terminology and architecture to conform to the normative portions of the draft.</w:t>
            </w:r>
          </w:p>
        </w:tc>
      </w:tr>
    </w:tbl>
    <w:p w:rsidR="00CD5EC8" w:rsidRDefault="00CD5EC8" w:rsidP="00CD5EC8"/>
    <w:p w:rsidR="0010279C" w:rsidRDefault="0010279C" w:rsidP="00D6371D">
      <w:pPr>
        <w:rPr>
          <w:lang w:val="en-US"/>
        </w:rPr>
      </w:pPr>
      <w:bookmarkStart w:id="0" w:name="_GoBack"/>
      <w:bookmarkEnd w:id="0"/>
    </w:p>
    <w:sectPr w:rsidR="0010279C" w:rsidSect="00BB2E22">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F12" w:rsidRDefault="004E5F12">
      <w:r>
        <w:separator/>
      </w:r>
    </w:p>
  </w:endnote>
  <w:endnote w:type="continuationSeparator" w:id="0">
    <w:p w:rsidR="004E5F12" w:rsidRDefault="004E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1" w:rsidRDefault="004E5F12">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sidR="00CD5EC8">
      <w:rPr>
        <w:noProof/>
      </w:rPr>
      <w:t>2</w:t>
    </w:r>
    <w:r w:rsidR="00C21571">
      <w:fldChar w:fldCharType="end"/>
    </w:r>
    <w:r w:rsidR="00C21571">
      <w:tab/>
      <w:t xml:space="preserve">Mark Hamilton, </w:t>
    </w:r>
    <w:r w:rsidR="00C70BB3">
      <w:t>Ruckus Wireless</w:t>
    </w:r>
    <w:r w:rsidR="00C21571">
      <w:t xml:space="preserve"> </w:t>
    </w:r>
  </w:p>
  <w:p w:rsidR="00C21571" w:rsidRDefault="00C21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F12" w:rsidRDefault="004E5F12">
      <w:r>
        <w:separator/>
      </w:r>
    </w:p>
  </w:footnote>
  <w:footnote w:type="continuationSeparator" w:id="0">
    <w:p w:rsidR="004E5F12" w:rsidRDefault="004E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71" w:rsidRDefault="00CD5EC8">
    <w:pPr>
      <w:pStyle w:val="Header"/>
      <w:tabs>
        <w:tab w:val="clear" w:pos="6480"/>
        <w:tab w:val="center" w:pos="4680"/>
        <w:tab w:val="right" w:pos="9360"/>
      </w:tabs>
    </w:pPr>
    <w:r>
      <w:t>February 2016</w:t>
    </w:r>
    <w:r w:rsidR="00C21571">
      <w:tab/>
    </w:r>
    <w:r w:rsidR="00C21571">
      <w:tab/>
    </w:r>
    <w:r w:rsidR="004E5F12">
      <w:fldChar w:fldCharType="begin"/>
    </w:r>
    <w:r w:rsidR="004E5F12">
      <w:instrText xml:space="preserve"> TITLE  \* MERGEFORMAT </w:instrText>
    </w:r>
    <w:r w:rsidR="004E5F12">
      <w:fldChar w:fldCharType="separate"/>
    </w:r>
    <w:r w:rsidR="00C21571">
      <w:t xml:space="preserve">doc.: </w:t>
    </w:r>
    <w:r>
      <w:t>IEEE 802.11-16</w:t>
    </w:r>
    <w:r w:rsidR="00C21571">
      <w:t>/</w:t>
    </w:r>
    <w:r>
      <w:t>0290</w:t>
    </w:r>
    <w:r w:rsidR="00C21571">
      <w:t>r</w:t>
    </w:r>
    <w:r w:rsidR="004E5F12">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33A19"/>
    <w:multiLevelType w:val="hybridMultilevel"/>
    <w:tmpl w:val="B386B83A"/>
    <w:lvl w:ilvl="0" w:tplc="B1D0F42A">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9BA1A06"/>
    <w:multiLevelType w:val="hybridMultilevel"/>
    <w:tmpl w:val="E96C8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5"/>
  </w:num>
  <w:num w:numId="5">
    <w:abstractNumId w:val="7"/>
  </w:num>
  <w:num w:numId="6">
    <w:abstractNumId w:val="16"/>
  </w:num>
  <w:num w:numId="7">
    <w:abstractNumId w:val="11"/>
  </w:num>
  <w:num w:numId="8">
    <w:abstractNumId w:val="10"/>
  </w:num>
  <w:num w:numId="9">
    <w:abstractNumId w:val="3"/>
  </w:num>
  <w:num w:numId="10">
    <w:abstractNumId w:val="9"/>
  </w:num>
  <w:num w:numId="11">
    <w:abstractNumId w:val="8"/>
  </w:num>
  <w:num w:numId="12">
    <w:abstractNumId w:val="13"/>
  </w:num>
  <w:num w:numId="13">
    <w:abstractNumId w:val="11"/>
  </w:num>
  <w:num w:numId="14">
    <w:abstractNumId w:val="14"/>
  </w:num>
  <w:num w:numId="15">
    <w:abstractNumId w:val="4"/>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6"/>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56D1"/>
    <w:rsid w:val="000265A2"/>
    <w:rsid w:val="00027ABF"/>
    <w:rsid w:val="00040157"/>
    <w:rsid w:val="00050C43"/>
    <w:rsid w:val="0005109A"/>
    <w:rsid w:val="00055A5B"/>
    <w:rsid w:val="00072783"/>
    <w:rsid w:val="00072AEB"/>
    <w:rsid w:val="00075140"/>
    <w:rsid w:val="00076DC6"/>
    <w:rsid w:val="000817C1"/>
    <w:rsid w:val="0009537C"/>
    <w:rsid w:val="000A2050"/>
    <w:rsid w:val="000A30E4"/>
    <w:rsid w:val="000A31AD"/>
    <w:rsid w:val="000A6D66"/>
    <w:rsid w:val="000B1C02"/>
    <w:rsid w:val="000C0FD2"/>
    <w:rsid w:val="000C3329"/>
    <w:rsid w:val="000D1A14"/>
    <w:rsid w:val="000F3DCA"/>
    <w:rsid w:val="00100EB6"/>
    <w:rsid w:val="0010279C"/>
    <w:rsid w:val="00103A21"/>
    <w:rsid w:val="0010464D"/>
    <w:rsid w:val="0010612F"/>
    <w:rsid w:val="00106FF1"/>
    <w:rsid w:val="00111EA1"/>
    <w:rsid w:val="00114AAC"/>
    <w:rsid w:val="0011579E"/>
    <w:rsid w:val="00116E2C"/>
    <w:rsid w:val="00122AF6"/>
    <w:rsid w:val="0012618F"/>
    <w:rsid w:val="00130D15"/>
    <w:rsid w:val="00134827"/>
    <w:rsid w:val="0014214A"/>
    <w:rsid w:val="0014292F"/>
    <w:rsid w:val="001601ED"/>
    <w:rsid w:val="001673AF"/>
    <w:rsid w:val="00167F24"/>
    <w:rsid w:val="00170DD4"/>
    <w:rsid w:val="001732ED"/>
    <w:rsid w:val="00173FB9"/>
    <w:rsid w:val="00175FC8"/>
    <w:rsid w:val="00192F8C"/>
    <w:rsid w:val="00194EEA"/>
    <w:rsid w:val="001C024B"/>
    <w:rsid w:val="001C354A"/>
    <w:rsid w:val="001C7E2A"/>
    <w:rsid w:val="001D2606"/>
    <w:rsid w:val="001D563D"/>
    <w:rsid w:val="001D61B9"/>
    <w:rsid w:val="001D7A9E"/>
    <w:rsid w:val="001E2A9F"/>
    <w:rsid w:val="001E5B12"/>
    <w:rsid w:val="001E73D2"/>
    <w:rsid w:val="00202CDF"/>
    <w:rsid w:val="00211350"/>
    <w:rsid w:val="00212FDF"/>
    <w:rsid w:val="002139CB"/>
    <w:rsid w:val="00222720"/>
    <w:rsid w:val="0022631A"/>
    <w:rsid w:val="0023154F"/>
    <w:rsid w:val="00232923"/>
    <w:rsid w:val="00234CDC"/>
    <w:rsid w:val="00236DE5"/>
    <w:rsid w:val="00236FCF"/>
    <w:rsid w:val="00237899"/>
    <w:rsid w:val="0024107D"/>
    <w:rsid w:val="002421CD"/>
    <w:rsid w:val="002627EC"/>
    <w:rsid w:val="0026508F"/>
    <w:rsid w:val="0027369E"/>
    <w:rsid w:val="002743A1"/>
    <w:rsid w:val="0027450E"/>
    <w:rsid w:val="00276C43"/>
    <w:rsid w:val="00277612"/>
    <w:rsid w:val="00281905"/>
    <w:rsid w:val="00287A1A"/>
    <w:rsid w:val="00292356"/>
    <w:rsid w:val="00292F18"/>
    <w:rsid w:val="00294A13"/>
    <w:rsid w:val="00296D0A"/>
    <w:rsid w:val="002A117B"/>
    <w:rsid w:val="002A5517"/>
    <w:rsid w:val="002D5D1C"/>
    <w:rsid w:val="002D66FD"/>
    <w:rsid w:val="002E1EB3"/>
    <w:rsid w:val="002E43C6"/>
    <w:rsid w:val="002E7516"/>
    <w:rsid w:val="002F27A9"/>
    <w:rsid w:val="002F284C"/>
    <w:rsid w:val="002F5F7E"/>
    <w:rsid w:val="003003ED"/>
    <w:rsid w:val="0031301F"/>
    <w:rsid w:val="003157A4"/>
    <w:rsid w:val="0032268A"/>
    <w:rsid w:val="0032525E"/>
    <w:rsid w:val="003257AB"/>
    <w:rsid w:val="00327DCE"/>
    <w:rsid w:val="0034181E"/>
    <w:rsid w:val="00341D2F"/>
    <w:rsid w:val="00342410"/>
    <w:rsid w:val="00342AE5"/>
    <w:rsid w:val="00342CCE"/>
    <w:rsid w:val="003449CA"/>
    <w:rsid w:val="003456F2"/>
    <w:rsid w:val="00346D30"/>
    <w:rsid w:val="003542BD"/>
    <w:rsid w:val="0035666F"/>
    <w:rsid w:val="003578AC"/>
    <w:rsid w:val="003579F6"/>
    <w:rsid w:val="00361508"/>
    <w:rsid w:val="0036200E"/>
    <w:rsid w:val="0036658A"/>
    <w:rsid w:val="00373DE9"/>
    <w:rsid w:val="003763FC"/>
    <w:rsid w:val="00384AF7"/>
    <w:rsid w:val="00385ADD"/>
    <w:rsid w:val="003A0938"/>
    <w:rsid w:val="003A0B9A"/>
    <w:rsid w:val="003A7EDF"/>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5F14"/>
    <w:rsid w:val="00442037"/>
    <w:rsid w:val="00447984"/>
    <w:rsid w:val="00461DB1"/>
    <w:rsid w:val="0046215F"/>
    <w:rsid w:val="00482EC1"/>
    <w:rsid w:val="004911C8"/>
    <w:rsid w:val="004A7EA4"/>
    <w:rsid w:val="004C2581"/>
    <w:rsid w:val="004C4236"/>
    <w:rsid w:val="004E5F12"/>
    <w:rsid w:val="004F0BEF"/>
    <w:rsid w:val="004F4339"/>
    <w:rsid w:val="004F455C"/>
    <w:rsid w:val="004F51AC"/>
    <w:rsid w:val="00500CE4"/>
    <w:rsid w:val="005138D9"/>
    <w:rsid w:val="00522268"/>
    <w:rsid w:val="005259E9"/>
    <w:rsid w:val="00525DE1"/>
    <w:rsid w:val="005303F2"/>
    <w:rsid w:val="00533284"/>
    <w:rsid w:val="00537C16"/>
    <w:rsid w:val="00543ACC"/>
    <w:rsid w:val="00544790"/>
    <w:rsid w:val="00546CB6"/>
    <w:rsid w:val="00554323"/>
    <w:rsid w:val="00555744"/>
    <w:rsid w:val="005723D3"/>
    <w:rsid w:val="00576F6E"/>
    <w:rsid w:val="005865FF"/>
    <w:rsid w:val="005A02A1"/>
    <w:rsid w:val="005A5C9B"/>
    <w:rsid w:val="005A65B0"/>
    <w:rsid w:val="005B14C9"/>
    <w:rsid w:val="005C112D"/>
    <w:rsid w:val="005C4289"/>
    <w:rsid w:val="005D2129"/>
    <w:rsid w:val="005D3CD9"/>
    <w:rsid w:val="005D742B"/>
    <w:rsid w:val="005E54AF"/>
    <w:rsid w:val="00607006"/>
    <w:rsid w:val="0060739E"/>
    <w:rsid w:val="00613E5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D6CF5"/>
    <w:rsid w:val="006D7458"/>
    <w:rsid w:val="006D749E"/>
    <w:rsid w:val="006E145F"/>
    <w:rsid w:val="006E197B"/>
    <w:rsid w:val="006F2EDB"/>
    <w:rsid w:val="006F4C25"/>
    <w:rsid w:val="006F564E"/>
    <w:rsid w:val="006F5E04"/>
    <w:rsid w:val="00702D53"/>
    <w:rsid w:val="0070615C"/>
    <w:rsid w:val="0071256E"/>
    <w:rsid w:val="00715E92"/>
    <w:rsid w:val="0071694E"/>
    <w:rsid w:val="00727834"/>
    <w:rsid w:val="00733AA1"/>
    <w:rsid w:val="00744503"/>
    <w:rsid w:val="00745743"/>
    <w:rsid w:val="00751EED"/>
    <w:rsid w:val="00757910"/>
    <w:rsid w:val="00762827"/>
    <w:rsid w:val="00770572"/>
    <w:rsid w:val="007720FF"/>
    <w:rsid w:val="00772DD4"/>
    <w:rsid w:val="00773272"/>
    <w:rsid w:val="00776627"/>
    <w:rsid w:val="007774C4"/>
    <w:rsid w:val="00780B63"/>
    <w:rsid w:val="00783441"/>
    <w:rsid w:val="0078736F"/>
    <w:rsid w:val="00792251"/>
    <w:rsid w:val="0079244B"/>
    <w:rsid w:val="00793D0A"/>
    <w:rsid w:val="007A3F03"/>
    <w:rsid w:val="007B02B8"/>
    <w:rsid w:val="007B1E85"/>
    <w:rsid w:val="007B49E5"/>
    <w:rsid w:val="007B7293"/>
    <w:rsid w:val="007C0F19"/>
    <w:rsid w:val="007C727B"/>
    <w:rsid w:val="007D4083"/>
    <w:rsid w:val="007E4B73"/>
    <w:rsid w:val="007E622B"/>
    <w:rsid w:val="007F08B6"/>
    <w:rsid w:val="007F259A"/>
    <w:rsid w:val="007F5C58"/>
    <w:rsid w:val="007F7D6B"/>
    <w:rsid w:val="0080202B"/>
    <w:rsid w:val="00804827"/>
    <w:rsid w:val="0081427B"/>
    <w:rsid w:val="008157C7"/>
    <w:rsid w:val="00821B23"/>
    <w:rsid w:val="00825B5D"/>
    <w:rsid w:val="008307B9"/>
    <w:rsid w:val="0083381D"/>
    <w:rsid w:val="00834F5F"/>
    <w:rsid w:val="00840D4D"/>
    <w:rsid w:val="00842853"/>
    <w:rsid w:val="0084420C"/>
    <w:rsid w:val="008454F7"/>
    <w:rsid w:val="00880EB5"/>
    <w:rsid w:val="00883C57"/>
    <w:rsid w:val="008924C2"/>
    <w:rsid w:val="008968BF"/>
    <w:rsid w:val="008B5C81"/>
    <w:rsid w:val="008C2017"/>
    <w:rsid w:val="008C25F2"/>
    <w:rsid w:val="008C333B"/>
    <w:rsid w:val="008D2797"/>
    <w:rsid w:val="008D6A17"/>
    <w:rsid w:val="008E11CE"/>
    <w:rsid w:val="009153A7"/>
    <w:rsid w:val="009158E4"/>
    <w:rsid w:val="00921AD6"/>
    <w:rsid w:val="00932435"/>
    <w:rsid w:val="0093430C"/>
    <w:rsid w:val="00936B1B"/>
    <w:rsid w:val="0094126D"/>
    <w:rsid w:val="00943321"/>
    <w:rsid w:val="009450D3"/>
    <w:rsid w:val="00945B3F"/>
    <w:rsid w:val="009522FF"/>
    <w:rsid w:val="00952763"/>
    <w:rsid w:val="00955B10"/>
    <w:rsid w:val="00964493"/>
    <w:rsid w:val="009647C1"/>
    <w:rsid w:val="009647D9"/>
    <w:rsid w:val="0096609F"/>
    <w:rsid w:val="00966810"/>
    <w:rsid w:val="00971743"/>
    <w:rsid w:val="009719D2"/>
    <w:rsid w:val="00974FB8"/>
    <w:rsid w:val="00982273"/>
    <w:rsid w:val="009926FA"/>
    <w:rsid w:val="009A1D26"/>
    <w:rsid w:val="009A6AF8"/>
    <w:rsid w:val="009B1D7A"/>
    <w:rsid w:val="009B5E1A"/>
    <w:rsid w:val="009B5E25"/>
    <w:rsid w:val="009C34C8"/>
    <w:rsid w:val="009C3F40"/>
    <w:rsid w:val="009C7903"/>
    <w:rsid w:val="009D280E"/>
    <w:rsid w:val="009D41CB"/>
    <w:rsid w:val="009D45BF"/>
    <w:rsid w:val="009D52A1"/>
    <w:rsid w:val="009D6860"/>
    <w:rsid w:val="009E6797"/>
    <w:rsid w:val="009E6DE5"/>
    <w:rsid w:val="009F0CFC"/>
    <w:rsid w:val="009F19B5"/>
    <w:rsid w:val="009F491B"/>
    <w:rsid w:val="009F7DAB"/>
    <w:rsid w:val="00A003F8"/>
    <w:rsid w:val="00A05B71"/>
    <w:rsid w:val="00A13A24"/>
    <w:rsid w:val="00A23DE8"/>
    <w:rsid w:val="00A30943"/>
    <w:rsid w:val="00A3122E"/>
    <w:rsid w:val="00A452A4"/>
    <w:rsid w:val="00A55879"/>
    <w:rsid w:val="00A704DF"/>
    <w:rsid w:val="00A75022"/>
    <w:rsid w:val="00A76F1E"/>
    <w:rsid w:val="00A933A3"/>
    <w:rsid w:val="00A97353"/>
    <w:rsid w:val="00AA16B1"/>
    <w:rsid w:val="00AA1FEB"/>
    <w:rsid w:val="00AA223D"/>
    <w:rsid w:val="00AA427C"/>
    <w:rsid w:val="00AA50BF"/>
    <w:rsid w:val="00AA7201"/>
    <w:rsid w:val="00AA77EC"/>
    <w:rsid w:val="00AC5FF6"/>
    <w:rsid w:val="00AC7090"/>
    <w:rsid w:val="00AD04DD"/>
    <w:rsid w:val="00AE0EBF"/>
    <w:rsid w:val="00AE5168"/>
    <w:rsid w:val="00AE5179"/>
    <w:rsid w:val="00AF5691"/>
    <w:rsid w:val="00AF7083"/>
    <w:rsid w:val="00AF78F1"/>
    <w:rsid w:val="00B10833"/>
    <w:rsid w:val="00B33DAC"/>
    <w:rsid w:val="00B442D0"/>
    <w:rsid w:val="00B44A5C"/>
    <w:rsid w:val="00B60A22"/>
    <w:rsid w:val="00B64DD7"/>
    <w:rsid w:val="00B71562"/>
    <w:rsid w:val="00B719F4"/>
    <w:rsid w:val="00B74ADE"/>
    <w:rsid w:val="00B8004B"/>
    <w:rsid w:val="00B813A4"/>
    <w:rsid w:val="00B848A1"/>
    <w:rsid w:val="00BA19C0"/>
    <w:rsid w:val="00BA2910"/>
    <w:rsid w:val="00BA42F3"/>
    <w:rsid w:val="00BA4DE9"/>
    <w:rsid w:val="00BA5BE1"/>
    <w:rsid w:val="00BA7C81"/>
    <w:rsid w:val="00BB0933"/>
    <w:rsid w:val="00BB2E22"/>
    <w:rsid w:val="00BB4C85"/>
    <w:rsid w:val="00BD4F35"/>
    <w:rsid w:val="00BE242A"/>
    <w:rsid w:val="00BE68C2"/>
    <w:rsid w:val="00BE7D24"/>
    <w:rsid w:val="00BF3EFA"/>
    <w:rsid w:val="00BF641D"/>
    <w:rsid w:val="00C000F6"/>
    <w:rsid w:val="00C00DED"/>
    <w:rsid w:val="00C0350D"/>
    <w:rsid w:val="00C05063"/>
    <w:rsid w:val="00C10365"/>
    <w:rsid w:val="00C21571"/>
    <w:rsid w:val="00C220DE"/>
    <w:rsid w:val="00C26520"/>
    <w:rsid w:val="00C3389F"/>
    <w:rsid w:val="00C4035F"/>
    <w:rsid w:val="00C4125D"/>
    <w:rsid w:val="00C5001E"/>
    <w:rsid w:val="00C5146B"/>
    <w:rsid w:val="00C52F95"/>
    <w:rsid w:val="00C56F2C"/>
    <w:rsid w:val="00C60868"/>
    <w:rsid w:val="00C609E0"/>
    <w:rsid w:val="00C609E7"/>
    <w:rsid w:val="00C65095"/>
    <w:rsid w:val="00C70BB3"/>
    <w:rsid w:val="00C71DD0"/>
    <w:rsid w:val="00C740ED"/>
    <w:rsid w:val="00C7456B"/>
    <w:rsid w:val="00C74DC6"/>
    <w:rsid w:val="00C756FE"/>
    <w:rsid w:val="00C77F55"/>
    <w:rsid w:val="00C94B20"/>
    <w:rsid w:val="00C9628B"/>
    <w:rsid w:val="00C971AA"/>
    <w:rsid w:val="00C97272"/>
    <w:rsid w:val="00C973B5"/>
    <w:rsid w:val="00CA09B2"/>
    <w:rsid w:val="00CA7D0D"/>
    <w:rsid w:val="00CB11D8"/>
    <w:rsid w:val="00CB54CA"/>
    <w:rsid w:val="00CC0821"/>
    <w:rsid w:val="00CC2106"/>
    <w:rsid w:val="00CD1379"/>
    <w:rsid w:val="00CD3221"/>
    <w:rsid w:val="00CD5EC8"/>
    <w:rsid w:val="00CE4626"/>
    <w:rsid w:val="00CF3E60"/>
    <w:rsid w:val="00D1152F"/>
    <w:rsid w:val="00D14510"/>
    <w:rsid w:val="00D17B8A"/>
    <w:rsid w:val="00D27BCE"/>
    <w:rsid w:val="00D3323D"/>
    <w:rsid w:val="00D36128"/>
    <w:rsid w:val="00D43BF6"/>
    <w:rsid w:val="00D445D3"/>
    <w:rsid w:val="00D44733"/>
    <w:rsid w:val="00D500F8"/>
    <w:rsid w:val="00D52FEA"/>
    <w:rsid w:val="00D539B3"/>
    <w:rsid w:val="00D60504"/>
    <w:rsid w:val="00D6060A"/>
    <w:rsid w:val="00D630A5"/>
    <w:rsid w:val="00D6371D"/>
    <w:rsid w:val="00D64D9A"/>
    <w:rsid w:val="00D726CC"/>
    <w:rsid w:val="00D72E20"/>
    <w:rsid w:val="00D82A2B"/>
    <w:rsid w:val="00D83B09"/>
    <w:rsid w:val="00D84818"/>
    <w:rsid w:val="00D84BA7"/>
    <w:rsid w:val="00D926DC"/>
    <w:rsid w:val="00D939E5"/>
    <w:rsid w:val="00D94DC3"/>
    <w:rsid w:val="00D96B1C"/>
    <w:rsid w:val="00D972E5"/>
    <w:rsid w:val="00DB241B"/>
    <w:rsid w:val="00DB3D8F"/>
    <w:rsid w:val="00DE3018"/>
    <w:rsid w:val="00DE3E36"/>
    <w:rsid w:val="00DF4355"/>
    <w:rsid w:val="00DF7248"/>
    <w:rsid w:val="00E030A5"/>
    <w:rsid w:val="00E04933"/>
    <w:rsid w:val="00E06D63"/>
    <w:rsid w:val="00E07E3D"/>
    <w:rsid w:val="00E13F6B"/>
    <w:rsid w:val="00E22780"/>
    <w:rsid w:val="00E249DE"/>
    <w:rsid w:val="00E359EA"/>
    <w:rsid w:val="00E3782E"/>
    <w:rsid w:val="00E44493"/>
    <w:rsid w:val="00E47E34"/>
    <w:rsid w:val="00E5182D"/>
    <w:rsid w:val="00E641CE"/>
    <w:rsid w:val="00E67F9A"/>
    <w:rsid w:val="00E81763"/>
    <w:rsid w:val="00E86E8D"/>
    <w:rsid w:val="00E96606"/>
    <w:rsid w:val="00E97387"/>
    <w:rsid w:val="00EA2215"/>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51D3"/>
    <w:rsid w:val="00F06251"/>
    <w:rsid w:val="00F107BB"/>
    <w:rsid w:val="00F20BAB"/>
    <w:rsid w:val="00F215C4"/>
    <w:rsid w:val="00F26C58"/>
    <w:rsid w:val="00F306AA"/>
    <w:rsid w:val="00F42150"/>
    <w:rsid w:val="00F44A4C"/>
    <w:rsid w:val="00F51F41"/>
    <w:rsid w:val="00F52A08"/>
    <w:rsid w:val="00F55859"/>
    <w:rsid w:val="00F620F2"/>
    <w:rsid w:val="00F6345E"/>
    <w:rsid w:val="00F6408D"/>
    <w:rsid w:val="00F65E52"/>
    <w:rsid w:val="00F74321"/>
    <w:rsid w:val="00F8258F"/>
    <w:rsid w:val="00F85CC1"/>
    <w:rsid w:val="00F871C8"/>
    <w:rsid w:val="00F92A91"/>
    <w:rsid w:val="00F95737"/>
    <w:rsid w:val="00F97A21"/>
    <w:rsid w:val="00FA29C5"/>
    <w:rsid w:val="00FB2EC9"/>
    <w:rsid w:val="00FB3F58"/>
    <w:rsid w:val="00FC5D98"/>
    <w:rsid w:val="00FE451D"/>
    <w:rsid w:val="00FE4AA5"/>
    <w:rsid w:val="00FF2FBA"/>
    <w:rsid w:val="00FF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7100D9-D7CE-4211-B0DD-B5A19035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34395086">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23529789">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7162685">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985A-6C67-49BA-9E14-0BFB2F2D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802.11-14/1358</vt:lpstr>
    </vt:vector>
  </TitlesOfParts>
  <Company>Aruba Networks</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Mark Hamilton</cp:lastModifiedBy>
  <cp:revision>3</cp:revision>
  <cp:lastPrinted>2014-05-15T08:40:00Z</cp:lastPrinted>
  <dcterms:created xsi:type="dcterms:W3CDTF">2016-02-24T03:30:00Z</dcterms:created>
  <dcterms:modified xsi:type="dcterms:W3CDTF">2016-02-24T03:37:00Z</dcterms:modified>
</cp:coreProperties>
</file>