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REVmc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2D1C0E">
              <w:rPr>
                <w:b w:val="0"/>
                <w:sz w:val="20"/>
              </w:rPr>
              <w:t xml:space="preserve">  2015-12</w:t>
            </w:r>
            <w:r w:rsidR="00A452D9">
              <w:rPr>
                <w:b w:val="0"/>
                <w:sz w:val="20"/>
              </w:rPr>
              <w:t>-</w:t>
            </w:r>
            <w:r w:rsidR="002D1C0E">
              <w:rPr>
                <w:b w:val="0"/>
                <w:sz w:val="20"/>
              </w:rPr>
              <w:t>07</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14:anchorId="4D913F1E" wp14:editId="582F51B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B1" w:rsidRPr="00AF318A" w:rsidRDefault="00CE6BB1" w:rsidP="008E3C45">
                            <w:pPr>
                              <w:jc w:val="center"/>
                              <w:rPr>
                                <w:b/>
                              </w:rPr>
                            </w:pPr>
                            <w:r w:rsidRPr="00AF318A">
                              <w:rPr>
                                <w:b/>
                              </w:rPr>
                              <w:t>Abstract</w:t>
                            </w:r>
                          </w:p>
                          <w:p w:rsidR="00CE6BB1" w:rsidRDefault="00CE6BB1" w:rsidP="008E3C45"/>
                          <w:p w:rsidR="00CE6BB1" w:rsidRPr="00B14E93" w:rsidRDefault="00CE6BB1"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CE6BB1" w:rsidRPr="00B14E93" w:rsidRDefault="00CE6BB1" w:rsidP="008E3C45"/>
                          <w:p w:rsidR="00CE6BB1" w:rsidRDefault="00CE6BB1" w:rsidP="008E3C45">
                            <w:r w:rsidRPr="00B14E93">
                              <w:t xml:space="preserve">R0: </w:t>
                            </w:r>
                            <w:r>
                              <w:t xml:space="preserve">Proposed resolutions for </w:t>
                            </w:r>
                            <w:r w:rsidRPr="00B14E93">
                              <w:t>CIDs: 5212, 5214, 5216</w:t>
                            </w:r>
                            <w:r>
                              <w:t>, 5218</w:t>
                            </w:r>
                          </w:p>
                          <w:p w:rsidR="00CE6BB1" w:rsidRDefault="00CE6BB1" w:rsidP="008E3C45">
                            <w:r>
                              <w:t xml:space="preserve">R1: corrected the format. </w:t>
                            </w:r>
                          </w:p>
                          <w:p w:rsidR="00CE6BB1" w:rsidRDefault="00CE6BB1" w:rsidP="008E3C45">
                            <w:r>
                              <w:t>R2: Added proposed resolutions for CIDs: 5217, 5219, 5220, 5221 (?), 5501, 5211, 6246, 6816, 6427 (?), 6462, 6468, 6473</w:t>
                            </w:r>
                          </w:p>
                          <w:p w:rsidR="00CE6BB1" w:rsidRDefault="00CE6BB1" w:rsidP="008E3C45">
                            <w:r>
                              <w:t xml:space="preserve">R3: updated, reviewed and ready for motion with CIDs 5212, 5214, 5216, 5217, 5218, 5219, 5220 in the teleconference on 10/9/2015. </w:t>
                            </w:r>
                          </w:p>
                          <w:p w:rsidR="00CE6BB1" w:rsidRDefault="00CE6BB1" w:rsidP="008E3C45">
                            <w:r>
                              <w:t>R4: Added proposed resolutions for CIDs: 6494, 6504, 6600, 6688, 6698(?), 6699(?), 6406, 6203</w:t>
                            </w:r>
                          </w:p>
                          <w:p w:rsidR="00CE6BB1" w:rsidRDefault="00CE6BB1" w:rsidP="008E3C45">
                            <w:r>
                              <w:t xml:space="preserve">R5: updated, reviewed and ready for motion on 10/14/2015 with CIDs: 5501, 5211, 6246, 6816, 6462, 6468, 6473 </w:t>
                            </w:r>
                          </w:p>
                          <w:p w:rsidR="00CE6BB1" w:rsidRDefault="00CE6BB1" w:rsidP="00DB15EA">
                            <w:r>
                              <w:t>R6: updated, review and ready for motion with CIDs: 6494, 6504, 6600, 6688. Assigned the following CIDs to Mark R for submission: 6698, 6699</w:t>
                            </w:r>
                          </w:p>
                          <w:p w:rsidR="00CE6BB1" w:rsidRDefault="00CE6BB1" w:rsidP="00DB15EA">
                            <w:r>
                              <w:t xml:space="preserve">R7: updated, review and ready for motion with CID 6406. </w:t>
                            </w:r>
                          </w:p>
                          <w:p w:rsidR="00CE6BB1" w:rsidRDefault="00CE6BB1" w:rsidP="00DB15EA">
                            <w:r w:rsidRPr="002D1C0E">
                              <w:t>R8: updated CID 6203 and 6427</w:t>
                            </w:r>
                          </w:p>
                          <w:p w:rsidR="00A046A1" w:rsidRDefault="00A046A1" w:rsidP="00DB15EA">
                            <w:r>
                              <w:t>R9: updated CID 6427</w:t>
                            </w:r>
                          </w:p>
                          <w:p w:rsidR="00A046A1" w:rsidRDefault="00A046A1" w:rsidP="00DB15EA">
                            <w:r>
                              <w:t>R10: updated, reviewed and approved CID 6203 and 6427 on 12/7/2015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13F1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CE6BB1" w:rsidRPr="00AF318A" w:rsidRDefault="00CE6BB1" w:rsidP="008E3C45">
                      <w:pPr>
                        <w:jc w:val="center"/>
                        <w:rPr>
                          <w:b/>
                        </w:rPr>
                      </w:pPr>
                      <w:r w:rsidRPr="00AF318A">
                        <w:rPr>
                          <w:b/>
                        </w:rPr>
                        <w:t>Abstract</w:t>
                      </w:r>
                    </w:p>
                    <w:p w:rsidR="00CE6BB1" w:rsidRDefault="00CE6BB1" w:rsidP="008E3C45"/>
                    <w:p w:rsidR="00CE6BB1" w:rsidRPr="00B14E93" w:rsidRDefault="00CE6BB1"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CE6BB1" w:rsidRPr="00B14E93" w:rsidRDefault="00CE6BB1" w:rsidP="008E3C45"/>
                    <w:p w:rsidR="00CE6BB1" w:rsidRDefault="00CE6BB1" w:rsidP="008E3C45">
                      <w:r w:rsidRPr="00B14E93">
                        <w:t xml:space="preserve">R0: </w:t>
                      </w:r>
                      <w:r>
                        <w:t xml:space="preserve">Proposed resolutions for </w:t>
                      </w:r>
                      <w:r w:rsidRPr="00B14E93">
                        <w:t>CIDs: 5212, 5214, 5216</w:t>
                      </w:r>
                      <w:r>
                        <w:t>, 5218</w:t>
                      </w:r>
                    </w:p>
                    <w:p w:rsidR="00CE6BB1" w:rsidRDefault="00CE6BB1" w:rsidP="008E3C45">
                      <w:r>
                        <w:t xml:space="preserve">R1: corrected the format. </w:t>
                      </w:r>
                    </w:p>
                    <w:p w:rsidR="00CE6BB1" w:rsidRDefault="00CE6BB1" w:rsidP="008E3C45">
                      <w:r>
                        <w:t>R2: Added proposed resolutions for CIDs: 5217, 5219, 5220, 5221 (?), 5501, 5211, 6246, 6816, 6427 (?), 6462, 6468, 6473</w:t>
                      </w:r>
                    </w:p>
                    <w:p w:rsidR="00CE6BB1" w:rsidRDefault="00CE6BB1" w:rsidP="008E3C45">
                      <w:r>
                        <w:t xml:space="preserve">R3: updated, reviewed and ready for motion with CIDs 5212, 5214, 5216, 5217, 5218, 5219, 5220 in the teleconference on 10/9/2015. </w:t>
                      </w:r>
                    </w:p>
                    <w:p w:rsidR="00CE6BB1" w:rsidRDefault="00CE6BB1" w:rsidP="008E3C45">
                      <w:r>
                        <w:t>R4: Added proposed resolutions for CIDs: 6494, 6504, 6600, 6688, 6698(?), 6699(?), 6406, 6203</w:t>
                      </w:r>
                    </w:p>
                    <w:p w:rsidR="00CE6BB1" w:rsidRDefault="00CE6BB1" w:rsidP="008E3C45">
                      <w:r>
                        <w:t xml:space="preserve">R5: updated, reviewed and ready for motion on 10/14/2015 with CIDs: 5501, 5211, 6246, 6816, 6462, 6468, 6473 </w:t>
                      </w:r>
                    </w:p>
                    <w:p w:rsidR="00CE6BB1" w:rsidRDefault="00CE6BB1" w:rsidP="00DB15EA">
                      <w:r>
                        <w:t>R6: updated, review and ready for motion with CIDs: 6494, 6504, 6600, 6688. Assigned the following CIDs to Mark R for submission: 6698, 6699</w:t>
                      </w:r>
                    </w:p>
                    <w:p w:rsidR="00CE6BB1" w:rsidRDefault="00CE6BB1" w:rsidP="00DB15EA">
                      <w:r>
                        <w:t xml:space="preserve">R7: updated, review and ready for motion with CID 6406. </w:t>
                      </w:r>
                    </w:p>
                    <w:p w:rsidR="00CE6BB1" w:rsidRDefault="00CE6BB1" w:rsidP="00DB15EA">
                      <w:r w:rsidRPr="002D1C0E">
                        <w:t>R8: updated CID 6203 and 6427</w:t>
                      </w:r>
                    </w:p>
                    <w:p w:rsidR="00A046A1" w:rsidRDefault="00A046A1" w:rsidP="00DB15EA">
                      <w:r>
                        <w:t>R9: updated CID 6427</w:t>
                      </w:r>
                    </w:p>
                    <w:p w:rsidR="00A046A1" w:rsidRDefault="00A046A1" w:rsidP="00DB15EA">
                      <w:r>
                        <w:t>R10: updated, reviewed and approved CID 6203 and 6427 on 12/7/2015</w:t>
                      </w:r>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  but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14:anchorId="2A5DCD71" wp14:editId="6B9F2F3B">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r w:rsidR="008E3C45">
        <w:rPr>
          <w:rFonts w:ascii="Arial" w:hAnsi="Arial" w:cs="Arial"/>
          <w:sz w:val="20"/>
        </w:rPr>
        <w:t>the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14:anchorId="54E3D9B3" wp14:editId="44239E3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25788270" wp14:editId="1B30C4DA">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r w:rsidR="009832EF">
        <w:t>to</w:t>
      </w:r>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14:anchorId="38FCA195" wp14:editId="4ECFA86B">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  which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  "For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0F7D022A" wp14:editId="49C8D14F">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APmay base the aging function on the Listen Interval</w:t>
            </w:r>
            <w:r>
              <w:rPr>
                <w:rFonts w:ascii="Arial" w:hAnsi="Arial" w:cs="Arial"/>
                <w:sz w:val="20"/>
              </w:rPr>
              <w:br/>
            </w:r>
            <w:r>
              <w:rPr>
                <w:rFonts w:ascii="Arial" w:hAnsi="Arial" w:cs="Arial"/>
                <w:sz w:val="20"/>
              </w:rPr>
              <w:br/>
              <w:t>specified by the STA in the (Re)Association Request frame or the WNM-Sleep Interval specified by</w:t>
            </w:r>
            <w:r>
              <w:rPr>
                <w:rFonts w:ascii="Arial" w:hAnsi="Arial" w:cs="Arial"/>
                <w:sz w:val="20"/>
              </w:rPr>
              <w:br/>
            </w:r>
            <w:r>
              <w:rPr>
                <w:rFonts w:ascii="Arial" w:hAnsi="Arial" w:cs="Arial"/>
                <w:sz w:val="20"/>
              </w:rPr>
              <w:br/>
              <w:t>the non-AP STA in the WNM-Sleep Mode Request frame." -- this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14:anchorId="3812AB8D" wp14:editId="3F4C109F">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Resn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642679C7" wp14:editId="331AB537">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22A6C45E" wp14:editId="72C80544">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The deprecation is already acknowleged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  a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Those cleverer than I can see this is a fruitful field of endeavor.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  add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7E7EE79A" wp14:editId="658800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comenter.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"Wait until the ProbeDelay time has expired":  but there is no such variable in the MLME.  The only value of ProbeDelay available is that from the most recent invocation by the SME of one of the three primitives:  MLME-SCAN.request, MLME-JOIN.request, or MLME-START.request.  In the current context (after the MLME-POWERMGT.request primitive has run) the appropriate primitive appears to be either the MLME-JOIN.request or the MLME-START.request, so the text needs to specify either of those as the source of the value of the ProbeDelay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"Waiit until the ProbeDelay time has expired" with "Wait until the time indicated by the ProbeDelay parameter (from the most recent SME invocation of either the MLME-JOIN.request or the MLME-START.request)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I guest the commenter may comment on “until a period of time equal to the ProbeDelay has transpired.”:</w:t>
      </w:r>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2D82247C" wp14:editId="74BE6DD4">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MLME-POWERMGT.request primitive has run)</w:t>
      </w:r>
      <w:r>
        <w:rPr>
          <w:rFonts w:ascii="Arial" w:hAnsi="Arial" w:cs="Arial"/>
          <w:sz w:val="20"/>
        </w:rPr>
        <w:t>, I think</w:t>
      </w:r>
      <w:r w:rsidR="007B0A38">
        <w:rPr>
          <w:rFonts w:ascii="Arial" w:hAnsi="Arial" w:cs="Arial"/>
          <w:sz w:val="20"/>
        </w:rPr>
        <w:t xml:space="preserve"> the appropriate primitive appears to be the MLME-JOIN.request only, not MLME-Start.request. The MLME-Start.request is for “</w:t>
      </w:r>
      <w:r w:rsidR="007B0A38" w:rsidRPr="007B0A38">
        <w:rPr>
          <w:rFonts w:ascii="Arial" w:hAnsi="Arial" w:cs="Arial"/>
          <w:sz w:val="20"/>
        </w:rPr>
        <w:t>the MAC entity start a new BSS or become a member of an MBSS.</w:t>
      </w:r>
      <w:r w:rsidR="007B0A38">
        <w:rPr>
          <w:rFonts w:ascii="Arial" w:hAnsi="Arial" w:cs="Arial"/>
          <w:sz w:val="20"/>
        </w:rPr>
        <w:t>”</w:t>
      </w:r>
      <w:r>
        <w:rPr>
          <w:rFonts w:ascii="Arial" w:hAnsi="Arial" w:cs="Arial"/>
          <w:sz w:val="20"/>
        </w:rPr>
        <w:t>.</w:t>
      </w:r>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MLME-JOIN.request need to be cited.</w:t>
      </w:r>
    </w:p>
    <w:p w:rsidR="003A1899" w:rsidRDefault="003A1899" w:rsidP="00863E65">
      <w:pPr>
        <w:rPr>
          <w:rFonts w:ascii="Arial" w:hAnsi="Arial" w:cs="Arial"/>
          <w:sz w:val="20"/>
        </w:rPr>
      </w:pPr>
    </w:p>
    <w:p w:rsidR="003A1899" w:rsidRDefault="003A1899" w:rsidP="00863E65">
      <w:pPr>
        <w:rPr>
          <w:b/>
        </w:rPr>
      </w:pPr>
    </w:p>
    <w:p w:rsidR="007B0A38" w:rsidRPr="008D68ED" w:rsidRDefault="00863E65" w:rsidP="00863E65">
      <w:pPr>
        <w:rPr>
          <w:b/>
          <w:highlight w:val="green"/>
        </w:rPr>
      </w:pPr>
      <w:r w:rsidRPr="008D68ED">
        <w:rPr>
          <w:b/>
          <w:highlight w:val="green"/>
        </w:rPr>
        <w:t>Proposed resolution:</w:t>
      </w:r>
    </w:p>
    <w:p w:rsidR="007B0A38" w:rsidRDefault="007B0A38" w:rsidP="007B0A38">
      <w:r w:rsidRPr="008D68ED">
        <w:rPr>
          <w:highlight w:val="green"/>
        </w:rPr>
        <w:t>Revised.</w:t>
      </w:r>
      <w:r>
        <w:t xml:space="preserve"> </w:t>
      </w:r>
    </w:p>
    <w:p w:rsidR="00863E65" w:rsidRDefault="007B0A38" w:rsidP="00863E65">
      <w:r>
        <w:rPr>
          <w:rFonts w:ascii="Arial" w:hAnsi="Arial" w:cs="Arial"/>
          <w:sz w:val="20"/>
        </w:rPr>
        <w:t>At the cited location, change “</w:t>
      </w:r>
      <w:r w:rsidR="00DB1AD9">
        <w:rPr>
          <w:rFonts w:ascii="Arial" w:hAnsi="Arial" w:cs="Arial"/>
          <w:sz w:val="20"/>
        </w:rPr>
        <w:t>until a period of time equal to the ProbeDelay has transpired</w:t>
      </w:r>
      <w:r w:rsidR="00DB1AD9" w:rsidRPr="00863E65">
        <w:rPr>
          <w:rFonts w:ascii="Arial" w:hAnsi="Arial" w:cs="Arial"/>
          <w:sz w:val="20"/>
        </w:rPr>
        <w:t xml:space="preserve"> </w:t>
      </w:r>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 “</w:t>
      </w:r>
      <w:r w:rsidR="00DB1AD9">
        <w:rPr>
          <w:rFonts w:ascii="Arial" w:hAnsi="Arial" w:cs="Arial"/>
          <w:sz w:val="20"/>
        </w:rPr>
        <w:t xml:space="preserve">until a period of time </w:t>
      </w:r>
      <w:r w:rsidR="00F11F16">
        <w:rPr>
          <w:rFonts w:ascii="Arial" w:hAnsi="Arial" w:cs="Arial"/>
          <w:sz w:val="20"/>
        </w:rPr>
        <w:t>indicated by</w:t>
      </w:r>
      <w:r w:rsidR="00DB1AD9">
        <w:rPr>
          <w:rFonts w:ascii="Arial" w:hAnsi="Arial" w:cs="Arial"/>
          <w:sz w:val="20"/>
        </w:rPr>
        <w:t xml:space="preserve"> the ProbeDelay </w:t>
      </w:r>
      <w:r w:rsidR="00DB1AD9" w:rsidRPr="00863E65">
        <w:rPr>
          <w:rFonts w:ascii="Arial" w:hAnsi="Arial" w:cs="Arial"/>
          <w:sz w:val="20"/>
        </w:rPr>
        <w:t>parameter</w:t>
      </w:r>
      <w:r w:rsidR="00DB1AD9">
        <w:rPr>
          <w:rFonts w:ascii="Arial" w:hAnsi="Arial" w:cs="Arial"/>
          <w:sz w:val="20"/>
        </w:rPr>
        <w:t xml:space="preserve"> from </w:t>
      </w:r>
      <w:r w:rsidR="00DB1AD9" w:rsidRPr="00863E65">
        <w:rPr>
          <w:rFonts w:ascii="Arial" w:hAnsi="Arial" w:cs="Arial"/>
          <w:sz w:val="20"/>
        </w:rPr>
        <w:t>the</w:t>
      </w:r>
      <w:r w:rsidR="00F11F16">
        <w:rPr>
          <w:rFonts w:ascii="Arial" w:hAnsi="Arial" w:cs="Arial"/>
          <w:sz w:val="20"/>
        </w:rPr>
        <w:t xml:space="preserve"> most recent</w:t>
      </w:r>
      <w:r w:rsidR="00DB1AD9" w:rsidRPr="00863E65">
        <w:rPr>
          <w:rFonts w:ascii="Arial" w:hAnsi="Arial" w:cs="Arial"/>
          <w:sz w:val="20"/>
        </w:rPr>
        <w:t xml:space="preserve"> MLME-JOIN.request</w:t>
      </w:r>
      <w:r w:rsidR="00F11F16">
        <w:rPr>
          <w:rFonts w:ascii="Arial" w:hAnsi="Arial" w:cs="Arial"/>
          <w:sz w:val="20"/>
        </w:rPr>
        <w:t xml:space="preserve"> primitive</w:t>
      </w:r>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4888547A" wp14:editId="311DACE7">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Pr="008D68ED" w:rsidRDefault="00C25A17" w:rsidP="00C25A17">
      <w:pPr>
        <w:rPr>
          <w:b/>
          <w:highlight w:val="green"/>
        </w:rPr>
      </w:pPr>
      <w:r w:rsidRPr="008D68ED">
        <w:rPr>
          <w:b/>
          <w:highlight w:val="green"/>
        </w:rPr>
        <w:t>Proposed resolution:</w:t>
      </w:r>
    </w:p>
    <w:p w:rsidR="00C25A17" w:rsidRDefault="00C25A17" w:rsidP="00C25A17">
      <w:r w:rsidRPr="008D68ED">
        <w:rPr>
          <w:highlight w:val="green"/>
        </w:rPr>
        <w:t>Revised.</w:t>
      </w:r>
      <w:r>
        <w:t xml:space="preserve"> </w:t>
      </w:r>
    </w:p>
    <w:p w:rsidR="008912A7" w:rsidRDefault="008912A7" w:rsidP="00C25A17">
      <w:r>
        <w:t xml:space="preserve">Same comment resolution as CID 5499. </w:t>
      </w:r>
    </w:p>
    <w:p w:rsidR="008912A7" w:rsidRDefault="008912A7" w:rsidP="008912A7">
      <w:pPr>
        <w:rPr>
          <w:rFonts w:ascii="Arial" w:hAnsi="Arial" w:cs="Arial"/>
          <w:sz w:val="20"/>
        </w:rPr>
      </w:pPr>
      <w:r>
        <w:t>"To change power management modes a STA shall inform the AP by completing a successful frame exchange (as described in Annex G) that is initiated by the STA and that includes a Management frame, Extension frame or Data frame, and also an Ack or a BlockAck frame from the AP."</w:t>
      </w:r>
    </w:p>
    <w:p w:rsidR="008912A7" w:rsidRDefault="008912A7" w:rsidP="00C25A17"/>
    <w:p w:rsidR="008912A7" w:rsidRDefault="008912A7" w:rsidP="00C25A17"/>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5A7EF8ED" wp14:editId="54208239">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Pr="008D68ED" w:rsidRDefault="00945EEE" w:rsidP="00945EEE">
      <w:pPr>
        <w:rPr>
          <w:b/>
          <w:highlight w:val="green"/>
        </w:rPr>
      </w:pPr>
      <w:r w:rsidRPr="008D68ED">
        <w:rPr>
          <w:b/>
          <w:highlight w:val="green"/>
        </w:rPr>
        <w:t>Proposed resolution:</w:t>
      </w:r>
    </w:p>
    <w:p w:rsidR="00945EEE" w:rsidRDefault="0095569C" w:rsidP="00945EEE">
      <w:r w:rsidRPr="008D68ED">
        <w:rPr>
          <w:highlight w:val="green"/>
        </w:rPr>
        <w:t>Revised.</w:t>
      </w:r>
      <w:r>
        <w:t xml:space="preserve">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 To “The AP deliver</w:t>
      </w:r>
      <w:r w:rsidR="00596B70">
        <w:rPr>
          <w:rFonts w:ascii="Arial" w:hAnsi="Arial" w:cs="Arial"/>
          <w:sz w:val="20"/>
        </w:rPr>
        <w:t>s</w:t>
      </w:r>
      <w:r>
        <w:rPr>
          <w:rFonts w:ascii="Arial" w:hAnsi="Arial" w:cs="Arial"/>
          <w:sz w:val="20"/>
        </w:rPr>
        <w:t xml:space="preserve"> the requested stream</w:t>
      </w:r>
      <w:r w:rsidR="00DC17C3">
        <w:rPr>
          <w:rFonts w:ascii="Arial" w:hAnsi="Arial" w:cs="Arial"/>
          <w:sz w:val="20"/>
        </w:rPr>
        <w:t>s</w:t>
      </w:r>
      <w:r>
        <w:rPr>
          <w:rFonts w:ascii="Arial" w:hAnsi="Arial" w:cs="Arial"/>
          <w:sz w:val="20"/>
        </w:rPr>
        <w:t xml:space="preserve"> at every DTIM interval.” </w:t>
      </w:r>
    </w:p>
    <w:p w:rsidR="00DC17C3" w:rsidRDefault="00DC17C3" w:rsidP="008E3C45">
      <w:pPr>
        <w:rPr>
          <w:rFonts w:ascii="Arial" w:hAnsi="Arial" w:cs="Arial"/>
          <w:sz w:val="20"/>
        </w:rPr>
      </w:pP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"10.2.2 Power management in a non-DMG infrastructure network" contains vast amounts of detail.  "10.2.6 Power management in a PBSS and DMG infrastructure BSS" is much thinner.  Is it really the case that the latter is complete for DMG infrastructure BSSes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Add any missing stuff for PBSSes and DMG ABSSes</w:t>
            </w:r>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Pr="008D68ED" w:rsidRDefault="000A09E7" w:rsidP="000A09E7">
      <w:pPr>
        <w:rPr>
          <w:highlight w:val="green"/>
        </w:rPr>
      </w:pPr>
      <w:r w:rsidRPr="008D68ED">
        <w:rPr>
          <w:b/>
          <w:highlight w:val="green"/>
        </w:rPr>
        <w:t>Proposed resolution:</w:t>
      </w:r>
    </w:p>
    <w:p w:rsidR="000A09E7" w:rsidRDefault="00AB4086" w:rsidP="000A09E7">
      <w:r w:rsidRPr="008D68ED">
        <w:rPr>
          <w:highlight w:val="green"/>
        </w:rPr>
        <w:t>Reject</w:t>
      </w:r>
      <w:r w:rsidR="00524094" w:rsidRPr="008D68ED">
        <w:rPr>
          <w:highlight w:val="green"/>
        </w:rPr>
        <w:t>ed</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Are FTM frames bufferable?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Either state that a non-AP STA doing FTM needs to be in active mode during burst instances, or state that FTM frames are not bufferable</w:t>
            </w:r>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E11C7D" w:rsidRDefault="009A4564" w:rsidP="00E11C7D">
      <w:r>
        <w:rPr>
          <w:sz w:val="24"/>
          <w:szCs w:val="24"/>
        </w:rPr>
        <w:t>The</w:t>
      </w:r>
      <w:r w:rsidR="00E11C7D">
        <w:rPr>
          <w:sz w:val="24"/>
          <w:szCs w:val="24"/>
        </w:rPr>
        <w:t xml:space="preserve"> </w:t>
      </w:r>
      <w:r w:rsidR="00E11C7D" w:rsidRPr="009D5EC4">
        <w:t xml:space="preserve">STA doing FTM needs to be in Active mode. This, though not explicitly stated, is implicit in the protocol specification. </w:t>
      </w:r>
    </w:p>
    <w:p w:rsidR="009A4564" w:rsidRPr="00E11C7D" w:rsidRDefault="009A4564" w:rsidP="009A4564">
      <w:pPr>
        <w:rPr>
          <w:szCs w:val="24"/>
        </w:rPr>
      </w:pPr>
      <w:r w:rsidRPr="00E11C7D">
        <w:rPr>
          <w:szCs w:val="24"/>
        </w:rPr>
        <w:t xml:space="preserve">The initiating STA is expected to be awake during the burst instance in which FTM frames are to be transmitted.  Allowing for power save during a burst instance may result in missed FTM frames or fewer FTMs per Burst in a burst instance.  </w:t>
      </w:r>
    </w:p>
    <w:p w:rsidR="009A4564" w:rsidRDefault="009A4564" w:rsidP="000A09E7">
      <w:pPr>
        <w:rPr>
          <w:b/>
        </w:rPr>
      </w:pPr>
    </w:p>
    <w:p w:rsidR="000A09E7" w:rsidRPr="00A046A1" w:rsidRDefault="000A09E7" w:rsidP="000A09E7">
      <w:pPr>
        <w:rPr>
          <w:b/>
          <w:highlight w:val="green"/>
        </w:rPr>
      </w:pPr>
      <w:r w:rsidRPr="00A046A1">
        <w:rPr>
          <w:b/>
          <w:highlight w:val="green"/>
        </w:rPr>
        <w:t>Proposed resolution:</w:t>
      </w:r>
      <w:r w:rsidR="00F64F63" w:rsidRPr="00A046A1">
        <w:rPr>
          <w:b/>
          <w:highlight w:val="green"/>
        </w:rPr>
        <w:t xml:space="preserve"> </w:t>
      </w:r>
    </w:p>
    <w:p w:rsidR="009D5EC4" w:rsidRDefault="00D773A6" w:rsidP="000A09E7">
      <w:r w:rsidRPr="00A046A1">
        <w:rPr>
          <w:highlight w:val="green"/>
        </w:rPr>
        <w:t>R</w:t>
      </w:r>
      <w:r w:rsidR="008C7F2C" w:rsidRPr="00A046A1">
        <w:rPr>
          <w:highlight w:val="green"/>
        </w:rPr>
        <w:t>evised</w:t>
      </w:r>
    </w:p>
    <w:p w:rsidR="008C7F2C" w:rsidRDefault="008C7F2C"/>
    <w:p w:rsidR="00E11C7D" w:rsidRPr="00E11C7D" w:rsidRDefault="00E11C7D" w:rsidP="00E11C7D">
      <w:pPr>
        <w:spacing w:after="240"/>
        <w:rPr>
          <w:b/>
          <w:i/>
          <w:sz w:val="24"/>
          <w:szCs w:val="24"/>
        </w:rPr>
      </w:pPr>
      <w:r w:rsidRPr="00E11C7D">
        <w:rPr>
          <w:b/>
          <w:i/>
          <w:sz w:val="24"/>
          <w:szCs w:val="24"/>
        </w:rPr>
        <w:t>Modify the Table 10-1</w:t>
      </w:r>
      <w:r>
        <w:rPr>
          <w:b/>
          <w:i/>
          <w:sz w:val="24"/>
          <w:szCs w:val="24"/>
        </w:rPr>
        <w:t xml:space="preserve"> in 10.2.1 (D4.0)</w:t>
      </w:r>
      <w:r w:rsidRPr="00E11C7D">
        <w:rPr>
          <w:b/>
          <w:i/>
          <w:sz w:val="24"/>
          <w:szCs w:val="24"/>
        </w:rPr>
        <w:t xml:space="preserve"> as follows: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4780"/>
        <w:gridCol w:w="2080"/>
      </w:tblGrid>
      <w:tr w:rsidR="00E11C7D" w:rsidTr="00CE6BB1">
        <w:trPr>
          <w:jc w:val="center"/>
        </w:trPr>
        <w:tc>
          <w:tcPr>
            <w:tcW w:w="6860" w:type="dxa"/>
            <w:gridSpan w:val="2"/>
            <w:tcBorders>
              <w:top w:val="nil"/>
              <w:left w:val="nil"/>
              <w:bottom w:val="nil"/>
              <w:right w:val="nil"/>
            </w:tcBorders>
            <w:tcMar>
              <w:top w:w="120" w:type="dxa"/>
              <w:left w:w="120" w:type="dxa"/>
              <w:bottom w:w="60" w:type="dxa"/>
              <w:right w:w="120" w:type="dxa"/>
            </w:tcMar>
            <w:vAlign w:val="center"/>
          </w:tcPr>
          <w:p w:rsidR="00E11C7D" w:rsidRDefault="00E11C7D" w:rsidP="00E11C7D">
            <w:pPr>
              <w:pStyle w:val="TableTitle"/>
              <w:numPr>
                <w:ilvl w:val="0"/>
                <w:numId w:val="2"/>
              </w:numPr>
            </w:pPr>
            <w:bookmarkStart w:id="0" w:name="RTF36333632373a205461626c65"/>
            <w:r>
              <w:rPr>
                <w:w w:val="100"/>
              </w:rPr>
              <w:t>Bufferable/nonbufferable classification of Management frames</w:t>
            </w:r>
            <w:bookmarkEnd w:id="0"/>
          </w:p>
        </w:tc>
      </w:tr>
      <w:tr w:rsidR="00E11C7D" w:rsidTr="00CE6BB1">
        <w:trPr>
          <w:trHeight w:val="440"/>
          <w:jc w:val="center"/>
        </w:trPr>
        <w:tc>
          <w:tcPr>
            <w:tcW w:w="478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E11C7D" w:rsidRDefault="00E11C7D" w:rsidP="00CE6BB1">
            <w:pPr>
              <w:pStyle w:val="CellHeading"/>
            </w:pPr>
            <w:r>
              <w:rPr>
                <w:w w:val="100"/>
              </w:rPr>
              <w:t>Description</w:t>
            </w:r>
          </w:p>
        </w:tc>
        <w:tc>
          <w:tcPr>
            <w:tcW w:w="20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E11C7D" w:rsidRDefault="00E11C7D" w:rsidP="00CE6BB1">
            <w:pPr>
              <w:pStyle w:val="CellHeading"/>
            </w:pPr>
            <w:r>
              <w:rPr>
                <w:w w:val="100"/>
              </w:rPr>
              <w:t>Classification</w:t>
            </w:r>
          </w:p>
        </w:tc>
      </w:tr>
      <w:tr w:rsidR="00E11C7D" w:rsidTr="00CE6BB1">
        <w:trPr>
          <w:trHeight w:val="560"/>
          <w:jc w:val="center"/>
        </w:trPr>
        <w:tc>
          <w:tcPr>
            <w:tcW w:w="47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E11C7D" w:rsidRDefault="00E11C7D" w:rsidP="00CE6BB1">
            <w:pPr>
              <w:pStyle w:val="CellBody"/>
              <w:rPr>
                <w:w w:val="100"/>
              </w:rPr>
            </w:pPr>
            <w:r>
              <w:rPr>
                <w:w w:val="100"/>
              </w:rPr>
              <w:t xml:space="preserve">An Action </w:t>
            </w:r>
            <w:r w:rsidRPr="00E11C7D">
              <w:rPr>
                <w:color w:val="C00000"/>
                <w:w w:val="100"/>
                <w:u w:val="single"/>
              </w:rPr>
              <w:t>(except for Fine Timing Measurement frame</w:t>
            </w:r>
            <w:r w:rsidR="0040009C">
              <w:rPr>
                <w:color w:val="C00000"/>
                <w:w w:val="100"/>
                <w:u w:val="single"/>
              </w:rPr>
              <w:t xml:space="preserve"> and </w:t>
            </w:r>
            <w:r w:rsidR="0040009C" w:rsidRPr="00E11C7D">
              <w:rPr>
                <w:color w:val="C00000"/>
                <w:w w:val="100"/>
                <w:u w:val="single"/>
              </w:rPr>
              <w:t xml:space="preserve">Fine Timing Measurement </w:t>
            </w:r>
            <w:r w:rsidR="0040009C">
              <w:rPr>
                <w:color w:val="C00000"/>
                <w:w w:val="100"/>
                <w:u w:val="single"/>
              </w:rPr>
              <w:t xml:space="preserve">Requst </w:t>
            </w:r>
            <w:r w:rsidR="0040009C" w:rsidRPr="00E11C7D">
              <w:rPr>
                <w:color w:val="C00000"/>
                <w:w w:val="100"/>
                <w:u w:val="single"/>
              </w:rPr>
              <w:t>frame</w:t>
            </w:r>
            <w:r w:rsidRPr="00E11C7D">
              <w:rPr>
                <w:color w:val="C00000"/>
                <w:w w:val="100"/>
                <w:u w:val="single"/>
              </w:rPr>
              <w:t>)</w:t>
            </w:r>
            <w:r>
              <w:rPr>
                <w:w w:val="100"/>
              </w:rPr>
              <w:t>, Disassociation, or</w:t>
            </w:r>
          </w:p>
          <w:p w:rsidR="00E11C7D" w:rsidRDefault="00E11C7D" w:rsidP="00CE6BB1">
            <w:pPr>
              <w:pStyle w:val="CellBody"/>
            </w:pPr>
            <w:r>
              <w:rPr>
                <w:w w:val="100"/>
              </w:rPr>
              <w:t>Deauthentication frame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E11C7D" w:rsidRDefault="00E11C7D" w:rsidP="00CE6BB1">
            <w:pPr>
              <w:pStyle w:val="CellBody"/>
            </w:pPr>
            <w:r>
              <w:rPr>
                <w:w w:val="100"/>
              </w:rPr>
              <w:t>Bufferable</w:t>
            </w:r>
          </w:p>
        </w:tc>
      </w:tr>
      <w:tr w:rsidR="00E11C7D" w:rsidTr="00CE6BB1">
        <w:trPr>
          <w:trHeight w:val="760"/>
          <w:jc w:val="center"/>
        </w:trPr>
        <w:tc>
          <w:tcPr>
            <w:tcW w:w="47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E11C7D" w:rsidRDefault="00E11C7D" w:rsidP="00CE6BB1">
            <w:pPr>
              <w:pStyle w:val="CellBody"/>
            </w:pPr>
            <w:r>
              <w:rPr>
                <w:w w:val="100"/>
              </w:rPr>
              <w:t>An individually addressed Probe Response frame that is sent in an IBSS in response to an individually addressed Probe Request frame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E11C7D" w:rsidRDefault="00E11C7D" w:rsidP="00CE6BB1">
            <w:pPr>
              <w:pStyle w:val="CellBody"/>
            </w:pPr>
            <w:r>
              <w:rPr>
                <w:w w:val="100"/>
              </w:rPr>
              <w:t>Bufferable</w:t>
            </w:r>
          </w:p>
        </w:tc>
      </w:tr>
      <w:tr w:rsidR="00E11C7D" w:rsidTr="00CE6BB1">
        <w:trPr>
          <w:trHeight w:val="360"/>
          <w:jc w:val="center"/>
        </w:trPr>
        <w:tc>
          <w:tcPr>
            <w:tcW w:w="478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E11C7D" w:rsidRDefault="00E11C7D" w:rsidP="00CE6BB1">
            <w:pPr>
              <w:pStyle w:val="CellBody"/>
            </w:pPr>
            <w:r>
              <w:rPr>
                <w:w w:val="100"/>
              </w:rPr>
              <w:t>All other Management frames</w:t>
            </w:r>
          </w:p>
        </w:tc>
        <w:tc>
          <w:tcPr>
            <w:tcW w:w="208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E11C7D" w:rsidRDefault="00E11C7D" w:rsidP="00CE6BB1">
            <w:pPr>
              <w:pStyle w:val="CellBody"/>
            </w:pPr>
            <w:r>
              <w:rPr>
                <w:w w:val="100"/>
              </w:rPr>
              <w:t>Nonbufferable</w:t>
            </w:r>
          </w:p>
        </w:tc>
      </w:tr>
    </w:tbl>
    <w:p w:rsidR="00E11C7D" w:rsidRDefault="00E11C7D" w:rsidP="00E11C7D">
      <w:pPr>
        <w:spacing w:after="240"/>
        <w:rPr>
          <w:b/>
          <w:sz w:val="24"/>
          <w:szCs w:val="24"/>
        </w:rPr>
      </w:pPr>
    </w:p>
    <w:p w:rsidR="00D773A6" w:rsidRDefault="00D773A6"/>
    <w:p w:rsidR="000A09E7" w:rsidRDefault="000A09E7" w:rsidP="000A09E7"/>
    <w:p w:rsidR="003F51D8" w:rsidRDefault="003F51D8"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7E30B4A5" wp14:editId="2D8F2C62">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Pr="008D68ED" w:rsidRDefault="009B4517" w:rsidP="009B4517">
      <w:pPr>
        <w:rPr>
          <w:highlight w:val="green"/>
        </w:rPr>
      </w:pPr>
      <w:r w:rsidRPr="008D68ED">
        <w:rPr>
          <w:b/>
          <w:highlight w:val="green"/>
        </w:rPr>
        <w:t>Proposed resolution:</w:t>
      </w:r>
    </w:p>
    <w:p w:rsidR="009B4517" w:rsidRDefault="003F51D8" w:rsidP="009B4517">
      <w:r w:rsidRPr="008D68ED">
        <w:rPr>
          <w:highlight w:val="green"/>
        </w:rPr>
        <w:t>Revised.</w:t>
      </w:r>
      <w:r>
        <w:t xml:space="preserve"> </w:t>
      </w:r>
    </w:p>
    <w:p w:rsidR="003F51D8" w:rsidRDefault="003F51D8" w:rsidP="008E3C45">
      <w:r w:rsidRPr="009B4517">
        <w:rPr>
          <w:rFonts w:ascii="Arial" w:hAnsi="Arial" w:cs="Arial"/>
          <w:sz w:val="20"/>
        </w:rPr>
        <w:t>After the first sentence cited</w:t>
      </w:r>
      <w:r>
        <w:rPr>
          <w:rFonts w:ascii="Arial" w:hAnsi="Arial" w:cs="Arial"/>
          <w:sz w:val="20"/>
        </w:rPr>
        <w:t>,</w:t>
      </w:r>
      <w:r w:rsidRPr="009B4517">
        <w:rPr>
          <w:rFonts w:ascii="Arial" w:hAnsi="Arial" w:cs="Arial"/>
          <w:sz w:val="20"/>
        </w:rPr>
        <w:t xml:space="preserve"> add</w:t>
      </w:r>
      <w:r>
        <w:rPr>
          <w:rFonts w:ascii="Arial" w:hAnsi="Arial" w:cs="Arial"/>
          <w:sz w:val="20"/>
        </w:rPr>
        <w:t xml:space="preserve">: </w:t>
      </w:r>
    </w:p>
    <w:p w:rsidR="003F51D8" w:rsidRDefault="0001728E" w:rsidP="008E3C45">
      <w:r>
        <w:rPr>
          <w:rFonts w:ascii="Arial" w:hAnsi="Arial" w:cs="Arial"/>
          <w:sz w:val="20"/>
        </w:rPr>
        <w:t>“</w:t>
      </w:r>
      <w:r w:rsidR="003F51D8" w:rsidRPr="009B4517">
        <w:rPr>
          <w:rFonts w:ascii="Arial" w:hAnsi="Arial" w:cs="Arial"/>
          <w:sz w:val="20"/>
        </w:rPr>
        <w:t xml:space="preserve">The AP should transmit </w:t>
      </w:r>
      <w:r w:rsidR="003F51D8">
        <w:rPr>
          <w:rFonts w:ascii="Arial" w:hAnsi="Arial" w:cs="Arial"/>
          <w:sz w:val="20"/>
        </w:rPr>
        <w:t>the</w:t>
      </w:r>
      <w:r w:rsidR="003F51D8" w:rsidRPr="009B4517">
        <w:rPr>
          <w:rFonts w:ascii="Arial" w:hAnsi="Arial" w:cs="Arial"/>
          <w:sz w:val="20"/>
        </w:rPr>
        <w:t xml:space="preserve"> BU from the highest priority AC that is not delivery-enabled and that has a </w:t>
      </w:r>
      <w:r w:rsidR="003F51D8">
        <w:rPr>
          <w:rFonts w:ascii="Arial" w:hAnsi="Arial" w:cs="Arial"/>
          <w:sz w:val="20"/>
        </w:rPr>
        <w:t xml:space="preserve">buffered </w:t>
      </w:r>
      <w:r w:rsidR="003F51D8" w:rsidRPr="009B4517">
        <w:rPr>
          <w:rFonts w:ascii="Arial" w:hAnsi="Arial" w:cs="Arial"/>
          <w:sz w:val="20"/>
        </w:rPr>
        <w:t>BU</w:t>
      </w:r>
      <w:r w:rsidR="003F51D8">
        <w:rPr>
          <w:rFonts w:ascii="Arial" w:hAnsi="Arial" w:cs="Arial"/>
          <w:sz w:val="20"/>
        </w:rPr>
        <w:t>.</w:t>
      </w:r>
      <w:r>
        <w:rPr>
          <w:rFonts w:ascii="Arial" w:hAnsi="Arial" w:cs="Arial"/>
          <w:sz w:val="20"/>
        </w:rPr>
        <w:t>”</w:t>
      </w:r>
    </w:p>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68A66A9D" wp14:editId="53550005">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Pr="008D68ED" w:rsidRDefault="0062044E" w:rsidP="0062044E">
      <w:pPr>
        <w:rPr>
          <w:highlight w:val="green"/>
        </w:rPr>
      </w:pPr>
      <w:r w:rsidRPr="008D68ED">
        <w:rPr>
          <w:b/>
          <w:highlight w:val="green"/>
        </w:rPr>
        <w:t>Proposed resolution:</w:t>
      </w:r>
    </w:p>
    <w:p w:rsidR="0062044E" w:rsidRDefault="0062044E" w:rsidP="0062044E">
      <w:r w:rsidRPr="008D68ED">
        <w:rPr>
          <w:highlight w:val="green"/>
        </w:rP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 xml:space="preserve">A STA may use both WNM-sleep mode and PS mode simultaneously.” To “NOTE-- A STA </w:t>
      </w:r>
      <w:r w:rsidR="0001728E">
        <w:rPr>
          <w:rFonts w:ascii="Arial" w:hAnsi="Arial" w:cs="Arial"/>
          <w:sz w:val="20"/>
        </w:rPr>
        <w:t xml:space="preserve">can </w:t>
      </w:r>
      <w:r>
        <w:rPr>
          <w:rFonts w:ascii="Arial" w:hAnsi="Arial" w:cs="Arial"/>
          <w:sz w:val="20"/>
        </w:rPr>
        <w:t>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When TDLS is used without QoS,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QoS,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7EEEAABC" wp14:editId="2518F638">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Pr="008D68ED" w:rsidRDefault="00FC3E00" w:rsidP="00FC3E00">
      <w:pPr>
        <w:rPr>
          <w:highlight w:val="green"/>
        </w:rPr>
      </w:pPr>
      <w:r w:rsidRPr="008D68ED">
        <w:rPr>
          <w:b/>
          <w:highlight w:val="green"/>
        </w:rPr>
        <w:t>Proposed resolution:</w:t>
      </w:r>
    </w:p>
    <w:p w:rsidR="00FC3E00" w:rsidRDefault="00232048" w:rsidP="00FC3E00">
      <w:r w:rsidRPr="008D68ED">
        <w:rPr>
          <w:highlight w:val="green"/>
        </w:rPr>
        <w:t>R</w:t>
      </w:r>
      <w:r w:rsidR="00D82EEB" w:rsidRPr="008D68ED">
        <w:rPr>
          <w:highlight w:val="green"/>
        </w:rPr>
        <w:t>evised</w:t>
      </w:r>
      <w:r w:rsidR="00FC3E00" w:rsidRPr="008D68ED">
        <w:rPr>
          <w:highlight w:val="green"/>
        </w:rPr>
        <w:t>.</w:t>
      </w:r>
      <w:r w:rsidR="00FC3E00">
        <w:t xml:space="preserve"> </w:t>
      </w:r>
    </w:p>
    <w:p w:rsidR="00FC3E00" w:rsidRDefault="00D82EEB" w:rsidP="0062044E">
      <w:r>
        <w:t xml:space="preserve">At 1564.42, after the first sentence, add: </w:t>
      </w:r>
    </w:p>
    <w:p w:rsidR="00975F18" w:rsidRDefault="00D82EEB" w:rsidP="0062044E">
      <w:r>
        <w:t>“</w:t>
      </w:r>
      <w:r w:rsidR="00975F18">
        <w:t xml:space="preserve">A non-QoS STA shall set </w:t>
      </w:r>
      <w:r w:rsidR="00975F18" w:rsidRPr="00FC3E00">
        <w:t>dot11TDLSPeerUAPSDBufferSTAActivated</w:t>
      </w:r>
      <w:r w:rsidR="00975F18">
        <w:t xml:space="preserve"> to false.</w:t>
      </w:r>
      <w:r>
        <w:t>”</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ListenInterval of the STA for which the BUs are buffered".  Well, which is it?  Is the AP required to honour the ListenInterval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9AA8900" wp14:editId="2E56A9DB">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The cited text at 1561.9 is in 10.2.2.12 AP aging fnction</w:t>
      </w:r>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DBEFCC4" wp14:editId="32F3CC9C">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AP is required to honour the ListenInterval.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Pr="00DB15EA" w:rsidRDefault="00027712" w:rsidP="00027712">
      <w:pPr>
        <w:rPr>
          <w:highlight w:val="green"/>
        </w:rPr>
      </w:pPr>
      <w:r w:rsidRPr="00DB15EA">
        <w:rPr>
          <w:b/>
          <w:highlight w:val="green"/>
        </w:rPr>
        <w:t>Proposed resolution:</w:t>
      </w:r>
    </w:p>
    <w:p w:rsidR="00027712" w:rsidRDefault="00027712" w:rsidP="00027712">
      <w:r w:rsidRPr="00DB15EA">
        <w:rPr>
          <w:highlight w:val="green"/>
        </w:rPr>
        <w:t>Revised.</w:t>
      </w:r>
    </w:p>
    <w:p w:rsidR="00027712" w:rsidRPr="0095569C" w:rsidRDefault="00691C33" w:rsidP="00027712">
      <w:r>
        <w:t>At 1557.52</w:t>
      </w:r>
      <w:r w:rsidR="00027712">
        <w:t>, change “…</w:t>
      </w:r>
      <w:r>
        <w:rPr>
          <w:rFonts w:ascii="Arial" w:hAnsi="Arial" w:cs="Arial"/>
          <w:sz w:val="20"/>
        </w:rPr>
        <w:t xml:space="preserve">implementation dependent reasons, </w:t>
      </w:r>
      <w:r w:rsidR="00027712">
        <w:t>” To “…</w:t>
      </w:r>
      <w:r>
        <w:rPr>
          <w:rFonts w:ascii="Arial" w:hAnsi="Arial" w:cs="Arial"/>
          <w:sz w:val="20"/>
        </w:rPr>
        <w:t>implementation dependent reasons (</w:t>
      </w:r>
      <w:r w:rsidR="00027712">
        <w:t>subject to 10.2.2.12</w:t>
      </w:r>
      <w:r>
        <w:t>),</w:t>
      </w:r>
      <w:r w:rsidR="00027712">
        <w:t>”.</w:t>
      </w:r>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DFD5B9B" wp14:editId="0BB02879">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The the value of the “Overriden” is defined in Table 8-200:</w:t>
      </w:r>
    </w:p>
    <w:p w:rsidR="00776C67" w:rsidRDefault="00776C67" w:rsidP="002F1F70">
      <w:r>
        <w:rPr>
          <w:noProof/>
          <w:lang w:val="en-US" w:eastAsia="zh-CN"/>
        </w:rPr>
        <w:drawing>
          <wp:inline distT="0" distB="0" distL="0" distR="0" wp14:anchorId="000D514C" wp14:editId="19F491F3">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568FD9BD" wp14:editId="67A11393">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Resposne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highlight w:val="green"/>
        </w:rPr>
      </w:pPr>
      <w:r w:rsidRPr="00DB15EA">
        <w:rPr>
          <w:b/>
          <w:highlight w:val="green"/>
        </w:rPr>
        <w:t>Proposed resolution:</w:t>
      </w:r>
    </w:p>
    <w:p w:rsidR="002F1F70" w:rsidRDefault="00D31A86" w:rsidP="002F1F70">
      <w:r w:rsidRPr="00DB15EA">
        <w:rPr>
          <w:highlight w:val="green"/>
        </w:rPr>
        <w:t>Rejected.</w:t>
      </w:r>
    </w:p>
    <w:p w:rsidR="00D31A86" w:rsidRDefault="00D31A86" w:rsidP="00D31A86">
      <w:r>
        <w:t xml:space="preserve">The behaviour of </w:t>
      </w:r>
      <w:r w:rsidR="00007B37">
        <w:t>the STA</w:t>
      </w:r>
      <w:r>
        <w:t xml:space="preserve"> receiving “Overridden” </w:t>
      </w:r>
      <w:r w:rsidR="00BC7D36">
        <w:t xml:space="preserve">might be </w:t>
      </w:r>
      <w:r>
        <w:t xml:space="preserve"> different from the behaviour of </w:t>
      </w:r>
      <w:r w:rsidR="00007B37">
        <w:t xml:space="preserve">the STA </w:t>
      </w:r>
      <w:r>
        <w:t>receiving “Accept”</w:t>
      </w:r>
      <w:r w:rsidR="00BC7D36">
        <w:t>, see 1570.1</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F56F55">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Operation in deep sleep mode for nonpeer mesh STAs</w:t>
      </w:r>
      <w:r>
        <w:t>:</w:t>
      </w:r>
    </w:p>
    <w:p w:rsidR="00D81C55" w:rsidRDefault="00D81C55" w:rsidP="002F1F70">
      <w:r>
        <w:rPr>
          <w:noProof/>
          <w:lang w:val="en-US" w:eastAsia="zh-CN"/>
        </w:rPr>
        <w:drawing>
          <wp:inline distT="0" distB="0" distL="0" distR="0" wp14:anchorId="2978D5F4" wp14:editId="1BB4CC88">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Pr="00DB15EA" w:rsidRDefault="002F1F70" w:rsidP="002F1F70">
      <w:pPr>
        <w:rPr>
          <w:highlight w:val="green"/>
        </w:rPr>
      </w:pPr>
      <w:r w:rsidRPr="00DB15EA">
        <w:rPr>
          <w:b/>
          <w:highlight w:val="green"/>
        </w:rPr>
        <w:t>Proposed resolution:</w:t>
      </w:r>
    </w:p>
    <w:p w:rsidR="002F1F70" w:rsidRPr="007B19DC" w:rsidRDefault="002F1F70" w:rsidP="002F1F70">
      <w:r w:rsidRPr="00DB15EA">
        <w:rPr>
          <w:highlight w:val="green"/>
        </w:rPr>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Pr>
                <w:rFonts w:ascii="Arial" w:hAnsi="Arial" w:cs="Arial"/>
                <w:sz w:val="20"/>
              </w:rPr>
              <w:t>1566.17</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10.2.2.16</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"Terminate"s, the "Deny"s and some of the "Alternate preferred"s).  Need a NOTE to say that the receiver may use the additional information in some vendor-specific way.</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b/>
          <w:highlight w:val="green"/>
        </w:rPr>
      </w:pPr>
      <w:r w:rsidRPr="00DB15EA">
        <w:rPr>
          <w:b/>
          <w:highlight w:val="green"/>
        </w:rPr>
        <w:t>Proposed resolution:</w:t>
      </w:r>
    </w:p>
    <w:p w:rsidR="00A91190" w:rsidRPr="00A91190" w:rsidRDefault="00A91190" w:rsidP="002F1F70">
      <w:r w:rsidRPr="00DB15EA">
        <w:rPr>
          <w:highlight w:val="green"/>
        </w:rPr>
        <w:t>Rejected.</w:t>
      </w:r>
    </w:p>
    <w:p w:rsidR="00460089" w:rsidRDefault="00460089" w:rsidP="00A91190">
      <w:r>
        <w:t xml:space="preserve"> The implementation can use the additional information in an implementation specific way without needing an additional note.  </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F56F55">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F56F55">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and 13.14 are sufficient. There is no need to modle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r w:rsidR="00460089">
        <w:rPr>
          <w:b/>
        </w:rPr>
        <w:t xml:space="preserve">  assigned to </w:t>
      </w:r>
      <w:r w:rsidR="00845BCF">
        <w:rPr>
          <w:b/>
        </w:rPr>
        <w:t xml:space="preserve">the </w:t>
      </w:r>
      <w:r w:rsidR="00460089">
        <w:rPr>
          <w:b/>
        </w:rPr>
        <w:t>commenter (Mark R)</w:t>
      </w:r>
      <w:r w:rsidR="00845BCF">
        <w:rPr>
          <w:b/>
        </w:rPr>
        <w:t>, submission is required.</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Pr>
                <w:rFonts w:ascii="Arial" w:hAnsi="Arial" w:cs="Arial"/>
                <w:sz w:val="20"/>
              </w:rPr>
              <w:t>10.2</w:t>
            </w:r>
          </w:p>
          <w:p w:rsidR="00F33E0D" w:rsidRDefault="00F33E0D" w:rsidP="00F56F55">
            <w:pPr>
              <w:rPr>
                <w:rFonts w:ascii="Arial" w:hAnsi="Arial" w:cs="Arial"/>
                <w:sz w:val="20"/>
                <w:lang w:val="en-US"/>
              </w:rPr>
            </w:pP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F56F55">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modle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r w:rsidR="00845BCF">
        <w:rPr>
          <w:b/>
        </w:rPr>
        <w:t xml:space="preserve"> a submission is required, and assigned to Mark R.</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modle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.4</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sidRPr="00F33E0D">
              <w:rPr>
                <w:rFonts w:ascii="Arial" w:hAnsi="Arial" w:cs="Arial"/>
                <w:sz w:val="20"/>
              </w:rPr>
              <w:t>10.2.2.16.3</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F56F55">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5C12CF" w:rsidRDefault="005C12CF" w:rsidP="00F33E0D"/>
    <w:p w:rsidR="005C12CF" w:rsidRDefault="005C12CF" w:rsidP="00F33E0D">
      <w:r>
        <w:t>There are two possible solutions:</w:t>
      </w:r>
    </w:p>
    <w:p w:rsidR="005C12CF" w:rsidRDefault="005C12CF" w:rsidP="00F33E0D">
      <w:r>
        <w:t xml:space="preserve">Option 1: add FMSID in the FMS subelement, if there is no any implemention existing today. </w:t>
      </w:r>
    </w:p>
    <w:p w:rsidR="005C12CF" w:rsidRDefault="005C12CF" w:rsidP="00F33E0D">
      <w:r>
        <w:t xml:space="preserve">Option 2: remove FMSID in the cited sentence, if there is any implenention existing and clearly the FMSID is not needed.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5C12CF" w:rsidRDefault="005C12CF" w:rsidP="00DB15EA">
      <w:r w:rsidRPr="00DB15EA">
        <w:t xml:space="preserve">My recommendation is option 2. </w:t>
      </w:r>
    </w:p>
    <w:p w:rsidR="0041414F" w:rsidRDefault="007275A5" w:rsidP="0041414F">
      <w:r>
        <w:t>Rationale: The FMS subelement without FMSID should be sufficient to identify a</w:t>
      </w:r>
      <w:r w:rsidR="00B274E3">
        <w:t>n</w:t>
      </w:r>
      <w:r>
        <w:t xml:space="preserve"> FMS stream. The FMSID is just a value assigned by the AP. </w:t>
      </w:r>
      <w:r w:rsidR="0041414F">
        <w:t>Each FMS subelement identifies an FMS stream…</w:t>
      </w:r>
    </w:p>
    <w:p w:rsidR="0041414F" w:rsidRDefault="0041414F" w:rsidP="0041414F"/>
    <w:p w:rsidR="005C12CF" w:rsidRDefault="007275A5" w:rsidP="00DB15EA">
      <w:r>
        <w:t>s</w:t>
      </w:r>
      <w:r w:rsidR="005C12CF">
        <w:t xml:space="preserve">ee </w:t>
      </w:r>
      <w:r w:rsidR="0041414F">
        <w:t xml:space="preserve">1566.61 and </w:t>
      </w:r>
      <w:r>
        <w:t xml:space="preserve">1567.16: </w:t>
      </w:r>
    </w:p>
    <w:p w:rsidR="00B17515" w:rsidRDefault="00B17515" w:rsidP="00B17515">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lang w:eastAsia="zh-CN"/>
        </w:rPr>
        <w:drawing>
          <wp:inline distT="0" distB="0" distL="0" distR="0" wp14:anchorId="6AE92FE6" wp14:editId="0EDF743F">
            <wp:extent cx="5608320" cy="1051560"/>
            <wp:effectExtent l="0" t="0" r="0" b="0"/>
            <wp:docPr id="11" name="Picture 11" descr="C:\Users\ehqi\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qi\AppData\Local\Temp\msohtmlclip1\02\clip_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1051560"/>
                    </a:xfrm>
                    <a:prstGeom prst="rect">
                      <a:avLst/>
                    </a:prstGeom>
                    <a:noFill/>
                    <a:ln>
                      <a:noFill/>
                    </a:ln>
                  </pic:spPr>
                </pic:pic>
              </a:graphicData>
            </a:graphic>
          </wp:inline>
        </w:drawing>
      </w:r>
    </w:p>
    <w:p w:rsidR="0041414F" w:rsidRDefault="00B17515" w:rsidP="00DB15EA">
      <w:r>
        <w:rPr>
          <w:rFonts w:ascii="Calibri" w:hAnsi="Calibri"/>
          <w:color w:val="000000"/>
          <w:szCs w:val="22"/>
        </w:rPr>
        <w:t> </w:t>
      </w:r>
    </w:p>
    <w:p w:rsidR="005C12CF" w:rsidRPr="00DB15EA" w:rsidRDefault="005C12CF" w:rsidP="00DB15EA">
      <w:r>
        <w:rPr>
          <w:noProof/>
          <w:lang w:val="en-US" w:eastAsia="zh-CN"/>
        </w:rPr>
        <w:drawing>
          <wp:inline distT="0" distB="0" distL="0" distR="0" wp14:anchorId="02173D8D" wp14:editId="50A0E9EB">
            <wp:extent cx="5943600" cy="153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30350"/>
                    </a:xfrm>
                    <a:prstGeom prst="rect">
                      <a:avLst/>
                    </a:prstGeom>
                  </pic:spPr>
                </pic:pic>
              </a:graphicData>
            </a:graphic>
          </wp:inline>
        </w:drawing>
      </w:r>
    </w:p>
    <w:p w:rsidR="005C12CF" w:rsidRDefault="005C12CF" w:rsidP="00F33E0D">
      <w:pPr>
        <w:pStyle w:val="NormalWeb"/>
        <w:spacing w:before="0" w:beforeAutospacing="0" w:after="0" w:afterAutospacing="0"/>
        <w:rPr>
          <w:rFonts w:ascii="Calibri" w:hAnsi="Calibri"/>
          <w:color w:val="595959"/>
          <w:sz w:val="18"/>
          <w:szCs w:val="18"/>
        </w:rPr>
      </w:pPr>
    </w:p>
    <w:p w:rsidR="007275A5" w:rsidRDefault="007275A5" w:rsidP="00F33E0D">
      <w:pPr>
        <w:rPr>
          <w:b/>
        </w:rPr>
      </w:pPr>
    </w:p>
    <w:p w:rsidR="00F33E0D" w:rsidRPr="00A046A1" w:rsidRDefault="00F33E0D" w:rsidP="00F33E0D">
      <w:pPr>
        <w:rPr>
          <w:highlight w:val="green"/>
        </w:rPr>
      </w:pPr>
      <w:r w:rsidRPr="00A046A1">
        <w:rPr>
          <w:b/>
          <w:highlight w:val="green"/>
        </w:rPr>
        <w:t>Proposed resolution:</w:t>
      </w:r>
      <w:r w:rsidR="007D1C3A" w:rsidRPr="00A046A1">
        <w:rPr>
          <w:b/>
          <w:highlight w:val="green"/>
        </w:rPr>
        <w:t xml:space="preserve"> </w:t>
      </w:r>
    </w:p>
    <w:p w:rsidR="00F33E0D" w:rsidRDefault="00834DAC" w:rsidP="0062044E">
      <w:r w:rsidRPr="00A046A1">
        <w:rPr>
          <w:highlight w:val="green"/>
        </w:rPr>
        <w:t>Revised.</w:t>
      </w:r>
    </w:p>
    <w:p w:rsidR="00834DAC" w:rsidRDefault="00834DAC" w:rsidP="0062044E">
      <w:r>
        <w:lastRenderedPageBreak/>
        <w:t>At 939.4 Figure 8-407, between the fields “Rate Identification”</w:t>
      </w:r>
      <w:r w:rsidR="001B7941">
        <w:t xml:space="preserve"> and </w:t>
      </w:r>
      <w:r w:rsidR="005C12CF">
        <w:t>“</w:t>
      </w:r>
      <w:r w:rsidR="001B7941" w:rsidRPr="001B7941">
        <w:t>TCLAS Elements</w:t>
      </w:r>
      <w:r w:rsidR="005C12CF">
        <w:t>”</w:t>
      </w:r>
      <w:r>
        <w:t xml:space="preserve">, add the field “FMSID”, the length </w:t>
      </w:r>
      <w:r w:rsidR="00D614D8">
        <w:t xml:space="preserve">of this new field </w:t>
      </w:r>
      <w:r>
        <w:t xml:space="preserve">is 1 octet. </w:t>
      </w:r>
    </w:p>
    <w:p w:rsidR="00834DAC" w:rsidRDefault="00834DAC" w:rsidP="0062044E">
      <w:bookmarkStart w:id="1" w:name="_GoBack"/>
      <w:bookmarkEnd w:id="1"/>
    </w:p>
    <w:p w:rsidR="00834DAC" w:rsidRDefault="00834DAC" w:rsidP="0062044E">
      <w:r>
        <w:t>At 939.</w:t>
      </w:r>
      <w:r w:rsidR="001B7941">
        <w:t>23</w:t>
      </w:r>
      <w:r>
        <w:t>, add a new paragraph:</w:t>
      </w:r>
    </w:p>
    <w:p w:rsidR="00834DAC" w:rsidRDefault="00834DAC" w:rsidP="00834DAC">
      <w:r>
        <w:t>“</w:t>
      </w:r>
      <w:r w:rsidRPr="00834DAC">
        <w:t xml:space="preserve">The FMSID field </w:t>
      </w:r>
      <w:r>
        <w:t xml:space="preserve">contains a unique identifier for this stream. If this is a new request, the FMSID field is </w:t>
      </w:r>
      <w:r w:rsidR="00C17C91">
        <w:t>reserved.</w:t>
      </w:r>
      <w:r>
        <w:t xml:space="preserve">. Otherwise, the FMSID is set to the value assigned by the AP in the FMS Response element.” </w:t>
      </w:r>
    </w:p>
    <w:p w:rsidR="001B7941" w:rsidRDefault="001B7941"/>
    <w:p w:rsidR="005C12CF" w:rsidRDefault="005C12CF" w:rsidP="001B7941"/>
    <w:p w:rsidR="00F33E0D" w:rsidRDefault="00F33E0D" w:rsidP="005C12CF">
      <w:r>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F56F55">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Does SMPS work for non-infrastructure BSSes (inc. IBSS, PBSS and MBSS)?</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Add words to the effect that SMPS is only applicable to infrastructure BSSen</w:t>
            </w:r>
          </w:p>
          <w:p w:rsidR="00F33E0D" w:rsidRPr="002B10B7" w:rsidRDefault="00F33E0D"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Pr="00534659" w:rsidRDefault="00F33E0D" w:rsidP="00F33E0D">
      <w:pPr>
        <w:rPr>
          <w:b/>
          <w:highlight w:val="green"/>
        </w:rPr>
      </w:pPr>
      <w:r w:rsidRPr="00534659">
        <w:rPr>
          <w:b/>
          <w:highlight w:val="green"/>
        </w:rPr>
        <w:t>Proposed resolution:</w:t>
      </w:r>
    </w:p>
    <w:p w:rsidR="009221A9" w:rsidRPr="009221A9" w:rsidRDefault="009221A9" w:rsidP="00F33E0D">
      <w:r w:rsidRPr="00534659">
        <w:rPr>
          <w:highlight w:val="green"/>
        </w:rPr>
        <w:t>Revised</w:t>
      </w:r>
    </w:p>
    <w:p w:rsidR="007B19DC" w:rsidRDefault="009221A9" w:rsidP="009221A9">
      <w:r w:rsidRPr="009221A9">
        <w:t xml:space="preserve">At 1578.22, change </w:t>
      </w:r>
    </w:p>
    <w:p w:rsidR="007B19DC" w:rsidRDefault="009221A9" w:rsidP="009221A9">
      <w:r w:rsidRPr="009221A9">
        <w:t>“The SM power save feature allows a non-AP HT STA to operate with only one</w:t>
      </w:r>
      <w:r w:rsidR="007B19DC">
        <w:t xml:space="preserve"> </w:t>
      </w:r>
      <w:r w:rsidRPr="009221A9">
        <w:t xml:space="preserve">active receive chain for a significant portion of time.” To </w:t>
      </w:r>
    </w:p>
    <w:p w:rsidR="009221A9" w:rsidRPr="009221A9" w:rsidRDefault="009221A9" w:rsidP="009221A9">
      <w:r w:rsidRPr="009221A9">
        <w:t xml:space="preserve">“The SM power save feature allows a non-AP HT STA </w:t>
      </w:r>
      <w:r w:rsidR="00413861">
        <w:t xml:space="preserve">in an </w:t>
      </w:r>
      <w:r w:rsidR="00413861" w:rsidRPr="007B19DC">
        <w:t>infrastructure BSS</w:t>
      </w:r>
      <w:r w:rsidR="00413861">
        <w:t xml:space="preserve"> </w:t>
      </w:r>
      <w:r w:rsidRPr="009221A9">
        <w:t>to operate with only one</w:t>
      </w:r>
      <w:r>
        <w:t xml:space="preserve"> </w:t>
      </w:r>
      <w:r w:rsidRPr="009221A9">
        <w:t>active receive chain fo</w:t>
      </w:r>
      <w:r w:rsidR="007B19DC">
        <w:t>r a significant portion of time</w:t>
      </w:r>
      <w:r w:rsidR="007B19DC" w:rsidRPr="007B19DC">
        <w:t>.</w:t>
      </w:r>
      <w:r w:rsidR="007B19DC">
        <w:t>”</w:t>
      </w:r>
    </w:p>
    <w:p w:rsidR="00F33E0D" w:rsidRDefault="00F33E0D" w:rsidP="00F33E0D"/>
    <w:p w:rsidR="00413861" w:rsidRDefault="00413861" w:rsidP="00F33E0D">
      <w:r>
        <w:t xml:space="preserve">At 1578.59, Change </w:t>
      </w:r>
    </w:p>
    <w:p w:rsidR="00413861" w:rsidRDefault="00413861" w:rsidP="00F33E0D">
      <w:r>
        <w:t>“</w:t>
      </w:r>
      <w:r w:rsidRPr="00413861">
        <w:t>A STA that has one or more DLS links shall not operate in SM power save mode.</w:t>
      </w:r>
      <w:r>
        <w:t>”</w:t>
      </w:r>
    </w:p>
    <w:p w:rsidR="00413861" w:rsidRDefault="00413861" w:rsidP="00F33E0D">
      <w:r>
        <w:t xml:space="preserve">To </w:t>
      </w:r>
    </w:p>
    <w:p w:rsidR="00413861" w:rsidRPr="0095569C" w:rsidRDefault="00534659" w:rsidP="00F33E0D">
      <w:r>
        <w:t>“</w:t>
      </w:r>
      <w:r w:rsidR="00413861" w:rsidRPr="00413861">
        <w:t>A STA that has one or more DLS</w:t>
      </w:r>
      <w:r w:rsidR="00413861">
        <w:t xml:space="preserve"> or TDLS</w:t>
      </w:r>
      <w:r w:rsidR="00413861" w:rsidRPr="00413861">
        <w:t xml:space="preserve"> links shall not operate in SM power save mode.</w:t>
      </w:r>
      <w:r w:rsidR="00413861">
        <w:t>”</w:t>
      </w:r>
    </w:p>
    <w:p w:rsidR="00F33E0D" w:rsidRPr="0095569C" w:rsidRDefault="00F33E0D" w:rsidP="0062044E"/>
    <w:sectPr w:rsidR="00F33E0D" w:rsidRPr="0095569C">
      <w:headerReference w:type="default" r:id="rId30"/>
      <w:footerReference w:type="default" r:id="rId3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7C1" w:rsidRDefault="00AD57C1">
      <w:r>
        <w:separator/>
      </w:r>
    </w:p>
  </w:endnote>
  <w:endnote w:type="continuationSeparator" w:id="0">
    <w:p w:rsidR="00AD57C1" w:rsidRDefault="00AD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B1" w:rsidRDefault="00CE6BB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9185E">
      <w:rPr>
        <w:noProof/>
      </w:rPr>
      <w:t>26</w:t>
    </w:r>
    <w:r>
      <w:fldChar w:fldCharType="end"/>
    </w:r>
    <w:r>
      <w:tab/>
      <w:t>Emily Qi, Intel Corporation</w:t>
    </w:r>
  </w:p>
  <w:p w:rsidR="00CE6BB1" w:rsidRDefault="00CE6B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7C1" w:rsidRDefault="00AD57C1">
      <w:r>
        <w:separator/>
      </w:r>
    </w:p>
  </w:footnote>
  <w:footnote w:type="continuationSeparator" w:id="0">
    <w:p w:rsidR="00AD57C1" w:rsidRDefault="00AD5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B1" w:rsidRDefault="00CE6BB1">
    <w:pPr>
      <w:pStyle w:val="Header"/>
      <w:tabs>
        <w:tab w:val="clear" w:pos="6480"/>
        <w:tab w:val="center" w:pos="4680"/>
        <w:tab w:val="right" w:pos="9360"/>
      </w:tabs>
    </w:pPr>
    <w:r>
      <w:t>December 2015</w:t>
    </w:r>
    <w:r>
      <w:tab/>
    </w:r>
    <w:r>
      <w:tab/>
    </w:r>
    <w:fldSimple w:instr=" TITLE  \* MERGEFORMAT ">
      <w:r>
        <w:t>doc.: IEEE 802.11-15/1180r</w:t>
      </w:r>
    </w:fldSimple>
    <w:r w:rsidR="0040009C">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1728E"/>
    <w:rsid w:val="00025B68"/>
    <w:rsid w:val="00027712"/>
    <w:rsid w:val="00034B7F"/>
    <w:rsid w:val="00057AC2"/>
    <w:rsid w:val="00063508"/>
    <w:rsid w:val="00071CCF"/>
    <w:rsid w:val="00071F40"/>
    <w:rsid w:val="000909AB"/>
    <w:rsid w:val="00090D55"/>
    <w:rsid w:val="000A09E7"/>
    <w:rsid w:val="000B2E75"/>
    <w:rsid w:val="000C3C8A"/>
    <w:rsid w:val="000F6140"/>
    <w:rsid w:val="00100D42"/>
    <w:rsid w:val="00104F06"/>
    <w:rsid w:val="00132ACF"/>
    <w:rsid w:val="001422B5"/>
    <w:rsid w:val="0015721A"/>
    <w:rsid w:val="001652C1"/>
    <w:rsid w:val="001A4691"/>
    <w:rsid w:val="001B6068"/>
    <w:rsid w:val="001B7941"/>
    <w:rsid w:val="001C3A4D"/>
    <w:rsid w:val="001D550F"/>
    <w:rsid w:val="001D6798"/>
    <w:rsid w:val="001D723B"/>
    <w:rsid w:val="001F580E"/>
    <w:rsid w:val="0021637D"/>
    <w:rsid w:val="00232048"/>
    <w:rsid w:val="00234275"/>
    <w:rsid w:val="00243AA5"/>
    <w:rsid w:val="00262FA4"/>
    <w:rsid w:val="002818DB"/>
    <w:rsid w:val="0029020B"/>
    <w:rsid w:val="002943C8"/>
    <w:rsid w:val="002A7403"/>
    <w:rsid w:val="002C02F7"/>
    <w:rsid w:val="002C056D"/>
    <w:rsid w:val="002D1C0E"/>
    <w:rsid w:val="002D2A75"/>
    <w:rsid w:val="002D3B8A"/>
    <w:rsid w:val="002D44BE"/>
    <w:rsid w:val="002F1F70"/>
    <w:rsid w:val="002F4C3E"/>
    <w:rsid w:val="00302E39"/>
    <w:rsid w:val="0030300E"/>
    <w:rsid w:val="003127CF"/>
    <w:rsid w:val="003157BD"/>
    <w:rsid w:val="0034087D"/>
    <w:rsid w:val="00344762"/>
    <w:rsid w:val="003544BF"/>
    <w:rsid w:val="00357A6C"/>
    <w:rsid w:val="0036571D"/>
    <w:rsid w:val="00380721"/>
    <w:rsid w:val="00380C5C"/>
    <w:rsid w:val="00383574"/>
    <w:rsid w:val="003836B7"/>
    <w:rsid w:val="0038744D"/>
    <w:rsid w:val="003A1899"/>
    <w:rsid w:val="003A25C3"/>
    <w:rsid w:val="003A3F32"/>
    <w:rsid w:val="003B0B95"/>
    <w:rsid w:val="003B2FAB"/>
    <w:rsid w:val="003B7EAB"/>
    <w:rsid w:val="003E1D42"/>
    <w:rsid w:val="003F51D8"/>
    <w:rsid w:val="003F776F"/>
    <w:rsid w:val="0040009C"/>
    <w:rsid w:val="004034BF"/>
    <w:rsid w:val="004055B9"/>
    <w:rsid w:val="00413861"/>
    <w:rsid w:val="00413B70"/>
    <w:rsid w:val="0041414F"/>
    <w:rsid w:val="0041733A"/>
    <w:rsid w:val="004263B5"/>
    <w:rsid w:val="00436027"/>
    <w:rsid w:val="00442037"/>
    <w:rsid w:val="00445FB9"/>
    <w:rsid w:val="00450302"/>
    <w:rsid w:val="00460089"/>
    <w:rsid w:val="00461DFE"/>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4094"/>
    <w:rsid w:val="0052523E"/>
    <w:rsid w:val="00534659"/>
    <w:rsid w:val="005459DE"/>
    <w:rsid w:val="00550E9B"/>
    <w:rsid w:val="00555F18"/>
    <w:rsid w:val="0057551E"/>
    <w:rsid w:val="00576F24"/>
    <w:rsid w:val="00594B1C"/>
    <w:rsid w:val="00596B70"/>
    <w:rsid w:val="005A0512"/>
    <w:rsid w:val="005A45FB"/>
    <w:rsid w:val="005C12CF"/>
    <w:rsid w:val="005E3FCD"/>
    <w:rsid w:val="005E6389"/>
    <w:rsid w:val="005F66A8"/>
    <w:rsid w:val="00601DE2"/>
    <w:rsid w:val="0061276E"/>
    <w:rsid w:val="006167C7"/>
    <w:rsid w:val="0062044E"/>
    <w:rsid w:val="0062440B"/>
    <w:rsid w:val="00632D86"/>
    <w:rsid w:val="00640A20"/>
    <w:rsid w:val="00647C1E"/>
    <w:rsid w:val="00651E45"/>
    <w:rsid w:val="00652522"/>
    <w:rsid w:val="00653CB2"/>
    <w:rsid w:val="00672858"/>
    <w:rsid w:val="0067415C"/>
    <w:rsid w:val="0068221F"/>
    <w:rsid w:val="00683963"/>
    <w:rsid w:val="00691C33"/>
    <w:rsid w:val="006941EF"/>
    <w:rsid w:val="006B66AC"/>
    <w:rsid w:val="006C0727"/>
    <w:rsid w:val="006C3EB1"/>
    <w:rsid w:val="006E145F"/>
    <w:rsid w:val="00715D5B"/>
    <w:rsid w:val="007275A5"/>
    <w:rsid w:val="00731C7A"/>
    <w:rsid w:val="00733B9E"/>
    <w:rsid w:val="00734EE5"/>
    <w:rsid w:val="00752010"/>
    <w:rsid w:val="00770572"/>
    <w:rsid w:val="00776C67"/>
    <w:rsid w:val="00787415"/>
    <w:rsid w:val="0079185E"/>
    <w:rsid w:val="00792EBA"/>
    <w:rsid w:val="007B0A38"/>
    <w:rsid w:val="007B19DC"/>
    <w:rsid w:val="007B281B"/>
    <w:rsid w:val="007B7530"/>
    <w:rsid w:val="007C0A90"/>
    <w:rsid w:val="007C4D42"/>
    <w:rsid w:val="007D1C3A"/>
    <w:rsid w:val="007E0846"/>
    <w:rsid w:val="007F19E5"/>
    <w:rsid w:val="007F338B"/>
    <w:rsid w:val="007F52D6"/>
    <w:rsid w:val="007F551D"/>
    <w:rsid w:val="007F7BE2"/>
    <w:rsid w:val="008224AA"/>
    <w:rsid w:val="00832E70"/>
    <w:rsid w:val="00834DAC"/>
    <w:rsid w:val="00845BCF"/>
    <w:rsid w:val="00847743"/>
    <w:rsid w:val="00863E65"/>
    <w:rsid w:val="00870A3C"/>
    <w:rsid w:val="0087425D"/>
    <w:rsid w:val="0087439B"/>
    <w:rsid w:val="008841E2"/>
    <w:rsid w:val="00885B2D"/>
    <w:rsid w:val="008912A7"/>
    <w:rsid w:val="00895200"/>
    <w:rsid w:val="00897958"/>
    <w:rsid w:val="008B5462"/>
    <w:rsid w:val="008C43FA"/>
    <w:rsid w:val="008C7F2C"/>
    <w:rsid w:val="008D2AD0"/>
    <w:rsid w:val="008D484E"/>
    <w:rsid w:val="008D62C4"/>
    <w:rsid w:val="008D68ED"/>
    <w:rsid w:val="008E2C6E"/>
    <w:rsid w:val="008E3C45"/>
    <w:rsid w:val="00914F68"/>
    <w:rsid w:val="009221A9"/>
    <w:rsid w:val="00945EEE"/>
    <w:rsid w:val="0095205C"/>
    <w:rsid w:val="0095569C"/>
    <w:rsid w:val="00957AE4"/>
    <w:rsid w:val="00966FC1"/>
    <w:rsid w:val="009720E9"/>
    <w:rsid w:val="00975F18"/>
    <w:rsid w:val="00982F9A"/>
    <w:rsid w:val="009832EF"/>
    <w:rsid w:val="00983755"/>
    <w:rsid w:val="009A0193"/>
    <w:rsid w:val="009A1340"/>
    <w:rsid w:val="009A1942"/>
    <w:rsid w:val="009A318A"/>
    <w:rsid w:val="009A4564"/>
    <w:rsid w:val="009B1216"/>
    <w:rsid w:val="009B15CF"/>
    <w:rsid w:val="009B4517"/>
    <w:rsid w:val="009B75E9"/>
    <w:rsid w:val="009C1A6E"/>
    <w:rsid w:val="009D4759"/>
    <w:rsid w:val="009D5EC4"/>
    <w:rsid w:val="009E5E99"/>
    <w:rsid w:val="009E7783"/>
    <w:rsid w:val="009F2891"/>
    <w:rsid w:val="009F2FBC"/>
    <w:rsid w:val="00A046A1"/>
    <w:rsid w:val="00A04795"/>
    <w:rsid w:val="00A11A23"/>
    <w:rsid w:val="00A11ED6"/>
    <w:rsid w:val="00A233A3"/>
    <w:rsid w:val="00A239F7"/>
    <w:rsid w:val="00A452D9"/>
    <w:rsid w:val="00A50689"/>
    <w:rsid w:val="00A70E57"/>
    <w:rsid w:val="00A725A2"/>
    <w:rsid w:val="00A75B9D"/>
    <w:rsid w:val="00A91190"/>
    <w:rsid w:val="00AA427C"/>
    <w:rsid w:val="00AB4086"/>
    <w:rsid w:val="00AB5E99"/>
    <w:rsid w:val="00AD57C1"/>
    <w:rsid w:val="00B0321E"/>
    <w:rsid w:val="00B17515"/>
    <w:rsid w:val="00B24B56"/>
    <w:rsid w:val="00B274E3"/>
    <w:rsid w:val="00B27BC3"/>
    <w:rsid w:val="00B415DD"/>
    <w:rsid w:val="00B66B43"/>
    <w:rsid w:val="00B708F4"/>
    <w:rsid w:val="00B7259D"/>
    <w:rsid w:val="00B82103"/>
    <w:rsid w:val="00B84347"/>
    <w:rsid w:val="00BB0D6F"/>
    <w:rsid w:val="00BC5273"/>
    <w:rsid w:val="00BC7D36"/>
    <w:rsid w:val="00BD7890"/>
    <w:rsid w:val="00BE1E41"/>
    <w:rsid w:val="00BE68C2"/>
    <w:rsid w:val="00C116F0"/>
    <w:rsid w:val="00C17C91"/>
    <w:rsid w:val="00C24A0E"/>
    <w:rsid w:val="00C25A17"/>
    <w:rsid w:val="00C25A9D"/>
    <w:rsid w:val="00C2657C"/>
    <w:rsid w:val="00C4717E"/>
    <w:rsid w:val="00C71C1B"/>
    <w:rsid w:val="00C76FC2"/>
    <w:rsid w:val="00C843ED"/>
    <w:rsid w:val="00C9319E"/>
    <w:rsid w:val="00CA09B2"/>
    <w:rsid w:val="00CB6C85"/>
    <w:rsid w:val="00CC32C2"/>
    <w:rsid w:val="00CE6BB1"/>
    <w:rsid w:val="00CE7A48"/>
    <w:rsid w:val="00CF23EC"/>
    <w:rsid w:val="00D124A8"/>
    <w:rsid w:val="00D16076"/>
    <w:rsid w:val="00D16896"/>
    <w:rsid w:val="00D31A86"/>
    <w:rsid w:val="00D32179"/>
    <w:rsid w:val="00D453A5"/>
    <w:rsid w:val="00D614D8"/>
    <w:rsid w:val="00D70C69"/>
    <w:rsid w:val="00D72746"/>
    <w:rsid w:val="00D773A6"/>
    <w:rsid w:val="00D81C55"/>
    <w:rsid w:val="00D82EEB"/>
    <w:rsid w:val="00D87128"/>
    <w:rsid w:val="00D92613"/>
    <w:rsid w:val="00DB15EA"/>
    <w:rsid w:val="00DB1AD9"/>
    <w:rsid w:val="00DC17C3"/>
    <w:rsid w:val="00DC4F89"/>
    <w:rsid w:val="00DC5A7B"/>
    <w:rsid w:val="00DD545E"/>
    <w:rsid w:val="00DD5D9D"/>
    <w:rsid w:val="00DE49F4"/>
    <w:rsid w:val="00DF188D"/>
    <w:rsid w:val="00E11C7D"/>
    <w:rsid w:val="00E202FB"/>
    <w:rsid w:val="00E20DC0"/>
    <w:rsid w:val="00E21F2B"/>
    <w:rsid w:val="00E56CFB"/>
    <w:rsid w:val="00E56F6A"/>
    <w:rsid w:val="00E72E54"/>
    <w:rsid w:val="00E76FC9"/>
    <w:rsid w:val="00E86A4E"/>
    <w:rsid w:val="00E9206D"/>
    <w:rsid w:val="00EA5868"/>
    <w:rsid w:val="00EB0502"/>
    <w:rsid w:val="00EB3A69"/>
    <w:rsid w:val="00EC719C"/>
    <w:rsid w:val="00EF7E3F"/>
    <w:rsid w:val="00F0217E"/>
    <w:rsid w:val="00F11F16"/>
    <w:rsid w:val="00F14AC6"/>
    <w:rsid w:val="00F2281E"/>
    <w:rsid w:val="00F302B1"/>
    <w:rsid w:val="00F311DD"/>
    <w:rsid w:val="00F32484"/>
    <w:rsid w:val="00F33E0D"/>
    <w:rsid w:val="00F35103"/>
    <w:rsid w:val="00F46B11"/>
    <w:rsid w:val="00F56F55"/>
    <w:rsid w:val="00F60397"/>
    <w:rsid w:val="00F6490B"/>
    <w:rsid w:val="00F64F63"/>
    <w:rsid w:val="00F84932"/>
    <w:rsid w:val="00F97038"/>
    <w:rsid w:val="00FA0337"/>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 w:type="paragraph" w:customStyle="1" w:styleId="TableTitle">
    <w:name w:val="TableTitle"/>
    <w:next w:val="Normal"/>
    <w:uiPriority w:val="99"/>
    <w:rsid w:val="00E11C7D"/>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E11C7D"/>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E11C7D"/>
    <w:pPr>
      <w:widowControl w:val="0"/>
      <w:autoSpaceDE w:val="0"/>
      <w:autoSpaceDN w:val="0"/>
      <w:adjustRightInd w:val="0"/>
      <w:spacing w:line="200" w:lineRule="atLeast"/>
    </w:pPr>
    <w:rPr>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05986993">
      <w:bodyDiv w:val="1"/>
      <w:marLeft w:val="0"/>
      <w:marRight w:val="0"/>
      <w:marTop w:val="0"/>
      <w:marBottom w:val="0"/>
      <w:divBdr>
        <w:top w:val="none" w:sz="0" w:space="0" w:color="auto"/>
        <w:left w:val="none" w:sz="0" w:space="0" w:color="auto"/>
        <w:bottom w:val="none" w:sz="0" w:space="0" w:color="auto"/>
        <w:right w:val="none" w:sz="0" w:space="0" w:color="auto"/>
      </w:divBdr>
      <w:divsChild>
        <w:div w:id="873692405">
          <w:marLeft w:val="0"/>
          <w:marRight w:val="0"/>
          <w:marTop w:val="0"/>
          <w:marBottom w:val="0"/>
          <w:divBdr>
            <w:top w:val="none" w:sz="0" w:space="0" w:color="auto"/>
            <w:left w:val="none" w:sz="0" w:space="0" w:color="auto"/>
            <w:bottom w:val="none" w:sz="0" w:space="0" w:color="auto"/>
            <w:right w:val="none" w:sz="0" w:space="0" w:color="auto"/>
          </w:divBdr>
          <w:divsChild>
            <w:div w:id="484131652">
              <w:marLeft w:val="0"/>
              <w:marRight w:val="0"/>
              <w:marTop w:val="0"/>
              <w:marBottom w:val="0"/>
              <w:divBdr>
                <w:top w:val="none" w:sz="0" w:space="0" w:color="auto"/>
                <w:left w:val="none" w:sz="0" w:space="0" w:color="auto"/>
                <w:bottom w:val="none" w:sz="0" w:space="0" w:color="auto"/>
                <w:right w:val="none" w:sz="0" w:space="0" w:color="auto"/>
              </w:divBdr>
              <w:divsChild>
                <w:div w:id="833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1</TotalTime>
  <Pages>28</Pages>
  <Words>3120</Words>
  <Characters>17787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20866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2</cp:revision>
  <cp:lastPrinted>2015-06-05T16:59:00Z</cp:lastPrinted>
  <dcterms:created xsi:type="dcterms:W3CDTF">2015-12-07T22:29:00Z</dcterms:created>
  <dcterms:modified xsi:type="dcterms:W3CDTF">2015-12-07T22:29:00Z</dcterms:modified>
</cp:coreProperties>
</file>