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36748BE2" w:rsidR="00CA09B2" w:rsidRDefault="00F5345B" w:rsidP="006F0283">
            <w:pPr>
              <w:pStyle w:val="T2"/>
              <w:rPr>
                <w:lang w:eastAsia="zh-HK"/>
              </w:rPr>
            </w:pPr>
            <w:r>
              <w:rPr>
                <w:lang w:eastAsia="zh-HK"/>
              </w:rPr>
              <w:t>Comment resolution to SB comments with CIDs 5174 and 5184</w:t>
            </w:r>
          </w:p>
        </w:tc>
      </w:tr>
      <w:tr w:rsidR="00CA09B2" w14:paraId="426547A9" w14:textId="77777777" w:rsidTr="00A525F0">
        <w:trPr>
          <w:trHeight w:val="359"/>
          <w:jc w:val="center"/>
        </w:trPr>
        <w:tc>
          <w:tcPr>
            <w:tcW w:w="9576" w:type="dxa"/>
            <w:gridSpan w:val="5"/>
            <w:vAlign w:val="center"/>
          </w:tcPr>
          <w:p w14:paraId="5A8BDB34" w14:textId="6598A461"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B638F7">
              <w:rPr>
                <w:b w:val="0"/>
                <w:sz w:val="24"/>
                <w:szCs w:val="24"/>
                <w:lang w:eastAsia="zh-HK"/>
              </w:rPr>
              <w:t>06</w:t>
            </w:r>
            <w:r w:rsidR="00965FF9" w:rsidRPr="00977061">
              <w:rPr>
                <w:b w:val="0"/>
                <w:sz w:val="24"/>
                <w:szCs w:val="24"/>
              </w:rPr>
              <w:t>-</w:t>
            </w:r>
            <w:r w:rsidR="00B638F7">
              <w:rPr>
                <w:b w:val="0"/>
                <w:sz w:val="24"/>
                <w:szCs w:val="24"/>
                <w:lang w:eastAsia="zh-HK"/>
              </w:rPr>
              <w:t>19</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1F6B0B1B" w:rsidR="00CA09B2" w:rsidRPr="0082092B" w:rsidRDefault="008A1D87" w:rsidP="00A525F0">
            <w:pPr>
              <w:pStyle w:val="T2"/>
              <w:spacing w:after="0"/>
              <w:ind w:left="0" w:right="0"/>
              <w:jc w:val="left"/>
              <w:rPr>
                <w:b w:val="0"/>
                <w:sz w:val="22"/>
                <w:szCs w:val="22"/>
              </w:rPr>
            </w:pPr>
            <w:r>
              <w:rPr>
                <w:b w:val="0"/>
                <w:sz w:val="22"/>
                <w:szCs w:val="22"/>
              </w:rPr>
              <w:t>Carlos Aldana</w:t>
            </w:r>
          </w:p>
        </w:tc>
        <w:tc>
          <w:tcPr>
            <w:tcW w:w="1673" w:type="dxa"/>
            <w:vAlign w:val="center"/>
          </w:tcPr>
          <w:p w14:paraId="4EBBA265" w14:textId="312D16DD" w:rsidR="00CA09B2" w:rsidRPr="0082092B" w:rsidRDefault="008A1D87"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0FD49E34" w:rsidR="00CA09B2" w:rsidRPr="0082092B" w:rsidRDefault="00490F25" w:rsidP="008A1D87">
            <w:pPr>
              <w:pStyle w:val="T2"/>
              <w:spacing w:after="0"/>
              <w:ind w:left="0" w:right="0"/>
              <w:jc w:val="left"/>
              <w:rPr>
                <w:b w:val="0"/>
                <w:sz w:val="22"/>
                <w:szCs w:val="22"/>
              </w:rPr>
            </w:pPr>
            <w:hyperlink r:id="rId8" w:history="1">
              <w:r w:rsidR="008A1D87" w:rsidRPr="00B40B6F">
                <w:rPr>
                  <w:rStyle w:val="Hyperlink"/>
                  <w:b w:val="0"/>
                  <w:sz w:val="22"/>
                  <w:szCs w:val="22"/>
                  <w:lang w:eastAsia="zh-HK"/>
                </w:rPr>
                <w:t>caldana@qca.qualcomm.com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333FB2" w:rsidRDefault="00333FB2" w:rsidP="0082092B">
                            <w:pPr>
                              <w:pStyle w:val="T1"/>
                              <w:spacing w:after="120"/>
                            </w:pPr>
                            <w:r>
                              <w:t>Abstract</w:t>
                            </w:r>
                          </w:p>
                          <w:p w14:paraId="0273590E" w14:textId="2BE6FBE0" w:rsidR="00F93DA1" w:rsidRDefault="00333FB2" w:rsidP="000B150D">
                            <w:pPr>
                              <w:jc w:val="both"/>
                              <w:rPr>
                                <w:lang w:eastAsia="ko-KR"/>
                              </w:rPr>
                            </w:pPr>
                            <w:r>
                              <w:rPr>
                                <w:rFonts w:hint="eastAsia"/>
                                <w:lang w:eastAsia="ko-KR"/>
                              </w:rPr>
                              <w:t xml:space="preserve">This contribution </w:t>
                            </w:r>
                            <w:r w:rsidR="00FA248A">
                              <w:rPr>
                                <w:lang w:eastAsia="ko-KR"/>
                              </w:rPr>
                              <w:t xml:space="preserve">addresses </w:t>
                            </w:r>
                            <w:r w:rsidR="000B150D">
                              <w:rPr>
                                <w:lang w:eastAsia="ko-KR"/>
                              </w:rPr>
                              <w:t>CIDs 5174 and 5184</w:t>
                            </w:r>
                            <w:r w:rsidR="00B638F7">
                              <w:rPr>
                                <w:lang w:eastAsia="ko-KR"/>
                              </w:rPr>
                              <w:t xml:space="preserve"> and uses Draft 4.0 as a baseline</w:t>
                            </w:r>
                            <w:r w:rsidR="000B150D">
                              <w:rPr>
                                <w:lang w:eastAsia="ko-KR"/>
                              </w:rPr>
                              <w:t>.</w:t>
                            </w:r>
                          </w:p>
                          <w:p w14:paraId="1E2C1E58" w14:textId="77777777" w:rsidR="00F93DA1" w:rsidRDefault="00F93DA1" w:rsidP="00C85FA0">
                            <w:pPr>
                              <w:jc w:val="both"/>
                            </w:pPr>
                          </w:p>
                          <w:p w14:paraId="63BD5077" w14:textId="77777777" w:rsidR="00333FB2" w:rsidRPr="007C350E" w:rsidRDefault="00333FB2"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333FB2" w:rsidRDefault="00333FB2" w:rsidP="0082092B">
                      <w:pPr>
                        <w:pStyle w:val="T1"/>
                        <w:spacing w:after="120"/>
                      </w:pPr>
                      <w:r>
                        <w:t>Abstract</w:t>
                      </w:r>
                    </w:p>
                    <w:p w14:paraId="0273590E" w14:textId="2BE6FBE0" w:rsidR="00F93DA1" w:rsidRDefault="00333FB2" w:rsidP="000B150D">
                      <w:pPr>
                        <w:jc w:val="both"/>
                        <w:rPr>
                          <w:lang w:eastAsia="ko-KR"/>
                        </w:rPr>
                      </w:pPr>
                      <w:r>
                        <w:rPr>
                          <w:rFonts w:hint="eastAsia"/>
                          <w:lang w:eastAsia="ko-KR"/>
                        </w:rPr>
                        <w:t xml:space="preserve">This contribution </w:t>
                      </w:r>
                      <w:r w:rsidR="00FA248A">
                        <w:rPr>
                          <w:lang w:eastAsia="ko-KR"/>
                        </w:rPr>
                        <w:t xml:space="preserve">addresses </w:t>
                      </w:r>
                      <w:r w:rsidR="000B150D">
                        <w:rPr>
                          <w:lang w:eastAsia="ko-KR"/>
                        </w:rPr>
                        <w:t>CIDs 5174 and 5184</w:t>
                      </w:r>
                      <w:r w:rsidR="00B638F7">
                        <w:rPr>
                          <w:lang w:eastAsia="ko-KR"/>
                        </w:rPr>
                        <w:t xml:space="preserve"> and uses Draft 4.0 as a baseline</w:t>
                      </w:r>
                      <w:r w:rsidR="000B150D">
                        <w:rPr>
                          <w:lang w:eastAsia="ko-KR"/>
                        </w:rPr>
                        <w:t>.</w:t>
                      </w:r>
                    </w:p>
                    <w:p w14:paraId="1E2C1E58" w14:textId="77777777" w:rsidR="00F93DA1" w:rsidRDefault="00F93DA1" w:rsidP="00C85FA0">
                      <w:pPr>
                        <w:jc w:val="both"/>
                      </w:pPr>
                    </w:p>
                    <w:p w14:paraId="63BD5077" w14:textId="77777777" w:rsidR="00333FB2" w:rsidRPr="007C350E" w:rsidRDefault="00333FB2" w:rsidP="0082092B">
                      <w:pPr>
                        <w:jc w:val="both"/>
                      </w:pPr>
                    </w:p>
                  </w:txbxContent>
                </v:textbox>
              </v:shape>
            </w:pict>
          </mc:Fallback>
        </mc:AlternateContent>
      </w:r>
    </w:p>
    <w:p w14:paraId="5B8FC4B7" w14:textId="77777777" w:rsidR="00B67992" w:rsidRDefault="00B67992">
      <w:pPr>
        <w:rPr>
          <w:b/>
          <w:bCs/>
          <w:iCs/>
          <w:sz w:val="24"/>
          <w:szCs w:val="24"/>
          <w:u w:val="single"/>
        </w:rPr>
      </w:pPr>
      <w:bookmarkStart w:id="0" w:name="_GoBack"/>
      <w:r>
        <w:rPr>
          <w:i/>
          <w:sz w:val="24"/>
          <w:szCs w:val="24"/>
          <w:u w:val="single"/>
        </w:rPr>
        <w:br w:type="page"/>
      </w:r>
    </w:p>
    <w:bookmarkEnd w:id="0"/>
    <w:p w14:paraId="357A78E6" w14:textId="77777777" w:rsidR="007F2FDA" w:rsidRDefault="007F2FDA" w:rsidP="007F2FDA">
      <w:pPr>
        <w:rPr>
          <w:b/>
          <w:i/>
        </w:rPr>
      </w:pPr>
    </w:p>
    <w:tbl>
      <w:tblPr>
        <w:tblStyle w:val="TableGrid"/>
        <w:tblW w:w="0" w:type="auto"/>
        <w:tblLook w:val="04A0" w:firstRow="1" w:lastRow="0" w:firstColumn="1" w:lastColumn="0" w:noHBand="0" w:noVBand="1"/>
      </w:tblPr>
      <w:tblGrid>
        <w:gridCol w:w="1512"/>
        <w:gridCol w:w="1513"/>
        <w:gridCol w:w="1513"/>
        <w:gridCol w:w="1513"/>
        <w:gridCol w:w="1513"/>
        <w:gridCol w:w="1513"/>
      </w:tblGrid>
      <w:tr w:rsidR="00F93DA1" w14:paraId="53FDB016" w14:textId="77777777" w:rsidTr="00DD4692">
        <w:tc>
          <w:tcPr>
            <w:tcW w:w="1512" w:type="dxa"/>
          </w:tcPr>
          <w:p w14:paraId="2BE8D950" w14:textId="77777777" w:rsidR="00F93DA1" w:rsidRPr="00F93DA1" w:rsidRDefault="00F93DA1" w:rsidP="00DD4692">
            <w:pPr>
              <w:jc w:val="both"/>
              <w:rPr>
                <w:b/>
              </w:rPr>
            </w:pPr>
            <w:r w:rsidRPr="00F93DA1">
              <w:rPr>
                <w:b/>
              </w:rPr>
              <w:t>CID</w:t>
            </w:r>
          </w:p>
        </w:tc>
        <w:tc>
          <w:tcPr>
            <w:tcW w:w="1513" w:type="dxa"/>
          </w:tcPr>
          <w:p w14:paraId="1EE5961A" w14:textId="77777777" w:rsidR="00F93DA1" w:rsidRPr="00F93DA1" w:rsidRDefault="00F93DA1" w:rsidP="00DD4692">
            <w:pPr>
              <w:jc w:val="both"/>
              <w:rPr>
                <w:b/>
              </w:rPr>
            </w:pPr>
            <w:r w:rsidRPr="00F93DA1">
              <w:rPr>
                <w:b/>
              </w:rPr>
              <w:t>Page</w:t>
            </w:r>
          </w:p>
        </w:tc>
        <w:tc>
          <w:tcPr>
            <w:tcW w:w="1513" w:type="dxa"/>
          </w:tcPr>
          <w:p w14:paraId="68BC1439" w14:textId="77777777" w:rsidR="00F93DA1" w:rsidRPr="00F93DA1" w:rsidRDefault="00F93DA1" w:rsidP="00DD4692">
            <w:pPr>
              <w:jc w:val="both"/>
              <w:rPr>
                <w:b/>
              </w:rPr>
            </w:pPr>
            <w:r w:rsidRPr="00F93DA1">
              <w:rPr>
                <w:b/>
              </w:rPr>
              <w:t>Line</w:t>
            </w:r>
          </w:p>
        </w:tc>
        <w:tc>
          <w:tcPr>
            <w:tcW w:w="1513" w:type="dxa"/>
          </w:tcPr>
          <w:p w14:paraId="1260B211" w14:textId="77777777" w:rsidR="00F93DA1" w:rsidRPr="00F93DA1" w:rsidRDefault="00F93DA1" w:rsidP="00DD4692">
            <w:pPr>
              <w:jc w:val="both"/>
              <w:rPr>
                <w:b/>
              </w:rPr>
            </w:pPr>
            <w:r w:rsidRPr="00F93DA1">
              <w:rPr>
                <w:b/>
              </w:rPr>
              <w:t>Clause</w:t>
            </w:r>
          </w:p>
        </w:tc>
        <w:tc>
          <w:tcPr>
            <w:tcW w:w="1513" w:type="dxa"/>
          </w:tcPr>
          <w:p w14:paraId="229BE41C" w14:textId="77777777" w:rsidR="00F93DA1" w:rsidRPr="00F93DA1" w:rsidRDefault="00F93DA1" w:rsidP="00DD4692">
            <w:pPr>
              <w:jc w:val="both"/>
              <w:rPr>
                <w:b/>
              </w:rPr>
            </w:pPr>
            <w:r w:rsidRPr="00F93DA1">
              <w:rPr>
                <w:b/>
              </w:rPr>
              <w:t>Comment</w:t>
            </w:r>
          </w:p>
        </w:tc>
        <w:tc>
          <w:tcPr>
            <w:tcW w:w="1513" w:type="dxa"/>
          </w:tcPr>
          <w:p w14:paraId="518AC6E9" w14:textId="77777777" w:rsidR="00F93DA1" w:rsidRPr="00F93DA1" w:rsidRDefault="00F93DA1" w:rsidP="00DD4692">
            <w:pPr>
              <w:jc w:val="both"/>
              <w:rPr>
                <w:b/>
              </w:rPr>
            </w:pPr>
            <w:r w:rsidRPr="00F93DA1">
              <w:rPr>
                <w:b/>
              </w:rPr>
              <w:t>Proposed Change</w:t>
            </w:r>
          </w:p>
        </w:tc>
      </w:tr>
      <w:tr w:rsidR="00F93DA1" w14:paraId="0E374627" w14:textId="77777777" w:rsidTr="00DD4692">
        <w:tc>
          <w:tcPr>
            <w:tcW w:w="1512" w:type="dxa"/>
          </w:tcPr>
          <w:p w14:paraId="5B681C5F" w14:textId="798B101E" w:rsidR="00F93DA1" w:rsidRDefault="00F93DA1" w:rsidP="00DD4692">
            <w:pPr>
              <w:jc w:val="both"/>
            </w:pPr>
            <w:r>
              <w:t>5174</w:t>
            </w:r>
          </w:p>
        </w:tc>
        <w:tc>
          <w:tcPr>
            <w:tcW w:w="1513" w:type="dxa"/>
          </w:tcPr>
          <w:p w14:paraId="7D89FDC9" w14:textId="77777777" w:rsidR="00F93DA1" w:rsidRDefault="00F93DA1" w:rsidP="00F93DA1">
            <w:pPr>
              <w:jc w:val="both"/>
              <w:rPr>
                <w:rFonts w:ascii="Arial" w:hAnsi="Arial" w:cs="Arial"/>
                <w:sz w:val="20"/>
                <w:lang w:val="en-US"/>
              </w:rPr>
            </w:pPr>
            <w:r>
              <w:rPr>
                <w:rFonts w:ascii="Arial" w:hAnsi="Arial" w:cs="Arial"/>
                <w:sz w:val="20"/>
              </w:rPr>
              <w:t>856</w:t>
            </w:r>
          </w:p>
          <w:p w14:paraId="441559F4" w14:textId="77777777" w:rsidR="00F93DA1" w:rsidRDefault="00F93DA1" w:rsidP="00DD4692">
            <w:pPr>
              <w:jc w:val="both"/>
            </w:pPr>
          </w:p>
        </w:tc>
        <w:tc>
          <w:tcPr>
            <w:tcW w:w="1513" w:type="dxa"/>
          </w:tcPr>
          <w:p w14:paraId="024C7966" w14:textId="77777777" w:rsidR="00F93DA1" w:rsidRDefault="00F93DA1" w:rsidP="00F93DA1">
            <w:pPr>
              <w:jc w:val="both"/>
              <w:rPr>
                <w:rFonts w:ascii="Arial" w:hAnsi="Arial" w:cs="Arial"/>
                <w:sz w:val="20"/>
                <w:lang w:val="en-US"/>
              </w:rPr>
            </w:pPr>
            <w:r>
              <w:rPr>
                <w:rFonts w:ascii="Arial" w:hAnsi="Arial" w:cs="Arial"/>
                <w:sz w:val="20"/>
              </w:rPr>
              <w:t>30</w:t>
            </w:r>
          </w:p>
          <w:p w14:paraId="0228BFA2" w14:textId="77777777" w:rsidR="00F93DA1" w:rsidRDefault="00F93DA1" w:rsidP="00DD4692">
            <w:pPr>
              <w:jc w:val="both"/>
            </w:pPr>
          </w:p>
        </w:tc>
        <w:tc>
          <w:tcPr>
            <w:tcW w:w="1513" w:type="dxa"/>
          </w:tcPr>
          <w:p w14:paraId="21646175" w14:textId="77777777" w:rsidR="00F93DA1" w:rsidRDefault="00F93DA1" w:rsidP="00F93DA1">
            <w:pPr>
              <w:jc w:val="both"/>
              <w:rPr>
                <w:rFonts w:ascii="Arial" w:hAnsi="Arial" w:cs="Arial"/>
                <w:sz w:val="20"/>
                <w:lang w:val="en-US"/>
              </w:rPr>
            </w:pPr>
            <w:r>
              <w:rPr>
                <w:rFonts w:ascii="Arial" w:hAnsi="Arial" w:cs="Arial"/>
                <w:sz w:val="20"/>
              </w:rPr>
              <w:t>8.4.2.36</w:t>
            </w:r>
          </w:p>
          <w:p w14:paraId="704C6318" w14:textId="77777777" w:rsidR="00F93DA1" w:rsidRDefault="00F93DA1" w:rsidP="00DD4692">
            <w:pPr>
              <w:jc w:val="both"/>
            </w:pPr>
          </w:p>
        </w:tc>
        <w:tc>
          <w:tcPr>
            <w:tcW w:w="1513" w:type="dxa"/>
          </w:tcPr>
          <w:p w14:paraId="7ED36DF5" w14:textId="77777777" w:rsidR="00F93DA1" w:rsidRDefault="00F93DA1" w:rsidP="00F93DA1">
            <w:pPr>
              <w:jc w:val="both"/>
              <w:rPr>
                <w:rFonts w:ascii="Arial" w:hAnsi="Arial" w:cs="Arial"/>
                <w:sz w:val="20"/>
                <w:lang w:val="en-US"/>
              </w:rPr>
            </w:pPr>
            <w:r>
              <w:rPr>
                <w:rFonts w:ascii="Arial" w:hAnsi="Arial" w:cs="Arial"/>
                <w:sz w:val="20"/>
              </w:rPr>
              <w:t xml:space="preserve">To reduce the number of probe requests sent and not have to send the lengthy VHT Operations or HT Operations elements,  we should allow for the transmission of the short (5 bytes) Wide Bandwidth Channel Switch Element in </w:t>
            </w:r>
            <w:proofErr w:type="spellStart"/>
            <w:r>
              <w:rPr>
                <w:rFonts w:ascii="Arial" w:hAnsi="Arial" w:cs="Arial"/>
                <w:sz w:val="20"/>
              </w:rPr>
              <w:t>Neigbhor</w:t>
            </w:r>
            <w:proofErr w:type="spellEnd"/>
            <w:r>
              <w:rPr>
                <w:rFonts w:ascii="Arial" w:hAnsi="Arial" w:cs="Arial"/>
                <w:sz w:val="20"/>
              </w:rPr>
              <w:t xml:space="preserve"> Report.</w:t>
            </w:r>
          </w:p>
          <w:p w14:paraId="3D82873B" w14:textId="77777777" w:rsidR="00F93DA1" w:rsidRDefault="00F93DA1" w:rsidP="00DD4692">
            <w:pPr>
              <w:jc w:val="both"/>
              <w:rPr>
                <w:rFonts w:ascii="Arial" w:hAnsi="Arial" w:cs="Arial"/>
                <w:sz w:val="20"/>
              </w:rPr>
            </w:pPr>
          </w:p>
        </w:tc>
        <w:tc>
          <w:tcPr>
            <w:tcW w:w="1513" w:type="dxa"/>
          </w:tcPr>
          <w:p w14:paraId="6E199B3A" w14:textId="77777777" w:rsidR="00F93DA1" w:rsidRDefault="00F93DA1" w:rsidP="00F93DA1">
            <w:pPr>
              <w:jc w:val="both"/>
              <w:rPr>
                <w:rFonts w:ascii="Arial" w:hAnsi="Arial" w:cs="Arial"/>
                <w:sz w:val="20"/>
                <w:lang w:val="en-US"/>
              </w:rPr>
            </w:pPr>
            <w:r>
              <w:rPr>
                <w:rFonts w:ascii="Arial" w:hAnsi="Arial" w:cs="Arial"/>
                <w:sz w:val="20"/>
              </w:rPr>
              <w:t>Include a row in Table 8-148 that contains this.</w:t>
            </w:r>
          </w:p>
          <w:p w14:paraId="538AC869" w14:textId="77777777" w:rsidR="00F93DA1" w:rsidRDefault="00F93DA1" w:rsidP="00DD4692">
            <w:pPr>
              <w:jc w:val="both"/>
              <w:rPr>
                <w:rFonts w:ascii="Arial" w:hAnsi="Arial" w:cs="Arial"/>
                <w:sz w:val="20"/>
              </w:rPr>
            </w:pPr>
          </w:p>
        </w:tc>
      </w:tr>
      <w:tr w:rsidR="00F93DA1" w14:paraId="7BD28C02" w14:textId="77777777" w:rsidTr="00DD4692">
        <w:tc>
          <w:tcPr>
            <w:tcW w:w="1512" w:type="dxa"/>
          </w:tcPr>
          <w:p w14:paraId="465914DB" w14:textId="77777777" w:rsidR="00F93DA1" w:rsidRDefault="00F93DA1" w:rsidP="00DD4692">
            <w:pPr>
              <w:jc w:val="both"/>
            </w:pPr>
            <w:r>
              <w:t>5184</w:t>
            </w:r>
          </w:p>
        </w:tc>
        <w:tc>
          <w:tcPr>
            <w:tcW w:w="1513" w:type="dxa"/>
          </w:tcPr>
          <w:p w14:paraId="6281FFBB" w14:textId="77777777" w:rsidR="00F93DA1" w:rsidRDefault="00F93DA1" w:rsidP="00DD4692">
            <w:pPr>
              <w:jc w:val="both"/>
            </w:pPr>
            <w:r>
              <w:t>1045</w:t>
            </w:r>
          </w:p>
        </w:tc>
        <w:tc>
          <w:tcPr>
            <w:tcW w:w="1513" w:type="dxa"/>
          </w:tcPr>
          <w:p w14:paraId="303C9189" w14:textId="77777777" w:rsidR="00F93DA1" w:rsidRDefault="00F93DA1" w:rsidP="00DD4692">
            <w:pPr>
              <w:jc w:val="both"/>
            </w:pPr>
            <w:r>
              <w:t>12</w:t>
            </w:r>
          </w:p>
        </w:tc>
        <w:tc>
          <w:tcPr>
            <w:tcW w:w="1513" w:type="dxa"/>
          </w:tcPr>
          <w:p w14:paraId="1EA7FE20" w14:textId="77777777" w:rsidR="00F93DA1" w:rsidRDefault="00F93DA1" w:rsidP="00DD4692">
            <w:pPr>
              <w:jc w:val="both"/>
            </w:pPr>
            <w:r>
              <w:t>8.4.2.159</w:t>
            </w:r>
          </w:p>
        </w:tc>
        <w:tc>
          <w:tcPr>
            <w:tcW w:w="1513" w:type="dxa"/>
          </w:tcPr>
          <w:p w14:paraId="2DCCE4CC" w14:textId="77777777" w:rsidR="00F93DA1" w:rsidRDefault="00F93DA1" w:rsidP="00DD4692">
            <w:pPr>
              <w:jc w:val="both"/>
              <w:rPr>
                <w:rFonts w:ascii="Arial" w:hAnsi="Arial" w:cs="Arial"/>
                <w:sz w:val="20"/>
                <w:lang w:val="en-US"/>
              </w:rPr>
            </w:pPr>
            <w:r>
              <w:rPr>
                <w:rFonts w:ascii="Arial" w:hAnsi="Arial" w:cs="Arial"/>
                <w:sz w:val="20"/>
              </w:rPr>
              <w:t xml:space="preserve">Since we would like to reduce the number of probe requests and use the Wide Bandwidth Channel Switch element in </w:t>
            </w:r>
            <w:proofErr w:type="spellStart"/>
            <w:r>
              <w:rPr>
                <w:rFonts w:ascii="Arial" w:hAnsi="Arial" w:cs="Arial"/>
                <w:sz w:val="20"/>
              </w:rPr>
              <w:t>Neighbor</w:t>
            </w:r>
            <w:proofErr w:type="spellEnd"/>
            <w:r>
              <w:rPr>
                <w:rFonts w:ascii="Arial" w:hAnsi="Arial" w:cs="Arial"/>
                <w:sz w:val="20"/>
              </w:rPr>
              <w:t xml:space="preserve"> Report without having to resort to transmission of either HT or VHT Operations element, we should remove the 20 or 40 MHz ambiguity for the Channel Width=0 value.</w:t>
            </w:r>
          </w:p>
          <w:p w14:paraId="2872316A" w14:textId="77777777" w:rsidR="00F93DA1" w:rsidRDefault="00F93DA1" w:rsidP="00DD4692">
            <w:pPr>
              <w:jc w:val="both"/>
            </w:pPr>
          </w:p>
        </w:tc>
        <w:tc>
          <w:tcPr>
            <w:tcW w:w="1513" w:type="dxa"/>
          </w:tcPr>
          <w:p w14:paraId="3FDE780A" w14:textId="77777777" w:rsidR="00F93DA1" w:rsidRDefault="00F93DA1" w:rsidP="00DD4692">
            <w:pPr>
              <w:jc w:val="both"/>
              <w:rPr>
                <w:rFonts w:ascii="Arial" w:hAnsi="Arial" w:cs="Arial"/>
                <w:sz w:val="20"/>
                <w:lang w:val="en-US"/>
              </w:rPr>
            </w:pPr>
            <w:r>
              <w:rPr>
                <w:rFonts w:ascii="Arial" w:hAnsi="Arial" w:cs="Arial"/>
                <w:sz w:val="20"/>
              </w:rPr>
              <w:t xml:space="preserve">Resolve this ambiguity in the </w:t>
            </w:r>
            <w:proofErr w:type="spellStart"/>
            <w:r>
              <w:rPr>
                <w:rFonts w:ascii="Arial" w:hAnsi="Arial" w:cs="Arial"/>
                <w:sz w:val="20"/>
              </w:rPr>
              <w:t>Neighbor</w:t>
            </w:r>
            <w:proofErr w:type="spellEnd"/>
            <w:r>
              <w:rPr>
                <w:rFonts w:ascii="Arial" w:hAnsi="Arial" w:cs="Arial"/>
                <w:sz w:val="20"/>
              </w:rPr>
              <w:t xml:space="preserve"> Report frame Wide Bandwidth Channel Switch </w:t>
            </w:r>
            <w:proofErr w:type="spellStart"/>
            <w:r>
              <w:rPr>
                <w:rFonts w:ascii="Arial" w:hAnsi="Arial" w:cs="Arial"/>
                <w:sz w:val="20"/>
              </w:rPr>
              <w:t>subelement</w:t>
            </w:r>
            <w:proofErr w:type="spellEnd"/>
            <w:r>
              <w:rPr>
                <w:rFonts w:ascii="Arial" w:hAnsi="Arial" w:cs="Arial"/>
                <w:sz w:val="20"/>
              </w:rPr>
              <w:t>.</w:t>
            </w:r>
          </w:p>
          <w:p w14:paraId="54AFEAE1" w14:textId="77777777" w:rsidR="00F93DA1" w:rsidRDefault="00F93DA1" w:rsidP="00DD4692">
            <w:pPr>
              <w:jc w:val="both"/>
            </w:pPr>
          </w:p>
        </w:tc>
      </w:tr>
    </w:tbl>
    <w:p w14:paraId="529EA9E7" w14:textId="77777777" w:rsidR="00F93DA1" w:rsidRDefault="00F93DA1" w:rsidP="00D653E8">
      <w:pPr>
        <w:spacing w:after="240"/>
        <w:rPr>
          <w:b/>
          <w:i/>
          <w:color w:val="FF0000"/>
          <w:sz w:val="24"/>
          <w:szCs w:val="24"/>
        </w:rPr>
      </w:pPr>
    </w:p>
    <w:p w14:paraId="1FB6F2DF" w14:textId="1AC1E3D9" w:rsidR="00D653E8" w:rsidRPr="00B35BCA" w:rsidRDefault="00322568" w:rsidP="00D653E8">
      <w:pPr>
        <w:spacing w:after="240"/>
        <w:rPr>
          <w:b/>
          <w:sz w:val="24"/>
          <w:szCs w:val="24"/>
        </w:rPr>
      </w:pPr>
      <w:r w:rsidRPr="00322568">
        <w:rPr>
          <w:b/>
          <w:i/>
          <w:color w:val="FF0000"/>
          <w:sz w:val="24"/>
          <w:szCs w:val="24"/>
        </w:rPr>
        <w:t xml:space="preserve">NOTE TO </w:t>
      </w:r>
      <w:proofErr w:type="gramStart"/>
      <w:r w:rsidRPr="00322568">
        <w:rPr>
          <w:b/>
          <w:i/>
          <w:color w:val="FF0000"/>
          <w:sz w:val="24"/>
          <w:szCs w:val="24"/>
        </w:rPr>
        <w:t>EDITOR</w:t>
      </w:r>
      <w:r w:rsidRPr="00322568">
        <w:rPr>
          <w:b/>
          <w:color w:val="FF0000"/>
          <w:sz w:val="24"/>
          <w:szCs w:val="24"/>
        </w:rPr>
        <w:t xml:space="preserve"> </w:t>
      </w:r>
      <w:r>
        <w:rPr>
          <w:b/>
          <w:sz w:val="24"/>
          <w:szCs w:val="24"/>
        </w:rPr>
        <w:t>:</w:t>
      </w:r>
      <w:proofErr w:type="gramEnd"/>
      <w:r>
        <w:rPr>
          <w:b/>
          <w:sz w:val="24"/>
          <w:szCs w:val="24"/>
        </w:rPr>
        <w:t xml:space="preserve"> </w:t>
      </w:r>
      <w:r w:rsidRPr="00DA66C6">
        <w:rPr>
          <w:b/>
          <w:i/>
          <w:sz w:val="24"/>
          <w:szCs w:val="24"/>
        </w:rPr>
        <w:t>Please make the changes shown in red.</w:t>
      </w:r>
    </w:p>
    <w:p w14:paraId="25E3656E" w14:textId="77777777" w:rsidR="00D653E8" w:rsidRPr="0038532E" w:rsidRDefault="00D653E8" w:rsidP="00D653E8">
      <w:pPr>
        <w:spacing w:after="240"/>
        <w:rPr>
          <w:b/>
          <w:i/>
          <w:sz w:val="24"/>
          <w:szCs w:val="24"/>
        </w:rPr>
      </w:pPr>
      <w:r w:rsidRPr="0038532E">
        <w:rPr>
          <w:b/>
          <w:i/>
          <w:sz w:val="24"/>
          <w:szCs w:val="24"/>
        </w:rPr>
        <w:t xml:space="preserve">Discussion: </w:t>
      </w:r>
    </w:p>
    <w:p w14:paraId="6DE5F939" w14:textId="1B2D359B" w:rsidR="00DF57FE" w:rsidRPr="00C93150" w:rsidRDefault="00D653E8" w:rsidP="007F2FDA">
      <w:pPr>
        <w:spacing w:after="240"/>
        <w:rPr>
          <w:szCs w:val="22"/>
        </w:rPr>
      </w:pPr>
      <w:r w:rsidRPr="00C93150">
        <w:rPr>
          <w:szCs w:val="22"/>
        </w:rPr>
        <w:lastRenderedPageBreak/>
        <w:t xml:space="preserve">To avoid sending VHT Operation </w:t>
      </w:r>
      <w:r w:rsidR="000E3516" w:rsidRPr="00C93150">
        <w:rPr>
          <w:szCs w:val="22"/>
        </w:rPr>
        <w:t xml:space="preserve">(7 bytes) </w:t>
      </w:r>
      <w:r w:rsidRPr="00C93150">
        <w:rPr>
          <w:szCs w:val="22"/>
        </w:rPr>
        <w:t>and HT Operation</w:t>
      </w:r>
      <w:r w:rsidR="000E3516" w:rsidRPr="00C93150">
        <w:rPr>
          <w:szCs w:val="22"/>
        </w:rPr>
        <w:t xml:space="preserve"> (24 bytes)</w:t>
      </w:r>
      <w:r w:rsidRPr="00C93150">
        <w:rPr>
          <w:szCs w:val="22"/>
        </w:rPr>
        <w:t xml:space="preserve"> elements i</w:t>
      </w:r>
      <w:r w:rsidR="001A3EC1">
        <w:rPr>
          <w:szCs w:val="22"/>
        </w:rPr>
        <w:t xml:space="preserve">n </w:t>
      </w:r>
      <w:proofErr w:type="spellStart"/>
      <w:r w:rsidR="001A3EC1">
        <w:rPr>
          <w:szCs w:val="22"/>
        </w:rPr>
        <w:t>Neighbor</w:t>
      </w:r>
      <w:proofErr w:type="spellEnd"/>
      <w:r w:rsidR="001A3EC1">
        <w:rPr>
          <w:szCs w:val="22"/>
        </w:rPr>
        <w:t xml:space="preserve"> Report, we should rely on</w:t>
      </w:r>
      <w:r w:rsidRPr="00C93150">
        <w:rPr>
          <w:szCs w:val="22"/>
        </w:rPr>
        <w:t xml:space="preserve"> </w:t>
      </w:r>
      <w:r w:rsidR="00774EA8">
        <w:rPr>
          <w:szCs w:val="22"/>
        </w:rPr>
        <w:t xml:space="preserve">a new </w:t>
      </w:r>
      <w:proofErr w:type="spellStart"/>
      <w:r w:rsidR="00774EA8">
        <w:rPr>
          <w:szCs w:val="22"/>
        </w:rPr>
        <w:t>subelement</w:t>
      </w:r>
      <w:proofErr w:type="spellEnd"/>
      <w:r w:rsidR="00774EA8">
        <w:rPr>
          <w:szCs w:val="22"/>
        </w:rPr>
        <w:t xml:space="preserve"> similar to the </w:t>
      </w:r>
      <w:r w:rsidRPr="00C93150">
        <w:rPr>
          <w:szCs w:val="22"/>
        </w:rPr>
        <w:t>Wide Bandwidth Chan</w:t>
      </w:r>
      <w:r w:rsidR="001A3EC1">
        <w:rPr>
          <w:szCs w:val="22"/>
        </w:rPr>
        <w:t>nel Switch element (5 bytes)</w:t>
      </w:r>
      <w:r w:rsidR="00774EA8">
        <w:rPr>
          <w:szCs w:val="22"/>
        </w:rPr>
        <w:t xml:space="preserve"> (See 8.4.2.160)</w:t>
      </w:r>
      <w:r w:rsidR="001A3EC1">
        <w:rPr>
          <w:szCs w:val="22"/>
        </w:rPr>
        <w:t xml:space="preserve">.  </w:t>
      </w:r>
    </w:p>
    <w:p w14:paraId="09C46C18" w14:textId="6503AC1D" w:rsidR="00DA66C6" w:rsidRDefault="00DA66C6" w:rsidP="007F2FDA">
      <w:pPr>
        <w:spacing w:after="240"/>
        <w:rPr>
          <w:b/>
          <w:sz w:val="24"/>
          <w:szCs w:val="24"/>
        </w:rPr>
      </w:pPr>
      <w:r w:rsidRPr="00DA66C6">
        <w:rPr>
          <w:b/>
          <w:i/>
          <w:color w:val="FF0000"/>
          <w:sz w:val="24"/>
          <w:szCs w:val="24"/>
        </w:rPr>
        <w:t xml:space="preserve">NOTE TO </w:t>
      </w:r>
      <w:proofErr w:type="gramStart"/>
      <w:r w:rsidRPr="00DA66C6">
        <w:rPr>
          <w:b/>
          <w:i/>
          <w:color w:val="FF0000"/>
          <w:sz w:val="24"/>
          <w:szCs w:val="24"/>
        </w:rPr>
        <w:t>EDITOR :</w:t>
      </w:r>
      <w:proofErr w:type="gramEnd"/>
      <w:r w:rsidRPr="00DA66C6">
        <w:rPr>
          <w:b/>
          <w:color w:val="FF0000"/>
          <w:sz w:val="24"/>
          <w:szCs w:val="24"/>
        </w:rPr>
        <w:t xml:space="preserve"> </w:t>
      </w:r>
      <w:r w:rsidRPr="00DA66C6">
        <w:rPr>
          <w:b/>
          <w:i/>
          <w:sz w:val="24"/>
          <w:szCs w:val="24"/>
        </w:rPr>
        <w:t>Add an entry to Table 8-148</w:t>
      </w:r>
    </w:p>
    <w:p w14:paraId="4F737F34" w14:textId="34F9A899" w:rsidR="00DA66C6" w:rsidRDefault="00DA66C6" w:rsidP="007F2FDA">
      <w:pPr>
        <w:spacing w:after="240"/>
        <w:rPr>
          <w:i/>
          <w:color w:val="FF0000"/>
          <w:sz w:val="24"/>
          <w:szCs w:val="24"/>
        </w:rPr>
      </w:pPr>
      <w:r w:rsidRPr="00E8023E">
        <w:rPr>
          <w:i/>
          <w:color w:val="FF0000"/>
          <w:sz w:val="24"/>
          <w:szCs w:val="24"/>
        </w:rPr>
        <w:t>Please add a row</w:t>
      </w:r>
      <w:r w:rsidR="006D7D9C">
        <w:rPr>
          <w:i/>
          <w:color w:val="FF0000"/>
          <w:sz w:val="24"/>
          <w:szCs w:val="24"/>
        </w:rPr>
        <w:t xml:space="preserve"> for Wide Bandwidth Channel</w:t>
      </w:r>
      <w:r w:rsidRPr="00E8023E">
        <w:rPr>
          <w:i/>
          <w:color w:val="FF0000"/>
          <w:sz w:val="24"/>
          <w:szCs w:val="24"/>
        </w:rPr>
        <w:t>.</w:t>
      </w:r>
    </w:p>
    <w:p w14:paraId="0B598C50" w14:textId="18F429E7" w:rsidR="000B150D" w:rsidRDefault="00CA2A8C" w:rsidP="007F2FDA">
      <w:pPr>
        <w:spacing w:after="240"/>
        <w:rPr>
          <w:i/>
          <w:color w:val="FF0000"/>
          <w:sz w:val="24"/>
          <w:szCs w:val="24"/>
        </w:rPr>
      </w:pPr>
      <w:r>
        <w:rPr>
          <w:i/>
          <w:color w:val="FF0000"/>
          <w:sz w:val="24"/>
          <w:szCs w:val="24"/>
        </w:rPr>
        <w:t>Please make the following changes (shown in red)</w:t>
      </w:r>
      <w:r w:rsidR="006D7D9C">
        <w:rPr>
          <w:i/>
          <w:color w:val="FF0000"/>
          <w:sz w:val="24"/>
          <w:szCs w:val="24"/>
        </w:rPr>
        <w:t xml:space="preserve"> </w:t>
      </w:r>
      <w:r w:rsidR="000B150D">
        <w:rPr>
          <w:i/>
          <w:color w:val="FF0000"/>
          <w:sz w:val="24"/>
          <w:szCs w:val="24"/>
        </w:rPr>
        <w:t>to Section 8.4.2.36</w:t>
      </w:r>
      <w:r w:rsidR="005F4BC9">
        <w:rPr>
          <w:i/>
          <w:color w:val="FF0000"/>
          <w:sz w:val="24"/>
          <w:szCs w:val="24"/>
        </w:rPr>
        <w:t xml:space="preserve"> that does not address the CID but was found necessary, since the Co-Located BSSID is part of LCI, not Location Civic</w:t>
      </w:r>
      <w:r w:rsidR="006D7D9C">
        <w:rPr>
          <w:i/>
          <w:color w:val="FF0000"/>
          <w:sz w:val="24"/>
          <w:szCs w:val="24"/>
        </w:rPr>
        <w:t>:</w:t>
      </w:r>
    </w:p>
    <w:p w14:paraId="1B34EFD6" w14:textId="77777777" w:rsidR="002549C1" w:rsidRPr="002549C1" w:rsidRDefault="002549C1" w:rsidP="002549C1">
      <w:pPr>
        <w:autoSpaceDE w:val="0"/>
        <w:autoSpaceDN w:val="0"/>
        <w:adjustRightInd w:val="0"/>
        <w:rPr>
          <w:rFonts w:ascii="TimesNewRomanPSMT" w:hAnsi="TimesNewRomanPSMT" w:cs="TimesNewRomanPSMT"/>
          <w:sz w:val="24"/>
          <w:szCs w:val="24"/>
          <w:lang w:val="en-US"/>
        </w:rPr>
      </w:pPr>
      <w:r w:rsidRPr="002549C1">
        <w:rPr>
          <w:rFonts w:ascii="TimesNewRomanPSMT" w:hAnsi="TimesNewRomanPSMT" w:cs="TimesNewRomanPSMT"/>
          <w:sz w:val="24"/>
          <w:szCs w:val="24"/>
          <w:lang w:val="en-US"/>
        </w:rPr>
        <w:t xml:space="preserve">A Measurement Report </w:t>
      </w:r>
      <w:proofErr w:type="spellStart"/>
      <w:r w:rsidRPr="002549C1">
        <w:rPr>
          <w:rFonts w:ascii="TimesNewRomanPSMT" w:hAnsi="TimesNewRomanPSMT" w:cs="TimesNewRomanPSMT"/>
          <w:sz w:val="24"/>
          <w:szCs w:val="24"/>
          <w:lang w:val="en-US"/>
        </w:rPr>
        <w:t>subelement</w:t>
      </w:r>
      <w:proofErr w:type="spellEnd"/>
      <w:r w:rsidRPr="002549C1">
        <w:rPr>
          <w:rFonts w:ascii="TimesNewRomanPSMT" w:hAnsi="TimesNewRomanPSMT" w:cs="TimesNewRomanPSMT"/>
          <w:sz w:val="24"/>
          <w:szCs w:val="24"/>
          <w:lang w:val="en-US"/>
        </w:rPr>
        <w:t xml:space="preserve"> with Measurement Type equal to LC</w:t>
      </w:r>
      <w:r>
        <w:rPr>
          <w:rFonts w:ascii="TimesNewRomanPSMT" w:hAnsi="TimesNewRomanPSMT" w:cs="TimesNewRomanPSMT"/>
          <w:sz w:val="24"/>
          <w:szCs w:val="24"/>
          <w:lang w:val="en-US"/>
        </w:rPr>
        <w:t xml:space="preserve">I (see Table 8-104 (Measurement </w:t>
      </w:r>
      <w:r w:rsidRPr="002549C1">
        <w:rPr>
          <w:rFonts w:ascii="TimesNewRomanPSMT" w:hAnsi="TimesNewRomanPSMT" w:cs="TimesNewRomanPSMT"/>
          <w:sz w:val="24"/>
          <w:szCs w:val="24"/>
          <w:lang w:val="en-US"/>
        </w:rPr>
        <w:t xml:space="preserve">Type definitions for measurement reports)) is optionally present. If present, the </w:t>
      </w:r>
      <w:proofErr w:type="spellStart"/>
      <w:r w:rsidRPr="002549C1">
        <w:rPr>
          <w:rFonts w:ascii="TimesNewRomanPSMT" w:hAnsi="TimesNewRomanPSMT" w:cs="TimesNewRomanPSMT"/>
          <w:sz w:val="24"/>
          <w:szCs w:val="24"/>
          <w:lang w:val="en-US"/>
        </w:rPr>
        <w:t>subelement</w:t>
      </w:r>
      <w:proofErr w:type="spellEnd"/>
      <w:r w:rsidRPr="002549C1">
        <w:rPr>
          <w:rFonts w:ascii="TimesNewRomanPSMT" w:hAnsi="TimesNewRomanPSMT" w:cs="TimesNewRomanPSMT"/>
          <w:sz w:val="24"/>
          <w:szCs w:val="24"/>
          <w:lang w:val="en-US"/>
        </w:rPr>
        <w:t xml:space="preserve"> has the same</w:t>
      </w:r>
      <w:r>
        <w:rPr>
          <w:rFonts w:ascii="TimesNewRomanPSMT" w:hAnsi="TimesNewRomanPSMT" w:cs="TimesNewRomanPSMT"/>
          <w:sz w:val="24"/>
          <w:szCs w:val="24"/>
          <w:lang w:val="en-US"/>
        </w:rPr>
        <w:t xml:space="preserve"> </w:t>
      </w:r>
      <w:r w:rsidRPr="002549C1">
        <w:rPr>
          <w:rFonts w:ascii="TimesNewRomanPSMT" w:hAnsi="TimesNewRomanPSMT" w:cs="TimesNewRomanPSMT"/>
          <w:sz w:val="24"/>
          <w:szCs w:val="24"/>
          <w:lang w:val="en-US"/>
        </w:rPr>
        <w:t xml:space="preserve">format as the Measurement Report element with Measurement Type equal to </w:t>
      </w:r>
      <w:proofErr w:type="spellStart"/>
      <w:r w:rsidRPr="002549C1">
        <w:rPr>
          <w:rFonts w:ascii="TimesNewRomanPSMT" w:hAnsi="TimesNewRomanPSMT" w:cs="TimesNewRomanPSMT"/>
          <w:sz w:val="24"/>
          <w:szCs w:val="24"/>
          <w:lang w:val="en-US"/>
        </w:rPr>
        <w:t>LCI.The</w:t>
      </w:r>
      <w:proofErr w:type="spellEnd"/>
      <w:r w:rsidRPr="002549C1">
        <w:rPr>
          <w:rFonts w:ascii="TimesNewRomanPSMT" w:hAnsi="TimesNewRomanPSMT" w:cs="TimesNewRomanPSMT"/>
          <w:sz w:val="24"/>
          <w:szCs w:val="24"/>
          <w:lang w:val="en-US"/>
        </w:rPr>
        <w:t xml:space="preserve"> </w:t>
      </w:r>
      <w:proofErr w:type="spellStart"/>
      <w:r w:rsidRPr="002549C1">
        <w:rPr>
          <w:rFonts w:ascii="TimesNewRomanPSMT" w:hAnsi="TimesNewRomanPSMT" w:cs="TimesNewRomanPSMT"/>
          <w:sz w:val="24"/>
          <w:szCs w:val="24"/>
          <w:lang w:val="en-US"/>
        </w:rPr>
        <w:t>subelement</w:t>
      </w:r>
      <w:proofErr w:type="spellEnd"/>
      <w:r w:rsidRPr="002549C1">
        <w:rPr>
          <w:rFonts w:ascii="TimesNewRomanPSMT" w:hAnsi="TimesNewRomanPSMT" w:cs="TimesNewRomanPSMT"/>
          <w:sz w:val="24"/>
          <w:szCs w:val="24"/>
          <w:lang w:val="en-US"/>
        </w:rPr>
        <w:t xml:space="preserve"> indicates</w:t>
      </w:r>
      <w:r>
        <w:rPr>
          <w:rFonts w:ascii="TimesNewRomanPSMT" w:hAnsi="TimesNewRomanPSMT" w:cs="TimesNewRomanPSMT"/>
          <w:sz w:val="24"/>
          <w:szCs w:val="24"/>
          <w:lang w:val="en-US"/>
        </w:rPr>
        <w:t xml:space="preserve"> </w:t>
      </w:r>
      <w:r w:rsidRPr="002549C1">
        <w:rPr>
          <w:rFonts w:ascii="TimesNewRomanPSMT" w:hAnsi="TimesNewRomanPSMT" w:cs="TimesNewRomanPSMT"/>
          <w:sz w:val="24"/>
          <w:szCs w:val="24"/>
          <w:lang w:val="en-US"/>
        </w:rPr>
        <w:t xml:space="preserve">the LCI of the neighbor STA and further includes the Z </w:t>
      </w:r>
      <w:proofErr w:type="spellStart"/>
      <w:r w:rsidRPr="002549C1">
        <w:rPr>
          <w:rFonts w:ascii="TimesNewRomanPSMT" w:hAnsi="TimesNewRomanPSMT" w:cs="TimesNewRomanPSMT"/>
          <w:sz w:val="24"/>
          <w:szCs w:val="24"/>
          <w:lang w:val="en-US"/>
        </w:rPr>
        <w:t>subelement</w:t>
      </w:r>
      <w:proofErr w:type="spellEnd"/>
      <w:r w:rsidRPr="002549C1">
        <w:rPr>
          <w:rFonts w:ascii="TimesNewRomanPSMT" w:hAnsi="TimesNewRomanPSMT" w:cs="TimesNewRomanPSMT"/>
          <w:sz w:val="24"/>
          <w:szCs w:val="24"/>
          <w:lang w:val="en-US"/>
        </w:rPr>
        <w:t xml:space="preserve">, or the </w:t>
      </w:r>
      <w:proofErr w:type="spellStart"/>
      <w:r w:rsidRPr="002549C1">
        <w:rPr>
          <w:rFonts w:ascii="TimesNewRomanPSMT" w:hAnsi="TimesNewRomanPSMT" w:cs="TimesNewRomanPSMT"/>
          <w:sz w:val="24"/>
          <w:szCs w:val="24"/>
          <w:lang w:val="en-US"/>
        </w:rPr>
        <w:t>subelement</w:t>
      </w:r>
      <w:proofErr w:type="spellEnd"/>
      <w:r w:rsidRPr="002549C1">
        <w:rPr>
          <w:rFonts w:ascii="TimesNewRomanPSMT" w:hAnsi="TimesNewRomanPSMT" w:cs="TimesNewRomanPSMT"/>
          <w:sz w:val="24"/>
          <w:szCs w:val="24"/>
          <w:lang w:val="en-US"/>
        </w:rPr>
        <w:t xml:space="preserve"> indicates an unknown</w:t>
      </w:r>
      <w:r>
        <w:rPr>
          <w:rFonts w:ascii="TimesNewRomanPSMT" w:hAnsi="TimesNewRomanPSMT" w:cs="TimesNewRomanPSMT"/>
          <w:sz w:val="24"/>
          <w:szCs w:val="24"/>
          <w:lang w:val="en-US"/>
        </w:rPr>
        <w:t xml:space="preserve"> </w:t>
      </w:r>
      <w:r w:rsidRPr="002549C1">
        <w:rPr>
          <w:rFonts w:ascii="TimesNewRomanPSMT" w:hAnsi="TimesNewRomanPSMT" w:cs="TimesNewRomanPSMT"/>
          <w:sz w:val="24"/>
          <w:szCs w:val="24"/>
          <w:lang w:val="en-US"/>
        </w:rPr>
        <w:t>LCI (see 10.24.6.7 (LCI and Location Civic retrieval using fine timing measurement procedure)). The Late,</w:t>
      </w:r>
      <w:r>
        <w:rPr>
          <w:rFonts w:ascii="TimesNewRomanPSMT" w:hAnsi="TimesNewRomanPSMT" w:cs="TimesNewRomanPSMT"/>
          <w:sz w:val="24"/>
          <w:szCs w:val="24"/>
          <w:lang w:val="en-US"/>
        </w:rPr>
        <w:t xml:space="preserve"> </w:t>
      </w:r>
      <w:r w:rsidRPr="002549C1">
        <w:rPr>
          <w:rFonts w:ascii="TimesNewRomanPSMT" w:hAnsi="TimesNewRomanPSMT" w:cs="TimesNewRomanPSMT"/>
          <w:sz w:val="24"/>
          <w:szCs w:val="24"/>
          <w:lang w:val="en-US"/>
        </w:rPr>
        <w:t>Incapable and Refused bits in the Measurement Report Mode field are set to 0.</w:t>
      </w:r>
      <w:r>
        <w:rPr>
          <w:rFonts w:ascii="TimesNewRomanPSMT" w:hAnsi="TimesNewRomanPSMT" w:cs="TimesNewRomanPSMT"/>
          <w:sz w:val="24"/>
          <w:szCs w:val="24"/>
          <w:lang w:val="en-US"/>
        </w:rPr>
        <w:t xml:space="preserve"> </w:t>
      </w:r>
      <w:r w:rsidRPr="002549C1">
        <w:rPr>
          <w:rFonts w:ascii="TimesNewRomanPSMT" w:hAnsi="TimesNewRomanPSMT" w:cs="TimesNewRomanPSMT"/>
          <w:color w:val="FF0000"/>
          <w:sz w:val="24"/>
          <w:szCs w:val="24"/>
          <w:lang w:val="en-US"/>
        </w:rPr>
        <w:t xml:space="preserve">The Co-Located BSSID List </w:t>
      </w:r>
      <w:proofErr w:type="spellStart"/>
      <w:r w:rsidRPr="002549C1">
        <w:rPr>
          <w:rFonts w:ascii="TimesNewRomanPSMT" w:hAnsi="TimesNewRomanPSMT" w:cs="TimesNewRomanPSMT"/>
          <w:color w:val="FF0000"/>
          <w:sz w:val="24"/>
          <w:szCs w:val="24"/>
          <w:lang w:val="en-US"/>
        </w:rPr>
        <w:t>subelement</w:t>
      </w:r>
      <w:proofErr w:type="spellEnd"/>
      <w:r w:rsidRPr="002549C1">
        <w:rPr>
          <w:rFonts w:ascii="TimesNewRomanPSMT" w:hAnsi="TimesNewRomanPSMT" w:cs="TimesNewRomanPSMT"/>
          <w:color w:val="FF0000"/>
          <w:sz w:val="24"/>
          <w:szCs w:val="24"/>
          <w:lang w:val="en-US"/>
        </w:rPr>
        <w:t xml:space="preserve"> is present in the Measurement Report </w:t>
      </w:r>
      <w:proofErr w:type="spellStart"/>
      <w:r w:rsidRPr="002549C1">
        <w:rPr>
          <w:rFonts w:ascii="TimesNewRomanPSMT" w:hAnsi="TimesNewRomanPSMT" w:cs="TimesNewRomanPSMT"/>
          <w:color w:val="FF0000"/>
          <w:sz w:val="24"/>
          <w:szCs w:val="24"/>
          <w:lang w:val="en-US"/>
        </w:rPr>
        <w:t>subelement</w:t>
      </w:r>
      <w:proofErr w:type="spellEnd"/>
      <w:r w:rsidRPr="002549C1">
        <w:rPr>
          <w:rFonts w:ascii="TimesNewRomanPSMT" w:hAnsi="TimesNewRomanPSMT" w:cs="TimesNewRomanPSMT"/>
          <w:color w:val="FF0000"/>
          <w:sz w:val="24"/>
          <w:szCs w:val="24"/>
          <w:lang w:val="en-US"/>
        </w:rPr>
        <w:t xml:space="preserve"> of the Neighbor Report element, when there is at least one other BSS which is co-located with the reporting BSS.</w:t>
      </w:r>
    </w:p>
    <w:p w14:paraId="672F76A6" w14:textId="77777777" w:rsidR="002549C1" w:rsidRDefault="002549C1" w:rsidP="002549C1">
      <w:pPr>
        <w:autoSpaceDE w:val="0"/>
        <w:autoSpaceDN w:val="0"/>
        <w:adjustRightInd w:val="0"/>
        <w:rPr>
          <w:rFonts w:ascii="TimesNewRomanPSMT" w:hAnsi="TimesNewRomanPSMT" w:cs="TimesNewRomanPSMT"/>
          <w:sz w:val="24"/>
          <w:szCs w:val="24"/>
          <w:lang w:val="en-US"/>
        </w:rPr>
      </w:pPr>
    </w:p>
    <w:p w14:paraId="2EAF9C78" w14:textId="77777777" w:rsidR="002549C1" w:rsidRDefault="002549C1" w:rsidP="002549C1">
      <w:pPr>
        <w:autoSpaceDE w:val="0"/>
        <w:autoSpaceDN w:val="0"/>
        <w:adjustRightInd w:val="0"/>
        <w:rPr>
          <w:rFonts w:ascii="TimesNewRomanPSMT" w:hAnsi="TimesNewRomanPSMT" w:cs="TimesNewRomanPSMT"/>
          <w:sz w:val="24"/>
          <w:szCs w:val="24"/>
          <w:lang w:val="en-US"/>
        </w:rPr>
      </w:pPr>
    </w:p>
    <w:p w14:paraId="6E9B7447" w14:textId="77777777" w:rsidR="002549C1" w:rsidRPr="002549C1" w:rsidRDefault="002549C1" w:rsidP="002549C1">
      <w:pPr>
        <w:autoSpaceDE w:val="0"/>
        <w:autoSpaceDN w:val="0"/>
        <w:adjustRightInd w:val="0"/>
        <w:rPr>
          <w:rFonts w:ascii="TimesNewRomanPSMT" w:hAnsi="TimesNewRomanPSMT" w:cs="TimesNewRomanPSMT"/>
          <w:strike/>
          <w:color w:val="FF0000"/>
          <w:sz w:val="24"/>
          <w:szCs w:val="24"/>
          <w:lang w:val="en-US"/>
        </w:rPr>
      </w:pPr>
      <w:r w:rsidRPr="002549C1">
        <w:rPr>
          <w:rFonts w:ascii="TimesNewRomanPSMT" w:hAnsi="TimesNewRomanPSMT" w:cs="TimesNewRomanPSMT"/>
          <w:sz w:val="24"/>
          <w:szCs w:val="24"/>
          <w:lang w:val="en-US"/>
        </w:rPr>
        <w:t xml:space="preserve">A Measurement Report </w:t>
      </w:r>
      <w:proofErr w:type="spellStart"/>
      <w:r w:rsidRPr="002549C1">
        <w:rPr>
          <w:rFonts w:ascii="TimesNewRomanPSMT" w:hAnsi="TimesNewRomanPSMT" w:cs="TimesNewRomanPSMT"/>
          <w:sz w:val="24"/>
          <w:szCs w:val="24"/>
          <w:lang w:val="en-US"/>
        </w:rPr>
        <w:t>subelement</w:t>
      </w:r>
      <w:proofErr w:type="spellEnd"/>
      <w:r w:rsidRPr="002549C1">
        <w:rPr>
          <w:rFonts w:ascii="TimesNewRomanPSMT" w:hAnsi="TimesNewRomanPSMT" w:cs="TimesNewRomanPSMT"/>
          <w:sz w:val="24"/>
          <w:szCs w:val="24"/>
          <w:lang w:val="en-US"/>
        </w:rPr>
        <w:t xml:space="preserve"> with Measurement Type equal to Location Civic (see Table 8-104</w:t>
      </w:r>
      <w:r>
        <w:rPr>
          <w:rFonts w:ascii="TimesNewRomanPSMT" w:hAnsi="TimesNewRomanPSMT" w:cs="TimesNewRomanPSMT"/>
          <w:sz w:val="24"/>
          <w:szCs w:val="24"/>
          <w:lang w:val="en-US"/>
        </w:rPr>
        <w:t xml:space="preserve"> </w:t>
      </w:r>
      <w:r w:rsidRPr="002549C1">
        <w:rPr>
          <w:rFonts w:ascii="TimesNewRomanPSMT" w:hAnsi="TimesNewRomanPSMT" w:cs="TimesNewRomanPSMT"/>
          <w:sz w:val="24"/>
          <w:szCs w:val="24"/>
          <w:lang w:val="en-US"/>
        </w:rPr>
        <w:t xml:space="preserve">(Measurement Type definitions for measurement reports)) is optionally present. If present, the </w:t>
      </w:r>
      <w:proofErr w:type="spellStart"/>
      <w:r w:rsidRPr="002549C1">
        <w:rPr>
          <w:rFonts w:ascii="TimesNewRomanPSMT" w:hAnsi="TimesNewRomanPSMT" w:cs="TimesNewRomanPSMT"/>
          <w:sz w:val="24"/>
          <w:szCs w:val="24"/>
          <w:lang w:val="en-US"/>
        </w:rPr>
        <w:t>subelement</w:t>
      </w:r>
      <w:proofErr w:type="spellEnd"/>
      <w:r>
        <w:rPr>
          <w:rFonts w:ascii="TimesNewRomanPSMT" w:hAnsi="TimesNewRomanPSMT" w:cs="TimesNewRomanPSMT"/>
          <w:sz w:val="24"/>
          <w:szCs w:val="24"/>
          <w:lang w:val="en-US"/>
        </w:rPr>
        <w:t xml:space="preserve"> </w:t>
      </w:r>
      <w:r w:rsidRPr="002549C1">
        <w:rPr>
          <w:rFonts w:ascii="TimesNewRomanPSMT" w:hAnsi="TimesNewRomanPSMT" w:cs="TimesNewRomanPSMT"/>
          <w:sz w:val="24"/>
          <w:szCs w:val="24"/>
          <w:lang w:val="en-US"/>
        </w:rPr>
        <w:t>has the same format as the Measurement Report element with Measurement Type equal to Location Civic,</w:t>
      </w:r>
      <w:r>
        <w:rPr>
          <w:rFonts w:ascii="TimesNewRomanPSMT" w:hAnsi="TimesNewRomanPSMT" w:cs="TimesNewRomanPSMT"/>
          <w:sz w:val="24"/>
          <w:szCs w:val="24"/>
          <w:lang w:val="en-US"/>
        </w:rPr>
        <w:t xml:space="preserve"> </w:t>
      </w:r>
      <w:r w:rsidRPr="002549C1">
        <w:rPr>
          <w:rFonts w:ascii="TimesNewRomanPSMT" w:hAnsi="TimesNewRomanPSMT" w:cs="TimesNewRomanPSMT"/>
          <w:sz w:val="24"/>
          <w:szCs w:val="24"/>
          <w:lang w:val="en-US"/>
        </w:rPr>
        <w:t xml:space="preserve">and the </w:t>
      </w:r>
      <w:proofErr w:type="spellStart"/>
      <w:r w:rsidRPr="002549C1">
        <w:rPr>
          <w:rFonts w:ascii="TimesNewRomanPSMT" w:hAnsi="TimesNewRomanPSMT" w:cs="TimesNewRomanPSMT"/>
          <w:sz w:val="24"/>
          <w:szCs w:val="24"/>
          <w:lang w:val="en-US"/>
        </w:rPr>
        <w:t>subelement</w:t>
      </w:r>
      <w:proofErr w:type="spellEnd"/>
      <w:r w:rsidRPr="002549C1">
        <w:rPr>
          <w:rFonts w:ascii="TimesNewRomanPSMT" w:hAnsi="TimesNewRomanPSMT" w:cs="TimesNewRomanPSMT"/>
          <w:sz w:val="24"/>
          <w:szCs w:val="24"/>
          <w:lang w:val="en-US"/>
        </w:rPr>
        <w:t xml:space="preserve"> indicates the civic address of the transmitting STA or an unknown civic address (see</w:t>
      </w:r>
      <w:r>
        <w:rPr>
          <w:rFonts w:ascii="TimesNewRomanPSMT" w:hAnsi="TimesNewRomanPSMT" w:cs="TimesNewRomanPSMT"/>
          <w:sz w:val="24"/>
          <w:szCs w:val="24"/>
          <w:lang w:val="en-US"/>
        </w:rPr>
        <w:t xml:space="preserve"> </w:t>
      </w:r>
      <w:r w:rsidRPr="002549C1">
        <w:rPr>
          <w:rFonts w:ascii="TimesNewRomanPSMT" w:hAnsi="TimesNewRomanPSMT" w:cs="TimesNewRomanPSMT"/>
          <w:sz w:val="24"/>
          <w:szCs w:val="24"/>
          <w:lang w:val="en-US"/>
        </w:rPr>
        <w:t>10.24.6.7 (LCI and Location Civic retrieval using fine timing measurement procedure)). The Late, Incapable</w:t>
      </w:r>
      <w:r>
        <w:rPr>
          <w:rFonts w:ascii="TimesNewRomanPSMT" w:hAnsi="TimesNewRomanPSMT" w:cs="TimesNewRomanPSMT"/>
          <w:sz w:val="24"/>
          <w:szCs w:val="24"/>
          <w:lang w:val="en-US"/>
        </w:rPr>
        <w:t xml:space="preserve"> </w:t>
      </w:r>
      <w:r w:rsidRPr="002549C1">
        <w:rPr>
          <w:rFonts w:ascii="TimesNewRomanPSMT" w:hAnsi="TimesNewRomanPSMT" w:cs="TimesNewRomanPSMT"/>
          <w:sz w:val="24"/>
          <w:szCs w:val="24"/>
          <w:lang w:val="en-US"/>
        </w:rPr>
        <w:t xml:space="preserve">and Refused bits in the Measurement Report Mode field are set to 0. </w:t>
      </w:r>
      <w:r w:rsidRPr="002549C1">
        <w:rPr>
          <w:rFonts w:ascii="TimesNewRomanPSMT" w:hAnsi="TimesNewRomanPSMT" w:cs="TimesNewRomanPSMT"/>
          <w:strike/>
          <w:color w:val="FF0000"/>
          <w:sz w:val="24"/>
          <w:szCs w:val="24"/>
          <w:lang w:val="en-US"/>
        </w:rPr>
        <w:t xml:space="preserve">The Co-Located BSSID List </w:t>
      </w:r>
      <w:proofErr w:type="spellStart"/>
      <w:r w:rsidRPr="002549C1">
        <w:rPr>
          <w:rFonts w:ascii="TimesNewRomanPSMT" w:hAnsi="TimesNewRomanPSMT" w:cs="TimesNewRomanPSMT"/>
          <w:strike/>
          <w:color w:val="FF0000"/>
          <w:sz w:val="24"/>
          <w:szCs w:val="24"/>
          <w:lang w:val="en-US"/>
        </w:rPr>
        <w:t>subelement</w:t>
      </w:r>
      <w:proofErr w:type="spellEnd"/>
      <w:r w:rsidRPr="002549C1">
        <w:rPr>
          <w:rFonts w:ascii="TimesNewRomanPSMT" w:hAnsi="TimesNewRomanPSMT" w:cs="TimesNewRomanPSMT"/>
          <w:strike/>
          <w:color w:val="FF0000"/>
          <w:sz w:val="24"/>
          <w:szCs w:val="24"/>
          <w:lang w:val="en-US"/>
        </w:rPr>
        <w:t xml:space="preserve"> is present in the Measurement Report </w:t>
      </w:r>
      <w:proofErr w:type="spellStart"/>
      <w:r w:rsidRPr="002549C1">
        <w:rPr>
          <w:rFonts w:ascii="TimesNewRomanPSMT" w:hAnsi="TimesNewRomanPSMT" w:cs="TimesNewRomanPSMT"/>
          <w:strike/>
          <w:color w:val="FF0000"/>
          <w:sz w:val="24"/>
          <w:szCs w:val="24"/>
          <w:lang w:val="en-US"/>
        </w:rPr>
        <w:t>subelement</w:t>
      </w:r>
      <w:proofErr w:type="spellEnd"/>
      <w:r w:rsidRPr="002549C1">
        <w:rPr>
          <w:rFonts w:ascii="TimesNewRomanPSMT" w:hAnsi="TimesNewRomanPSMT" w:cs="TimesNewRomanPSMT"/>
          <w:strike/>
          <w:color w:val="FF0000"/>
          <w:sz w:val="24"/>
          <w:szCs w:val="24"/>
          <w:lang w:val="en-US"/>
        </w:rPr>
        <w:t xml:space="preserve"> of the Neighbor Report element, when there is at least one other BSS which is co-located with the reporting BSS.</w:t>
      </w:r>
    </w:p>
    <w:p w14:paraId="79B10AE9" w14:textId="33EEE387" w:rsidR="002549C1" w:rsidRDefault="002549C1" w:rsidP="002549C1">
      <w:pPr>
        <w:autoSpaceDE w:val="0"/>
        <w:autoSpaceDN w:val="0"/>
        <w:adjustRightInd w:val="0"/>
        <w:rPr>
          <w:i/>
          <w:color w:val="FF0000"/>
          <w:sz w:val="24"/>
          <w:szCs w:val="24"/>
        </w:rPr>
      </w:pPr>
    </w:p>
    <w:p w14:paraId="4C05316A" w14:textId="612A69E7" w:rsidR="002549C1" w:rsidRPr="002549C1" w:rsidRDefault="002549C1" w:rsidP="007F2FDA">
      <w:pPr>
        <w:spacing w:after="240"/>
        <w:rPr>
          <w:sz w:val="24"/>
          <w:szCs w:val="24"/>
        </w:rPr>
      </w:pPr>
      <w:r w:rsidRPr="002549C1">
        <w:rPr>
          <w:sz w:val="24"/>
          <w:szCs w:val="24"/>
        </w:rPr>
        <w:t>…</w:t>
      </w:r>
    </w:p>
    <w:p w14:paraId="0568814E" w14:textId="213747A9" w:rsidR="000B150D" w:rsidRDefault="000B150D" w:rsidP="006D2F56">
      <w:pPr>
        <w:autoSpaceDE w:val="0"/>
        <w:autoSpaceDN w:val="0"/>
        <w:adjustRightInd w:val="0"/>
        <w:rPr>
          <w:sz w:val="24"/>
          <w:szCs w:val="24"/>
          <w:lang w:val="en-US"/>
        </w:rPr>
      </w:pPr>
      <w:r w:rsidRPr="000B150D">
        <w:rPr>
          <w:sz w:val="24"/>
          <w:szCs w:val="24"/>
          <w:lang w:val="en-US"/>
        </w:rPr>
        <w:t xml:space="preserve">The VHT Operation </w:t>
      </w:r>
      <w:proofErr w:type="spellStart"/>
      <w:r w:rsidRPr="000B150D">
        <w:rPr>
          <w:sz w:val="24"/>
          <w:szCs w:val="24"/>
          <w:lang w:val="en-US"/>
        </w:rPr>
        <w:t>subelement</w:t>
      </w:r>
      <w:proofErr w:type="spellEnd"/>
      <w:r w:rsidRPr="000B150D">
        <w:rPr>
          <w:sz w:val="24"/>
          <w:szCs w:val="24"/>
          <w:lang w:val="en-US"/>
        </w:rPr>
        <w:t xml:space="preserve"> is the same as the VHT Operation eleme</w:t>
      </w:r>
      <w:r w:rsidR="006D2F56">
        <w:rPr>
          <w:sz w:val="24"/>
          <w:szCs w:val="24"/>
          <w:lang w:val="en-US"/>
        </w:rPr>
        <w:t xml:space="preserve">nt as defined in 8.4.2.158 (VHT </w:t>
      </w:r>
      <w:r w:rsidRPr="000B150D">
        <w:rPr>
          <w:sz w:val="24"/>
          <w:szCs w:val="24"/>
          <w:lang w:val="en-US"/>
        </w:rPr>
        <w:t>Operation element).</w:t>
      </w:r>
    </w:p>
    <w:p w14:paraId="7E1AF6FC" w14:textId="77777777" w:rsidR="006D2F56" w:rsidRPr="006D2F56" w:rsidRDefault="006D2F56" w:rsidP="006D2F56">
      <w:pPr>
        <w:autoSpaceDE w:val="0"/>
        <w:autoSpaceDN w:val="0"/>
        <w:adjustRightInd w:val="0"/>
        <w:rPr>
          <w:sz w:val="24"/>
          <w:szCs w:val="24"/>
          <w:lang w:val="en-US"/>
        </w:rPr>
      </w:pPr>
    </w:p>
    <w:p w14:paraId="113014E7" w14:textId="364805D1" w:rsidR="006D7D9C" w:rsidRPr="000B150D" w:rsidRDefault="006D7D9C" w:rsidP="007F2FDA">
      <w:pPr>
        <w:spacing w:after="240"/>
        <w:rPr>
          <w:color w:val="FF0000"/>
          <w:sz w:val="24"/>
          <w:szCs w:val="24"/>
        </w:rPr>
      </w:pPr>
      <w:r w:rsidRPr="000B150D">
        <w:rPr>
          <w:color w:val="FF0000"/>
          <w:sz w:val="24"/>
          <w:szCs w:val="24"/>
        </w:rPr>
        <w:t>Th</w:t>
      </w:r>
      <w:r w:rsidR="00D2576F" w:rsidRPr="000B150D">
        <w:rPr>
          <w:color w:val="FF0000"/>
          <w:sz w:val="24"/>
          <w:szCs w:val="24"/>
        </w:rPr>
        <w:t>e Wide Bandwidth Channel</w:t>
      </w:r>
      <w:r w:rsidRPr="000B150D">
        <w:rPr>
          <w:color w:val="FF0000"/>
          <w:sz w:val="24"/>
          <w:szCs w:val="24"/>
        </w:rPr>
        <w:t xml:space="preserve"> </w:t>
      </w:r>
      <w:proofErr w:type="spellStart"/>
      <w:r w:rsidRPr="000B150D">
        <w:rPr>
          <w:color w:val="FF0000"/>
          <w:sz w:val="24"/>
          <w:szCs w:val="24"/>
        </w:rPr>
        <w:t>subelement</w:t>
      </w:r>
      <w:proofErr w:type="spellEnd"/>
      <w:r w:rsidRPr="000B150D">
        <w:rPr>
          <w:color w:val="FF0000"/>
          <w:sz w:val="24"/>
          <w:szCs w:val="24"/>
        </w:rPr>
        <w:t xml:space="preserve"> is shown in Figure </w:t>
      </w:r>
      <w:r w:rsidR="00D2576F" w:rsidRPr="000B150D">
        <w:rPr>
          <w:color w:val="FF0000"/>
          <w:sz w:val="24"/>
          <w:szCs w:val="24"/>
        </w:rPr>
        <w:t>xx-</w:t>
      </w:r>
      <w:proofErr w:type="spellStart"/>
      <w:r w:rsidR="00D2576F" w:rsidRPr="000B150D">
        <w:rPr>
          <w:color w:val="FF0000"/>
          <w:sz w:val="24"/>
          <w:szCs w:val="24"/>
        </w:rPr>
        <w:t>yyy</w:t>
      </w:r>
      <w:proofErr w:type="spellEnd"/>
      <w:r w:rsidR="00D2576F" w:rsidRPr="000B150D">
        <w:rPr>
          <w:color w:val="FF0000"/>
          <w:sz w:val="24"/>
          <w:szCs w:val="24"/>
        </w:rPr>
        <w:t xml:space="preserve"> (Wide Bandwidth Channel </w:t>
      </w:r>
      <w:proofErr w:type="spellStart"/>
      <w:r w:rsidR="00D2576F" w:rsidRPr="000B150D">
        <w:rPr>
          <w:color w:val="FF0000"/>
          <w:sz w:val="24"/>
          <w:szCs w:val="24"/>
        </w:rPr>
        <w:t>subelement</w:t>
      </w:r>
      <w:proofErr w:type="spellEnd"/>
      <w:r w:rsidR="00D2576F" w:rsidRPr="000B150D">
        <w:rPr>
          <w:color w:val="FF0000"/>
          <w:sz w:val="24"/>
          <w:szCs w:val="24"/>
        </w:rPr>
        <w:t xml:space="preserve"> format</w:t>
      </w:r>
      <w:r w:rsidRPr="000B150D">
        <w:rPr>
          <w:color w:val="FF0000"/>
          <w:sz w:val="24"/>
          <w:szCs w:val="24"/>
        </w:rPr>
        <w:t>)</w:t>
      </w:r>
    </w:p>
    <w:p w14:paraId="2637BA8C" w14:textId="77777777" w:rsidR="006D7D9C" w:rsidRPr="000B150D" w:rsidRDefault="006D7D9C" w:rsidP="007F2FDA">
      <w:pPr>
        <w:spacing w:after="240"/>
        <w:rPr>
          <w:color w:val="FF0000"/>
          <w:sz w:val="24"/>
          <w:szCs w:val="24"/>
        </w:rPr>
      </w:pPr>
    </w:p>
    <w:tbl>
      <w:tblPr>
        <w:tblStyle w:val="TableGrid"/>
        <w:tblW w:w="0" w:type="auto"/>
        <w:tblLook w:val="04A0" w:firstRow="1" w:lastRow="0" w:firstColumn="1" w:lastColumn="0" w:noHBand="0" w:noVBand="1"/>
      </w:tblPr>
      <w:tblGrid>
        <w:gridCol w:w="2014"/>
        <w:gridCol w:w="2014"/>
        <w:gridCol w:w="2014"/>
        <w:gridCol w:w="2014"/>
        <w:gridCol w:w="2014"/>
      </w:tblGrid>
      <w:tr w:rsidR="000B150D" w:rsidRPr="000B150D" w14:paraId="686F80E5" w14:textId="77777777" w:rsidTr="006D7D9C">
        <w:tc>
          <w:tcPr>
            <w:tcW w:w="2014" w:type="dxa"/>
          </w:tcPr>
          <w:p w14:paraId="60A06008" w14:textId="18B0BC57" w:rsidR="006D7D9C" w:rsidRPr="000B150D" w:rsidRDefault="006D7D9C" w:rsidP="007F2FDA">
            <w:pPr>
              <w:spacing w:after="240"/>
              <w:rPr>
                <w:color w:val="FF0000"/>
                <w:sz w:val="24"/>
                <w:szCs w:val="24"/>
              </w:rPr>
            </w:pPr>
            <w:proofErr w:type="spellStart"/>
            <w:r w:rsidRPr="000B150D">
              <w:rPr>
                <w:color w:val="FF0000"/>
                <w:sz w:val="24"/>
                <w:szCs w:val="24"/>
              </w:rPr>
              <w:t>Subelement</w:t>
            </w:r>
            <w:proofErr w:type="spellEnd"/>
            <w:r w:rsidRPr="000B150D">
              <w:rPr>
                <w:color w:val="FF0000"/>
                <w:sz w:val="24"/>
                <w:szCs w:val="24"/>
              </w:rPr>
              <w:t xml:space="preserve"> ID</w:t>
            </w:r>
          </w:p>
        </w:tc>
        <w:tc>
          <w:tcPr>
            <w:tcW w:w="2014" w:type="dxa"/>
          </w:tcPr>
          <w:p w14:paraId="0390FEA8" w14:textId="4F3625B4" w:rsidR="006D7D9C" w:rsidRPr="000B150D" w:rsidRDefault="006D7D9C" w:rsidP="007F2FDA">
            <w:pPr>
              <w:spacing w:after="240"/>
              <w:rPr>
                <w:color w:val="FF0000"/>
                <w:sz w:val="24"/>
                <w:szCs w:val="24"/>
              </w:rPr>
            </w:pPr>
            <w:r w:rsidRPr="000B150D">
              <w:rPr>
                <w:color w:val="FF0000"/>
                <w:sz w:val="24"/>
                <w:szCs w:val="24"/>
              </w:rPr>
              <w:t>Length</w:t>
            </w:r>
          </w:p>
        </w:tc>
        <w:tc>
          <w:tcPr>
            <w:tcW w:w="2014" w:type="dxa"/>
          </w:tcPr>
          <w:p w14:paraId="6C862E26" w14:textId="6B514AE5" w:rsidR="006D7D9C" w:rsidRPr="000B150D" w:rsidRDefault="006D7D9C" w:rsidP="007F2FDA">
            <w:pPr>
              <w:spacing w:after="240"/>
              <w:rPr>
                <w:color w:val="FF0000"/>
                <w:sz w:val="24"/>
                <w:szCs w:val="24"/>
              </w:rPr>
            </w:pPr>
            <w:r w:rsidRPr="000B150D">
              <w:rPr>
                <w:color w:val="FF0000"/>
                <w:sz w:val="24"/>
                <w:szCs w:val="24"/>
              </w:rPr>
              <w:t>Channel Width</w:t>
            </w:r>
          </w:p>
        </w:tc>
        <w:tc>
          <w:tcPr>
            <w:tcW w:w="2014" w:type="dxa"/>
          </w:tcPr>
          <w:p w14:paraId="72A54DB4" w14:textId="28B33199" w:rsidR="006D7D9C" w:rsidRPr="000B150D" w:rsidRDefault="006D7D9C" w:rsidP="007F2FDA">
            <w:pPr>
              <w:spacing w:after="240"/>
              <w:rPr>
                <w:color w:val="FF0000"/>
                <w:sz w:val="24"/>
                <w:szCs w:val="24"/>
              </w:rPr>
            </w:pPr>
            <w:r w:rsidRPr="000B150D">
              <w:rPr>
                <w:color w:val="FF0000"/>
                <w:sz w:val="24"/>
                <w:szCs w:val="24"/>
              </w:rPr>
              <w:t xml:space="preserve">Channel </w:t>
            </w:r>
            <w:proofErr w:type="spellStart"/>
            <w:r w:rsidRPr="000B150D">
              <w:rPr>
                <w:color w:val="FF0000"/>
                <w:sz w:val="24"/>
                <w:szCs w:val="24"/>
              </w:rPr>
              <w:t>Center</w:t>
            </w:r>
            <w:proofErr w:type="spellEnd"/>
            <w:r w:rsidRPr="000B150D">
              <w:rPr>
                <w:color w:val="FF0000"/>
                <w:sz w:val="24"/>
                <w:szCs w:val="24"/>
              </w:rPr>
              <w:t xml:space="preserve"> Frequency Segment 0</w:t>
            </w:r>
          </w:p>
        </w:tc>
        <w:tc>
          <w:tcPr>
            <w:tcW w:w="2014" w:type="dxa"/>
          </w:tcPr>
          <w:p w14:paraId="4AA2F3CB" w14:textId="7D827E8A" w:rsidR="006D7D9C" w:rsidRPr="000B150D" w:rsidRDefault="006D7D9C" w:rsidP="007F2FDA">
            <w:pPr>
              <w:spacing w:after="240"/>
              <w:rPr>
                <w:color w:val="FF0000"/>
                <w:sz w:val="24"/>
                <w:szCs w:val="24"/>
              </w:rPr>
            </w:pPr>
            <w:r w:rsidRPr="000B150D">
              <w:rPr>
                <w:color w:val="FF0000"/>
                <w:sz w:val="24"/>
                <w:szCs w:val="24"/>
              </w:rPr>
              <w:t xml:space="preserve">Channel </w:t>
            </w:r>
            <w:proofErr w:type="spellStart"/>
            <w:r w:rsidRPr="000B150D">
              <w:rPr>
                <w:color w:val="FF0000"/>
                <w:sz w:val="24"/>
                <w:szCs w:val="24"/>
              </w:rPr>
              <w:t>Center</w:t>
            </w:r>
            <w:proofErr w:type="spellEnd"/>
            <w:r w:rsidRPr="000B150D">
              <w:rPr>
                <w:color w:val="FF0000"/>
                <w:sz w:val="24"/>
                <w:szCs w:val="24"/>
              </w:rPr>
              <w:t xml:space="preserve"> Frequency Segment 1</w:t>
            </w:r>
          </w:p>
        </w:tc>
      </w:tr>
    </w:tbl>
    <w:p w14:paraId="0A543BA6" w14:textId="49704640" w:rsidR="006D7D9C" w:rsidRPr="000B150D" w:rsidRDefault="002E7320" w:rsidP="007F2FDA">
      <w:pPr>
        <w:spacing w:after="240"/>
        <w:rPr>
          <w:color w:val="FF0000"/>
          <w:sz w:val="24"/>
          <w:szCs w:val="24"/>
        </w:rPr>
      </w:pPr>
      <w:proofErr w:type="gramStart"/>
      <w:r>
        <w:rPr>
          <w:color w:val="FF0000"/>
          <w:sz w:val="24"/>
          <w:szCs w:val="24"/>
        </w:rPr>
        <w:t>Octets :</w:t>
      </w:r>
      <w:proofErr w:type="gramEnd"/>
      <w:r>
        <w:rPr>
          <w:color w:val="FF0000"/>
          <w:sz w:val="24"/>
          <w:szCs w:val="24"/>
        </w:rPr>
        <w:t xml:space="preserve"> 1                                    1                            1                           1                                       1</w:t>
      </w:r>
    </w:p>
    <w:p w14:paraId="661CA84B" w14:textId="4DD5E2CC" w:rsidR="006D7D9C" w:rsidRPr="000B150D" w:rsidRDefault="006D7D9C" w:rsidP="006D7D9C">
      <w:pPr>
        <w:spacing w:after="240"/>
        <w:jc w:val="center"/>
        <w:rPr>
          <w:color w:val="FF0000"/>
          <w:sz w:val="24"/>
          <w:szCs w:val="24"/>
        </w:rPr>
      </w:pPr>
      <w:r w:rsidRPr="000B150D">
        <w:rPr>
          <w:color w:val="FF0000"/>
          <w:sz w:val="24"/>
          <w:szCs w:val="24"/>
        </w:rPr>
        <w:t>Figure xx-</w:t>
      </w:r>
      <w:proofErr w:type="spellStart"/>
      <w:r w:rsidRPr="000B150D">
        <w:rPr>
          <w:color w:val="FF0000"/>
          <w:sz w:val="24"/>
          <w:szCs w:val="24"/>
        </w:rPr>
        <w:t>yyy</w:t>
      </w:r>
      <w:proofErr w:type="spellEnd"/>
      <w:r w:rsidR="00D2576F" w:rsidRPr="000B150D">
        <w:rPr>
          <w:color w:val="FF0000"/>
          <w:sz w:val="24"/>
          <w:szCs w:val="24"/>
        </w:rPr>
        <w:t xml:space="preserve"> (Wide Bandwidth Channel </w:t>
      </w:r>
      <w:proofErr w:type="spellStart"/>
      <w:r w:rsidR="00D2576F" w:rsidRPr="000B150D">
        <w:rPr>
          <w:color w:val="FF0000"/>
          <w:sz w:val="24"/>
          <w:szCs w:val="24"/>
        </w:rPr>
        <w:t>subelement</w:t>
      </w:r>
      <w:proofErr w:type="spellEnd"/>
      <w:r w:rsidR="00D2576F" w:rsidRPr="000B150D">
        <w:rPr>
          <w:color w:val="FF0000"/>
          <w:sz w:val="24"/>
          <w:szCs w:val="24"/>
        </w:rPr>
        <w:t xml:space="preserve"> format)</w:t>
      </w:r>
    </w:p>
    <w:p w14:paraId="747142AC" w14:textId="34A5AD7C" w:rsidR="006D7D9C" w:rsidRPr="000B150D" w:rsidRDefault="006D7D9C" w:rsidP="007F2FDA">
      <w:pPr>
        <w:spacing w:after="240"/>
        <w:rPr>
          <w:color w:val="FF0000"/>
          <w:sz w:val="24"/>
          <w:szCs w:val="24"/>
        </w:rPr>
      </w:pPr>
      <w:r w:rsidRPr="000B150D">
        <w:rPr>
          <w:color w:val="FF0000"/>
          <w:sz w:val="24"/>
          <w:szCs w:val="24"/>
        </w:rPr>
        <w:t xml:space="preserve">The </w:t>
      </w:r>
      <w:proofErr w:type="spellStart"/>
      <w:r w:rsidRPr="000B150D">
        <w:rPr>
          <w:color w:val="FF0000"/>
          <w:sz w:val="24"/>
          <w:szCs w:val="24"/>
        </w:rPr>
        <w:t>Subelement</w:t>
      </w:r>
      <w:proofErr w:type="spellEnd"/>
      <w:r w:rsidRPr="000B150D">
        <w:rPr>
          <w:color w:val="FF0000"/>
          <w:sz w:val="24"/>
          <w:szCs w:val="24"/>
        </w:rPr>
        <w:t xml:space="preserve"> ID field is equal to the value for Wide Bandwidth Channel Element </w:t>
      </w:r>
      <w:r w:rsidR="00D2576F" w:rsidRPr="000B150D">
        <w:rPr>
          <w:color w:val="FF0000"/>
          <w:sz w:val="24"/>
          <w:szCs w:val="24"/>
        </w:rPr>
        <w:t>in Table 8-148 (</w:t>
      </w:r>
      <w:r w:rsidR="00D2576F" w:rsidRPr="000B150D">
        <w:rPr>
          <w:bCs/>
          <w:color w:val="FF0000"/>
          <w:sz w:val="24"/>
          <w:szCs w:val="24"/>
          <w:lang w:val="en-US"/>
        </w:rPr>
        <w:t xml:space="preserve">Optional </w:t>
      </w:r>
      <w:proofErr w:type="spellStart"/>
      <w:r w:rsidR="00D2576F" w:rsidRPr="000B150D">
        <w:rPr>
          <w:bCs/>
          <w:color w:val="FF0000"/>
          <w:sz w:val="24"/>
          <w:szCs w:val="24"/>
          <w:lang w:val="en-US"/>
        </w:rPr>
        <w:t>subelement</w:t>
      </w:r>
      <w:proofErr w:type="spellEnd"/>
      <w:r w:rsidR="00D2576F" w:rsidRPr="000B150D">
        <w:rPr>
          <w:bCs/>
          <w:color w:val="FF0000"/>
          <w:sz w:val="24"/>
          <w:szCs w:val="24"/>
          <w:lang w:val="en-US"/>
        </w:rPr>
        <w:t xml:space="preserve"> IDs for neighbor report</w:t>
      </w:r>
      <w:r w:rsidRPr="000B150D">
        <w:rPr>
          <w:color w:val="FF0000"/>
          <w:sz w:val="24"/>
          <w:szCs w:val="24"/>
        </w:rPr>
        <w:t xml:space="preserve">).  </w:t>
      </w:r>
    </w:p>
    <w:p w14:paraId="0C22CA81" w14:textId="2DBF7DE6" w:rsidR="006D7D9C" w:rsidRPr="000B150D" w:rsidRDefault="006D7D9C" w:rsidP="007F2FDA">
      <w:pPr>
        <w:spacing w:after="240"/>
        <w:rPr>
          <w:color w:val="FF0000"/>
          <w:sz w:val="24"/>
          <w:szCs w:val="24"/>
        </w:rPr>
      </w:pPr>
      <w:r w:rsidRPr="000B150D">
        <w:rPr>
          <w:color w:val="FF0000"/>
          <w:sz w:val="24"/>
          <w:szCs w:val="24"/>
          <w:lang w:val="en-US"/>
        </w:rPr>
        <w:lastRenderedPageBreak/>
        <w:t>The Length field is defined in 8.4.3 (</w:t>
      </w:r>
      <w:proofErr w:type="spellStart"/>
      <w:r w:rsidRPr="000B150D">
        <w:rPr>
          <w:color w:val="FF0000"/>
          <w:sz w:val="24"/>
          <w:szCs w:val="24"/>
          <w:lang w:val="en-US"/>
        </w:rPr>
        <w:t>Subelements</w:t>
      </w:r>
      <w:proofErr w:type="spellEnd"/>
      <w:r w:rsidRPr="000B150D">
        <w:rPr>
          <w:color w:val="FF0000"/>
          <w:sz w:val="24"/>
          <w:szCs w:val="24"/>
          <w:lang w:val="en-US"/>
        </w:rPr>
        <w:t>).</w:t>
      </w:r>
    </w:p>
    <w:p w14:paraId="339AFCCA" w14:textId="06D8FA2A"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The subfields Channel Width, Channel Center Frequency Segment 0, and Channel Center</w:t>
      </w:r>
    </w:p>
    <w:p w14:paraId="7E92D691" w14:textId="69CBEDC1" w:rsidR="006D7D9C" w:rsidRPr="000B150D" w:rsidRDefault="006D7D9C" w:rsidP="00AA0335">
      <w:pPr>
        <w:autoSpaceDE w:val="0"/>
        <w:autoSpaceDN w:val="0"/>
        <w:adjustRightInd w:val="0"/>
        <w:rPr>
          <w:color w:val="FF0000"/>
          <w:sz w:val="24"/>
          <w:szCs w:val="24"/>
          <w:lang w:val="en-US"/>
        </w:rPr>
      </w:pPr>
      <w:r w:rsidRPr="000B150D">
        <w:rPr>
          <w:color w:val="FF0000"/>
          <w:sz w:val="24"/>
          <w:szCs w:val="24"/>
          <w:lang w:val="en-US"/>
        </w:rPr>
        <w:t>Frequency Segment 1 have the definition</w:t>
      </w:r>
      <w:r w:rsidR="003A1D29">
        <w:rPr>
          <w:color w:val="FF0000"/>
          <w:sz w:val="24"/>
          <w:szCs w:val="24"/>
          <w:lang w:val="en-US"/>
        </w:rPr>
        <w:t xml:space="preserve"> as </w:t>
      </w:r>
      <w:r w:rsidRPr="000B150D">
        <w:rPr>
          <w:color w:val="FF0000"/>
          <w:sz w:val="24"/>
          <w:szCs w:val="24"/>
          <w:lang w:val="en-US"/>
        </w:rPr>
        <w:t>described in</w:t>
      </w:r>
      <w:r w:rsidR="00B35459">
        <w:rPr>
          <w:color w:val="FF0000"/>
          <w:sz w:val="24"/>
          <w:szCs w:val="24"/>
          <w:lang w:val="en-US"/>
        </w:rPr>
        <w:t xml:space="preserve"> </w:t>
      </w:r>
      <w:r w:rsidRPr="000B150D">
        <w:rPr>
          <w:color w:val="FF0000"/>
          <w:sz w:val="24"/>
          <w:szCs w:val="24"/>
          <w:lang w:val="en-US"/>
        </w:rPr>
        <w:t>Table xx-</w:t>
      </w:r>
      <w:proofErr w:type="spellStart"/>
      <w:r w:rsidRPr="000B150D">
        <w:rPr>
          <w:color w:val="FF0000"/>
          <w:sz w:val="24"/>
          <w:szCs w:val="24"/>
          <w:lang w:val="en-US"/>
        </w:rPr>
        <w:t>zzz</w:t>
      </w:r>
      <w:proofErr w:type="spellEnd"/>
      <w:r w:rsidR="00B35459">
        <w:rPr>
          <w:color w:val="FF0000"/>
          <w:sz w:val="24"/>
          <w:szCs w:val="24"/>
          <w:lang w:val="en-US"/>
        </w:rPr>
        <w:t xml:space="preserve"> (</w:t>
      </w:r>
      <w:r w:rsidRPr="000B150D">
        <w:rPr>
          <w:color w:val="FF0000"/>
          <w:sz w:val="24"/>
          <w:szCs w:val="24"/>
          <w:lang w:val="en-US"/>
        </w:rPr>
        <w:t>HT</w:t>
      </w:r>
      <w:r w:rsidR="00B35459">
        <w:rPr>
          <w:color w:val="FF0000"/>
          <w:sz w:val="24"/>
          <w:szCs w:val="24"/>
          <w:lang w:val="en-US"/>
        </w:rPr>
        <w:t>/VHT</w:t>
      </w:r>
      <w:r w:rsidRPr="000B150D">
        <w:rPr>
          <w:color w:val="FF0000"/>
          <w:sz w:val="24"/>
          <w:szCs w:val="24"/>
          <w:lang w:val="en-US"/>
        </w:rPr>
        <w:t xml:space="preserve"> Operation Information subfields).</w:t>
      </w:r>
    </w:p>
    <w:p w14:paraId="623E688B" w14:textId="77777777" w:rsidR="006D7D9C" w:rsidRPr="000B150D" w:rsidRDefault="006D7D9C" w:rsidP="006D7D9C">
      <w:pPr>
        <w:spacing w:after="240"/>
        <w:rPr>
          <w:color w:val="FF0000"/>
          <w:sz w:val="24"/>
          <w:szCs w:val="24"/>
          <w:lang w:val="en-US"/>
        </w:rPr>
      </w:pPr>
    </w:p>
    <w:p w14:paraId="0F3D7DAE" w14:textId="2708149A" w:rsidR="006D7D9C" w:rsidRPr="000B150D" w:rsidRDefault="006D7D9C" w:rsidP="00D2576F">
      <w:pPr>
        <w:spacing w:after="240"/>
        <w:jc w:val="center"/>
        <w:rPr>
          <w:color w:val="FF0000"/>
          <w:sz w:val="24"/>
          <w:szCs w:val="24"/>
          <w:lang w:val="en-US"/>
        </w:rPr>
      </w:pPr>
      <w:r w:rsidRPr="000B150D">
        <w:rPr>
          <w:color w:val="FF0000"/>
          <w:sz w:val="24"/>
          <w:szCs w:val="24"/>
          <w:lang w:val="en-US"/>
        </w:rPr>
        <w:t>Table xx-</w:t>
      </w:r>
      <w:proofErr w:type="spellStart"/>
      <w:r w:rsidRPr="000B150D">
        <w:rPr>
          <w:color w:val="FF0000"/>
          <w:sz w:val="24"/>
          <w:szCs w:val="24"/>
          <w:lang w:val="en-US"/>
        </w:rPr>
        <w:t>zzz</w:t>
      </w:r>
      <w:proofErr w:type="spellEnd"/>
      <w:r w:rsidR="00B35459">
        <w:rPr>
          <w:color w:val="FF0000"/>
          <w:sz w:val="24"/>
          <w:szCs w:val="24"/>
          <w:lang w:val="en-US"/>
        </w:rPr>
        <w:t xml:space="preserve"> (HT/VHT Operation Information subfields)</w:t>
      </w:r>
    </w:p>
    <w:tbl>
      <w:tblPr>
        <w:tblStyle w:val="TableGrid"/>
        <w:tblW w:w="0" w:type="auto"/>
        <w:tblLook w:val="04A0" w:firstRow="1" w:lastRow="0" w:firstColumn="1" w:lastColumn="0" w:noHBand="0" w:noVBand="1"/>
      </w:tblPr>
      <w:tblGrid>
        <w:gridCol w:w="3356"/>
        <w:gridCol w:w="3357"/>
        <w:gridCol w:w="3357"/>
      </w:tblGrid>
      <w:tr w:rsidR="000B150D" w:rsidRPr="000B150D" w14:paraId="7CB6B3F0" w14:textId="77777777" w:rsidTr="006D7D9C">
        <w:tc>
          <w:tcPr>
            <w:tcW w:w="3356" w:type="dxa"/>
          </w:tcPr>
          <w:p w14:paraId="542176E8" w14:textId="1C68A4ED" w:rsidR="006D7D9C" w:rsidRPr="000B150D" w:rsidRDefault="006D7D9C" w:rsidP="006D7D9C">
            <w:pPr>
              <w:spacing w:after="240"/>
              <w:rPr>
                <w:color w:val="FF0000"/>
                <w:sz w:val="24"/>
                <w:szCs w:val="24"/>
                <w:lang w:val="en-US"/>
              </w:rPr>
            </w:pPr>
            <w:r w:rsidRPr="000B150D">
              <w:rPr>
                <w:color w:val="FF0000"/>
                <w:sz w:val="24"/>
                <w:szCs w:val="24"/>
                <w:lang w:val="en-US"/>
              </w:rPr>
              <w:t>Field</w:t>
            </w:r>
          </w:p>
        </w:tc>
        <w:tc>
          <w:tcPr>
            <w:tcW w:w="3357" w:type="dxa"/>
          </w:tcPr>
          <w:p w14:paraId="22DB759B" w14:textId="758BCC2B" w:rsidR="006D7D9C" w:rsidRPr="000B150D" w:rsidRDefault="006D7D9C" w:rsidP="006D7D9C">
            <w:pPr>
              <w:spacing w:after="240"/>
              <w:rPr>
                <w:color w:val="FF0000"/>
                <w:sz w:val="24"/>
                <w:szCs w:val="24"/>
                <w:lang w:val="en-US"/>
              </w:rPr>
            </w:pPr>
            <w:r w:rsidRPr="000B150D">
              <w:rPr>
                <w:color w:val="FF0000"/>
                <w:sz w:val="24"/>
                <w:szCs w:val="24"/>
                <w:lang w:val="en-US"/>
              </w:rPr>
              <w:t>Definition</w:t>
            </w:r>
          </w:p>
        </w:tc>
        <w:tc>
          <w:tcPr>
            <w:tcW w:w="3357" w:type="dxa"/>
          </w:tcPr>
          <w:p w14:paraId="583B79A6" w14:textId="0F24970B" w:rsidR="006D7D9C" w:rsidRPr="000B150D" w:rsidRDefault="006D7D9C" w:rsidP="006D7D9C">
            <w:pPr>
              <w:spacing w:after="240"/>
              <w:rPr>
                <w:color w:val="FF0000"/>
                <w:sz w:val="24"/>
                <w:szCs w:val="24"/>
                <w:lang w:val="en-US"/>
              </w:rPr>
            </w:pPr>
            <w:r w:rsidRPr="000B150D">
              <w:rPr>
                <w:color w:val="FF0000"/>
                <w:sz w:val="24"/>
                <w:szCs w:val="24"/>
                <w:lang w:val="en-US"/>
              </w:rPr>
              <w:t>Encoding</w:t>
            </w:r>
          </w:p>
        </w:tc>
      </w:tr>
      <w:tr w:rsidR="000B150D" w:rsidRPr="000B150D" w14:paraId="65D3DA4D" w14:textId="77777777" w:rsidTr="006D7D9C">
        <w:tc>
          <w:tcPr>
            <w:tcW w:w="3356" w:type="dxa"/>
          </w:tcPr>
          <w:p w14:paraId="0821E7D7" w14:textId="21844ED6" w:rsidR="006D7D9C" w:rsidRPr="000B150D" w:rsidRDefault="006D7D9C" w:rsidP="006D7D9C">
            <w:pPr>
              <w:spacing w:after="240"/>
              <w:rPr>
                <w:color w:val="FF0000"/>
                <w:sz w:val="24"/>
                <w:szCs w:val="24"/>
                <w:lang w:val="en-US"/>
              </w:rPr>
            </w:pPr>
            <w:r w:rsidRPr="000B150D">
              <w:rPr>
                <w:color w:val="FF0000"/>
                <w:sz w:val="24"/>
                <w:szCs w:val="24"/>
                <w:lang w:val="en-US"/>
              </w:rPr>
              <w:t>Channel Width</w:t>
            </w:r>
          </w:p>
        </w:tc>
        <w:tc>
          <w:tcPr>
            <w:tcW w:w="3357" w:type="dxa"/>
          </w:tcPr>
          <w:p w14:paraId="17C7DB14" w14:textId="38EFFD0F" w:rsidR="006D7D9C" w:rsidRPr="000B150D" w:rsidRDefault="00AA0335" w:rsidP="00AA0335">
            <w:pPr>
              <w:autoSpaceDE w:val="0"/>
              <w:autoSpaceDN w:val="0"/>
              <w:adjustRightInd w:val="0"/>
              <w:rPr>
                <w:color w:val="FF0000"/>
                <w:sz w:val="24"/>
                <w:szCs w:val="24"/>
                <w:lang w:val="en-US"/>
              </w:rPr>
            </w:pPr>
            <w:r>
              <w:rPr>
                <w:color w:val="FF0000"/>
                <w:sz w:val="24"/>
                <w:szCs w:val="24"/>
                <w:lang w:val="en-US"/>
              </w:rPr>
              <w:t xml:space="preserve">This field </w:t>
            </w:r>
            <w:r w:rsidR="006D7D9C" w:rsidRPr="000B150D">
              <w:rPr>
                <w:color w:val="FF0000"/>
                <w:sz w:val="24"/>
                <w:szCs w:val="24"/>
                <w:lang w:val="en-US"/>
              </w:rPr>
              <w:t>defines the BSS</w:t>
            </w:r>
            <w:r>
              <w:rPr>
                <w:color w:val="FF0000"/>
                <w:sz w:val="24"/>
                <w:szCs w:val="24"/>
                <w:lang w:val="en-US"/>
              </w:rPr>
              <w:t xml:space="preserve"> </w:t>
            </w:r>
            <w:r w:rsidR="006D7D9C" w:rsidRPr="000B150D">
              <w:rPr>
                <w:color w:val="FF0000"/>
                <w:sz w:val="24"/>
                <w:szCs w:val="24"/>
                <w:lang w:val="en-US"/>
              </w:rPr>
              <w:t>operating channel width (see 10.40.1</w:t>
            </w:r>
            <w:r>
              <w:rPr>
                <w:color w:val="FF0000"/>
                <w:sz w:val="24"/>
                <w:szCs w:val="24"/>
                <w:lang w:val="en-US"/>
              </w:rPr>
              <w:t xml:space="preserve"> </w:t>
            </w:r>
            <w:r w:rsidR="006D7D9C" w:rsidRPr="000B150D">
              <w:rPr>
                <w:color w:val="FF0000"/>
                <w:sz w:val="24"/>
                <w:szCs w:val="24"/>
                <w:lang w:val="en-US"/>
              </w:rPr>
              <w:t>(Basic VHT BSS functionality)).</w:t>
            </w:r>
          </w:p>
        </w:tc>
        <w:tc>
          <w:tcPr>
            <w:tcW w:w="3357" w:type="dxa"/>
          </w:tcPr>
          <w:p w14:paraId="4450B818" w14:textId="797EB612" w:rsidR="006D7D9C" w:rsidRDefault="006D7D9C" w:rsidP="006D7D9C">
            <w:pPr>
              <w:autoSpaceDE w:val="0"/>
              <w:autoSpaceDN w:val="0"/>
              <w:adjustRightInd w:val="0"/>
              <w:rPr>
                <w:color w:val="FF0000"/>
                <w:sz w:val="24"/>
                <w:szCs w:val="24"/>
                <w:lang w:val="en-US"/>
              </w:rPr>
            </w:pPr>
            <w:r w:rsidRPr="000B150D">
              <w:rPr>
                <w:color w:val="FF0000"/>
                <w:sz w:val="24"/>
                <w:szCs w:val="24"/>
                <w:lang w:val="en-US"/>
              </w:rPr>
              <w:t>Set to 0 for 20 MHz operating channel</w:t>
            </w:r>
            <w:r w:rsidR="003A1D29">
              <w:rPr>
                <w:color w:val="FF0000"/>
                <w:sz w:val="24"/>
                <w:szCs w:val="24"/>
                <w:lang w:val="en-US"/>
              </w:rPr>
              <w:t xml:space="preserve"> </w:t>
            </w:r>
            <w:r w:rsidRPr="000B150D">
              <w:rPr>
                <w:color w:val="FF0000"/>
                <w:sz w:val="24"/>
                <w:szCs w:val="24"/>
                <w:lang w:val="en-US"/>
              </w:rPr>
              <w:t>width.</w:t>
            </w:r>
          </w:p>
          <w:p w14:paraId="03F15CA2" w14:textId="778BA335" w:rsidR="00F37410" w:rsidRPr="000B150D" w:rsidRDefault="00F37410" w:rsidP="006D7D9C">
            <w:pPr>
              <w:autoSpaceDE w:val="0"/>
              <w:autoSpaceDN w:val="0"/>
              <w:adjustRightInd w:val="0"/>
              <w:rPr>
                <w:color w:val="FF0000"/>
                <w:sz w:val="24"/>
                <w:szCs w:val="24"/>
                <w:lang w:val="en-US"/>
              </w:rPr>
            </w:pPr>
            <w:r>
              <w:rPr>
                <w:color w:val="FF0000"/>
                <w:sz w:val="24"/>
                <w:szCs w:val="24"/>
                <w:lang w:val="en-US"/>
              </w:rPr>
              <w:t>Set to 1</w:t>
            </w:r>
            <w:r w:rsidRPr="000B150D">
              <w:rPr>
                <w:color w:val="FF0000"/>
                <w:sz w:val="24"/>
                <w:szCs w:val="24"/>
                <w:lang w:val="en-US"/>
              </w:rPr>
              <w:t xml:space="preserve"> for 40 MHz operating channel width.</w:t>
            </w:r>
          </w:p>
          <w:p w14:paraId="67B35C2A" w14:textId="1D7A24C4" w:rsidR="006D7D9C" w:rsidRPr="000B150D" w:rsidRDefault="00F37410" w:rsidP="006D7D9C">
            <w:pPr>
              <w:autoSpaceDE w:val="0"/>
              <w:autoSpaceDN w:val="0"/>
              <w:adjustRightInd w:val="0"/>
              <w:rPr>
                <w:color w:val="FF0000"/>
                <w:sz w:val="24"/>
                <w:szCs w:val="24"/>
                <w:lang w:val="en-US"/>
              </w:rPr>
            </w:pPr>
            <w:r>
              <w:rPr>
                <w:color w:val="FF0000"/>
                <w:sz w:val="24"/>
                <w:szCs w:val="24"/>
                <w:lang w:val="en-US"/>
              </w:rPr>
              <w:t>Set to 2</w:t>
            </w:r>
            <w:r w:rsidR="00AA0335">
              <w:rPr>
                <w:color w:val="FF0000"/>
                <w:sz w:val="24"/>
                <w:szCs w:val="24"/>
                <w:lang w:val="en-US"/>
              </w:rPr>
              <w:t xml:space="preserve"> for 8</w:t>
            </w:r>
            <w:r w:rsidR="006D7D9C" w:rsidRPr="000B150D">
              <w:rPr>
                <w:color w:val="FF0000"/>
                <w:sz w:val="24"/>
                <w:szCs w:val="24"/>
                <w:lang w:val="en-US"/>
              </w:rPr>
              <w:t>0 MHz operating channel width.</w:t>
            </w:r>
          </w:p>
          <w:p w14:paraId="66E3A33A" w14:textId="686CF229" w:rsidR="006D7D9C" w:rsidRPr="000B150D" w:rsidRDefault="00F37410" w:rsidP="006D7D9C">
            <w:pPr>
              <w:autoSpaceDE w:val="0"/>
              <w:autoSpaceDN w:val="0"/>
              <w:adjustRightInd w:val="0"/>
              <w:rPr>
                <w:color w:val="FF0000"/>
                <w:sz w:val="24"/>
                <w:szCs w:val="24"/>
                <w:lang w:val="en-US"/>
              </w:rPr>
            </w:pPr>
            <w:r>
              <w:rPr>
                <w:color w:val="FF0000"/>
                <w:sz w:val="24"/>
                <w:szCs w:val="24"/>
                <w:lang w:val="en-US"/>
              </w:rPr>
              <w:t>Set to 3</w:t>
            </w:r>
            <w:r w:rsidR="006D7D9C" w:rsidRPr="000B150D">
              <w:rPr>
                <w:color w:val="FF0000"/>
                <w:sz w:val="24"/>
                <w:szCs w:val="24"/>
                <w:lang w:val="en-US"/>
              </w:rPr>
              <w:t xml:space="preserve"> for 160 MHz operating channel width.</w:t>
            </w:r>
          </w:p>
          <w:p w14:paraId="45F9DE75" w14:textId="41A3102B" w:rsidR="006D7D9C" w:rsidRPr="000B150D" w:rsidRDefault="00F37410" w:rsidP="006D7D9C">
            <w:pPr>
              <w:autoSpaceDE w:val="0"/>
              <w:autoSpaceDN w:val="0"/>
              <w:adjustRightInd w:val="0"/>
              <w:rPr>
                <w:color w:val="FF0000"/>
                <w:sz w:val="24"/>
                <w:szCs w:val="24"/>
                <w:lang w:val="en-US"/>
              </w:rPr>
            </w:pPr>
            <w:r>
              <w:rPr>
                <w:color w:val="FF0000"/>
                <w:sz w:val="24"/>
                <w:szCs w:val="24"/>
                <w:lang w:val="en-US"/>
              </w:rPr>
              <w:t>Set to 4</w:t>
            </w:r>
            <w:r w:rsidR="006D7D9C" w:rsidRPr="000B150D">
              <w:rPr>
                <w:color w:val="FF0000"/>
                <w:sz w:val="24"/>
                <w:szCs w:val="24"/>
                <w:lang w:val="en-US"/>
              </w:rPr>
              <w:t xml:space="preserve"> for non-contiguous 80+80 MHz operating</w:t>
            </w:r>
          </w:p>
          <w:p w14:paraId="1DD8080C" w14:textId="77777777" w:rsidR="006D7D9C" w:rsidRPr="000B150D" w:rsidRDefault="006D7D9C" w:rsidP="006D7D9C">
            <w:pPr>
              <w:autoSpaceDE w:val="0"/>
              <w:autoSpaceDN w:val="0"/>
              <w:adjustRightInd w:val="0"/>
              <w:rPr>
                <w:color w:val="FF0000"/>
                <w:sz w:val="24"/>
                <w:szCs w:val="24"/>
                <w:lang w:val="en-US"/>
              </w:rPr>
            </w:pPr>
            <w:proofErr w:type="gramStart"/>
            <w:r w:rsidRPr="000B150D">
              <w:rPr>
                <w:color w:val="FF0000"/>
                <w:sz w:val="24"/>
                <w:szCs w:val="24"/>
                <w:lang w:val="en-US"/>
              </w:rPr>
              <w:t>channel</w:t>
            </w:r>
            <w:proofErr w:type="gramEnd"/>
            <w:r w:rsidRPr="000B150D">
              <w:rPr>
                <w:color w:val="FF0000"/>
                <w:sz w:val="24"/>
                <w:szCs w:val="24"/>
                <w:lang w:val="en-US"/>
              </w:rPr>
              <w:t xml:space="preserve"> width.</w:t>
            </w:r>
          </w:p>
          <w:p w14:paraId="692C5C0A" w14:textId="3524C2B7" w:rsidR="006D7D9C" w:rsidRPr="000B150D" w:rsidRDefault="000C4328" w:rsidP="006D7D9C">
            <w:pPr>
              <w:tabs>
                <w:tab w:val="left" w:pos="1068"/>
              </w:tabs>
              <w:spacing w:after="240"/>
              <w:rPr>
                <w:color w:val="FF0000"/>
                <w:sz w:val="24"/>
                <w:szCs w:val="24"/>
                <w:lang w:val="en-US"/>
              </w:rPr>
            </w:pPr>
            <w:r w:rsidRPr="000B150D">
              <w:rPr>
                <w:color w:val="FF0000"/>
                <w:sz w:val="24"/>
                <w:szCs w:val="24"/>
                <w:lang w:val="en-US"/>
              </w:rPr>
              <w:t>Values in the range 5</w:t>
            </w:r>
            <w:r w:rsidR="006D7D9C" w:rsidRPr="000B150D">
              <w:rPr>
                <w:color w:val="FF0000"/>
                <w:sz w:val="24"/>
                <w:szCs w:val="24"/>
                <w:lang w:val="en-US"/>
              </w:rPr>
              <w:t xml:space="preserve"> to 255 are reserved.</w:t>
            </w:r>
          </w:p>
        </w:tc>
      </w:tr>
      <w:tr w:rsidR="000B150D" w:rsidRPr="000B150D" w14:paraId="6CF61610" w14:textId="77777777" w:rsidTr="006D7D9C">
        <w:tc>
          <w:tcPr>
            <w:tcW w:w="3356" w:type="dxa"/>
          </w:tcPr>
          <w:p w14:paraId="28EC687A" w14:textId="77777777"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Channel Center</w:t>
            </w:r>
          </w:p>
          <w:p w14:paraId="1070DD80" w14:textId="77777777"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Frequency Segment</w:t>
            </w:r>
          </w:p>
          <w:p w14:paraId="0B6AA0AE" w14:textId="54EE2E6C" w:rsidR="006D7D9C" w:rsidRPr="000B150D" w:rsidRDefault="006D7D9C" w:rsidP="006D7D9C">
            <w:pPr>
              <w:spacing w:after="240"/>
              <w:rPr>
                <w:color w:val="FF0000"/>
                <w:sz w:val="24"/>
                <w:szCs w:val="24"/>
                <w:lang w:val="en-US"/>
              </w:rPr>
            </w:pPr>
            <w:r w:rsidRPr="000B150D">
              <w:rPr>
                <w:color w:val="FF0000"/>
                <w:sz w:val="24"/>
                <w:szCs w:val="24"/>
                <w:lang w:val="en-US"/>
              </w:rPr>
              <w:t>0</w:t>
            </w:r>
          </w:p>
        </w:tc>
        <w:tc>
          <w:tcPr>
            <w:tcW w:w="3357" w:type="dxa"/>
          </w:tcPr>
          <w:p w14:paraId="14A2EB7C" w14:textId="75A0C1C3" w:rsidR="006D7D9C" w:rsidRPr="000B150D" w:rsidRDefault="006D7D9C" w:rsidP="00802789">
            <w:pPr>
              <w:autoSpaceDE w:val="0"/>
              <w:autoSpaceDN w:val="0"/>
              <w:adjustRightInd w:val="0"/>
              <w:rPr>
                <w:color w:val="FF0000"/>
                <w:sz w:val="24"/>
                <w:szCs w:val="24"/>
                <w:lang w:val="en-US"/>
              </w:rPr>
            </w:pPr>
            <w:r w:rsidRPr="000B150D">
              <w:rPr>
                <w:color w:val="FF0000"/>
                <w:sz w:val="24"/>
                <w:szCs w:val="24"/>
                <w:lang w:val="en-US"/>
              </w:rPr>
              <w:t>Defines the channel center frequency</w:t>
            </w:r>
            <w:r w:rsidR="00802789">
              <w:rPr>
                <w:color w:val="FF0000"/>
                <w:sz w:val="24"/>
                <w:szCs w:val="24"/>
                <w:lang w:val="en-US"/>
              </w:rPr>
              <w:t xml:space="preserve"> </w:t>
            </w:r>
            <w:r w:rsidRPr="000B150D">
              <w:rPr>
                <w:color w:val="FF0000"/>
                <w:sz w:val="24"/>
                <w:szCs w:val="24"/>
                <w:lang w:val="en-US"/>
              </w:rPr>
              <w:t xml:space="preserve">for an </w:t>
            </w:r>
            <w:r w:rsidR="000C4328" w:rsidRPr="000B150D">
              <w:rPr>
                <w:color w:val="FF0000"/>
                <w:sz w:val="24"/>
                <w:szCs w:val="24"/>
                <w:lang w:val="en-US"/>
              </w:rPr>
              <w:t xml:space="preserve">HT or </w:t>
            </w:r>
            <w:r w:rsidRPr="000B150D">
              <w:rPr>
                <w:color w:val="FF0000"/>
                <w:sz w:val="24"/>
                <w:szCs w:val="24"/>
                <w:lang w:val="en-US"/>
              </w:rPr>
              <w:t>VHT BSS</w:t>
            </w:r>
            <w:r w:rsidR="00802789">
              <w:rPr>
                <w:color w:val="FF0000"/>
                <w:sz w:val="24"/>
                <w:szCs w:val="24"/>
                <w:lang w:val="en-US"/>
              </w:rPr>
              <w:t xml:space="preserve"> </w:t>
            </w:r>
            <w:r w:rsidR="000C4328" w:rsidRPr="000B150D">
              <w:rPr>
                <w:color w:val="FF0000"/>
                <w:sz w:val="24"/>
                <w:szCs w:val="24"/>
                <w:lang w:val="en-US"/>
              </w:rPr>
              <w:t>or</w:t>
            </w:r>
            <w:r w:rsidRPr="000B150D">
              <w:rPr>
                <w:color w:val="FF0000"/>
                <w:sz w:val="24"/>
                <w:szCs w:val="24"/>
                <w:lang w:val="en-US"/>
              </w:rPr>
              <w:t xml:space="preserve"> the frequency segment 0 channel</w:t>
            </w:r>
            <w:r w:rsidR="00802789">
              <w:rPr>
                <w:color w:val="FF0000"/>
                <w:sz w:val="24"/>
                <w:szCs w:val="24"/>
                <w:lang w:val="en-US"/>
              </w:rPr>
              <w:t xml:space="preserve"> </w:t>
            </w:r>
            <w:r w:rsidRPr="000B150D">
              <w:rPr>
                <w:color w:val="FF0000"/>
                <w:sz w:val="24"/>
                <w:szCs w:val="24"/>
                <w:lang w:val="en-US"/>
              </w:rPr>
              <w:t>center frequency for an 80+80 MHz</w:t>
            </w:r>
            <w:r w:rsidR="00802789">
              <w:rPr>
                <w:color w:val="FF0000"/>
                <w:sz w:val="24"/>
                <w:szCs w:val="24"/>
                <w:lang w:val="en-US"/>
              </w:rPr>
              <w:t xml:space="preserve"> </w:t>
            </w:r>
            <w:r w:rsidRPr="000B150D">
              <w:rPr>
                <w:color w:val="FF0000"/>
                <w:sz w:val="24"/>
                <w:szCs w:val="24"/>
                <w:lang w:val="en-US"/>
              </w:rPr>
              <w:t>VHT BSS. See 22.3.14</w:t>
            </w:r>
            <w:r w:rsidR="00802789">
              <w:rPr>
                <w:color w:val="FF0000"/>
                <w:sz w:val="24"/>
                <w:szCs w:val="24"/>
                <w:lang w:val="en-US"/>
              </w:rPr>
              <w:t xml:space="preserve"> </w:t>
            </w:r>
            <w:r w:rsidRPr="000B150D">
              <w:rPr>
                <w:color w:val="FF0000"/>
                <w:sz w:val="24"/>
                <w:szCs w:val="24"/>
                <w:lang w:val="en-US"/>
              </w:rPr>
              <w:t>(Channelization).</w:t>
            </w:r>
          </w:p>
        </w:tc>
        <w:tc>
          <w:tcPr>
            <w:tcW w:w="3357" w:type="dxa"/>
          </w:tcPr>
          <w:p w14:paraId="5B853B3A" w14:textId="7D7B981C" w:rsidR="006D7D9C" w:rsidRDefault="008E5E63" w:rsidP="006D7D9C">
            <w:pPr>
              <w:autoSpaceDE w:val="0"/>
              <w:autoSpaceDN w:val="0"/>
              <w:adjustRightInd w:val="0"/>
              <w:rPr>
                <w:color w:val="FF0000"/>
                <w:sz w:val="24"/>
                <w:szCs w:val="24"/>
                <w:lang w:val="en-US"/>
              </w:rPr>
            </w:pPr>
            <w:r>
              <w:rPr>
                <w:color w:val="FF0000"/>
                <w:sz w:val="24"/>
                <w:szCs w:val="24"/>
                <w:lang w:val="en-US"/>
              </w:rPr>
              <w:t>For 20,</w:t>
            </w:r>
            <w:r w:rsidR="003179BB">
              <w:rPr>
                <w:color w:val="FF0000"/>
                <w:sz w:val="24"/>
                <w:szCs w:val="24"/>
                <w:lang w:val="en-US"/>
              </w:rPr>
              <w:t xml:space="preserve"> </w:t>
            </w:r>
            <w:r>
              <w:rPr>
                <w:color w:val="FF0000"/>
                <w:sz w:val="24"/>
                <w:szCs w:val="24"/>
                <w:lang w:val="en-US"/>
              </w:rPr>
              <w:t>40,</w:t>
            </w:r>
            <w:r w:rsidR="003179BB">
              <w:rPr>
                <w:color w:val="FF0000"/>
                <w:sz w:val="24"/>
                <w:szCs w:val="24"/>
                <w:lang w:val="en-US"/>
              </w:rPr>
              <w:t xml:space="preserve"> </w:t>
            </w:r>
            <w:r>
              <w:rPr>
                <w:color w:val="FF0000"/>
                <w:sz w:val="24"/>
                <w:szCs w:val="24"/>
                <w:lang w:val="en-US"/>
              </w:rPr>
              <w:t>80</w:t>
            </w:r>
            <w:r w:rsidR="00671762">
              <w:rPr>
                <w:color w:val="FF0000"/>
                <w:sz w:val="24"/>
                <w:szCs w:val="24"/>
                <w:lang w:val="en-US"/>
              </w:rPr>
              <w:t>, or 160</w:t>
            </w:r>
            <w:r>
              <w:rPr>
                <w:color w:val="FF0000"/>
                <w:sz w:val="24"/>
                <w:szCs w:val="24"/>
                <w:lang w:val="en-US"/>
              </w:rPr>
              <w:t xml:space="preserve"> MHz operating channel width, i</w:t>
            </w:r>
            <w:r w:rsidR="006D7D9C" w:rsidRPr="000B150D">
              <w:rPr>
                <w:color w:val="FF0000"/>
                <w:sz w:val="24"/>
                <w:szCs w:val="24"/>
                <w:lang w:val="en-US"/>
              </w:rPr>
              <w:t>ndicates the channel center frequency index for the</w:t>
            </w:r>
            <w:r>
              <w:rPr>
                <w:color w:val="FF0000"/>
                <w:sz w:val="24"/>
                <w:szCs w:val="24"/>
                <w:lang w:val="en-US"/>
              </w:rPr>
              <w:t xml:space="preserve"> </w:t>
            </w:r>
            <w:r w:rsidR="006D7D9C" w:rsidRPr="000B150D">
              <w:rPr>
                <w:color w:val="FF0000"/>
                <w:sz w:val="24"/>
                <w:szCs w:val="24"/>
                <w:lang w:val="en-US"/>
              </w:rPr>
              <w:t xml:space="preserve">channel on which the </w:t>
            </w:r>
            <w:r w:rsidR="00D2576F" w:rsidRPr="000B150D">
              <w:rPr>
                <w:color w:val="FF0000"/>
                <w:sz w:val="24"/>
                <w:szCs w:val="24"/>
                <w:lang w:val="en-US"/>
              </w:rPr>
              <w:t xml:space="preserve">HT or </w:t>
            </w:r>
            <w:r w:rsidR="006D7D9C" w:rsidRPr="000B150D">
              <w:rPr>
                <w:color w:val="FF0000"/>
                <w:sz w:val="24"/>
                <w:szCs w:val="24"/>
                <w:lang w:val="en-US"/>
              </w:rPr>
              <w:t>VHT</w:t>
            </w:r>
            <w:r w:rsidR="00D2576F" w:rsidRPr="000B150D">
              <w:rPr>
                <w:color w:val="FF0000"/>
                <w:sz w:val="24"/>
                <w:szCs w:val="24"/>
                <w:lang w:val="en-US"/>
              </w:rPr>
              <w:t xml:space="preserve"> </w:t>
            </w:r>
            <w:r w:rsidR="006D7D9C" w:rsidRPr="000B150D">
              <w:rPr>
                <w:color w:val="FF0000"/>
                <w:sz w:val="24"/>
                <w:szCs w:val="24"/>
                <w:lang w:val="en-US"/>
              </w:rPr>
              <w:t>BSS operates.</w:t>
            </w:r>
          </w:p>
          <w:p w14:paraId="4990CE2A" w14:textId="77777777" w:rsidR="008E5E63" w:rsidRPr="000B150D" w:rsidRDefault="008E5E63" w:rsidP="006D7D9C">
            <w:pPr>
              <w:autoSpaceDE w:val="0"/>
              <w:autoSpaceDN w:val="0"/>
              <w:adjustRightInd w:val="0"/>
              <w:rPr>
                <w:color w:val="FF0000"/>
                <w:sz w:val="24"/>
                <w:szCs w:val="24"/>
                <w:lang w:val="en-US"/>
              </w:rPr>
            </w:pPr>
          </w:p>
          <w:p w14:paraId="213DF87D" w14:textId="77777777"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For 80+80 MHz operating channel width, indicates</w:t>
            </w:r>
          </w:p>
          <w:p w14:paraId="617293C6" w14:textId="77777777"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the channel center frequency index for the 80 MHz</w:t>
            </w:r>
          </w:p>
          <w:p w14:paraId="039BEDE6" w14:textId="77777777"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channel of frequency segment 0 on which the VHT</w:t>
            </w:r>
          </w:p>
          <w:p w14:paraId="1002314D" w14:textId="77777777"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BSS operates.</w:t>
            </w:r>
          </w:p>
          <w:p w14:paraId="4930B755" w14:textId="5B6CBBB6" w:rsidR="006D7D9C" w:rsidRPr="000B150D" w:rsidRDefault="006D7D9C" w:rsidP="006D7D9C">
            <w:pPr>
              <w:spacing w:after="240"/>
              <w:rPr>
                <w:color w:val="FF0000"/>
                <w:sz w:val="24"/>
                <w:szCs w:val="24"/>
                <w:lang w:val="en-US"/>
              </w:rPr>
            </w:pPr>
          </w:p>
        </w:tc>
      </w:tr>
      <w:tr w:rsidR="000B150D" w:rsidRPr="000B150D" w14:paraId="69CA9951" w14:textId="77777777" w:rsidTr="006D7D9C">
        <w:tc>
          <w:tcPr>
            <w:tcW w:w="3356" w:type="dxa"/>
          </w:tcPr>
          <w:p w14:paraId="6AFD79CC" w14:textId="77777777"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Channel Center</w:t>
            </w:r>
          </w:p>
          <w:p w14:paraId="1936866A" w14:textId="77777777"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Frequency Segment</w:t>
            </w:r>
          </w:p>
          <w:p w14:paraId="37B94A04" w14:textId="5BCF5B5C" w:rsidR="006D7D9C" w:rsidRPr="000B150D" w:rsidRDefault="006D7D9C" w:rsidP="006D7D9C">
            <w:pPr>
              <w:spacing w:after="240"/>
              <w:rPr>
                <w:color w:val="FF0000"/>
                <w:sz w:val="24"/>
                <w:szCs w:val="24"/>
                <w:lang w:val="en-US"/>
              </w:rPr>
            </w:pPr>
            <w:r w:rsidRPr="000B150D">
              <w:rPr>
                <w:color w:val="FF0000"/>
                <w:sz w:val="24"/>
                <w:szCs w:val="24"/>
                <w:lang w:val="en-US"/>
              </w:rPr>
              <w:t>1</w:t>
            </w:r>
          </w:p>
        </w:tc>
        <w:tc>
          <w:tcPr>
            <w:tcW w:w="3357" w:type="dxa"/>
          </w:tcPr>
          <w:p w14:paraId="5A594C00" w14:textId="3F2711C2" w:rsidR="006D7D9C" w:rsidRPr="000B150D" w:rsidRDefault="006D7D9C" w:rsidP="008E5E63">
            <w:pPr>
              <w:autoSpaceDE w:val="0"/>
              <w:autoSpaceDN w:val="0"/>
              <w:adjustRightInd w:val="0"/>
              <w:rPr>
                <w:color w:val="FF0000"/>
                <w:sz w:val="24"/>
                <w:szCs w:val="24"/>
                <w:lang w:val="en-US"/>
              </w:rPr>
            </w:pPr>
            <w:r w:rsidRPr="000B150D">
              <w:rPr>
                <w:color w:val="FF0000"/>
                <w:sz w:val="24"/>
                <w:szCs w:val="24"/>
                <w:lang w:val="en-US"/>
              </w:rPr>
              <w:t>Defines the frequency segment 1</w:t>
            </w:r>
            <w:r w:rsidR="008E5E63">
              <w:rPr>
                <w:color w:val="FF0000"/>
                <w:sz w:val="24"/>
                <w:szCs w:val="24"/>
                <w:lang w:val="en-US"/>
              </w:rPr>
              <w:t xml:space="preserve"> </w:t>
            </w:r>
            <w:r w:rsidRPr="000B150D">
              <w:rPr>
                <w:color w:val="FF0000"/>
                <w:sz w:val="24"/>
                <w:szCs w:val="24"/>
                <w:lang w:val="en-US"/>
              </w:rPr>
              <w:t>channel center frequency for an</w:t>
            </w:r>
            <w:r w:rsidR="008E5E63">
              <w:rPr>
                <w:color w:val="FF0000"/>
                <w:sz w:val="24"/>
                <w:szCs w:val="24"/>
                <w:lang w:val="en-US"/>
              </w:rPr>
              <w:t xml:space="preserve"> </w:t>
            </w:r>
            <w:r w:rsidRPr="000B150D">
              <w:rPr>
                <w:color w:val="FF0000"/>
                <w:sz w:val="24"/>
                <w:szCs w:val="24"/>
                <w:lang w:val="en-US"/>
              </w:rPr>
              <w:t>80+80 MHz VHT BSS. See 22.3.14</w:t>
            </w:r>
            <w:r w:rsidR="008E5E63">
              <w:rPr>
                <w:color w:val="FF0000"/>
                <w:sz w:val="24"/>
                <w:szCs w:val="24"/>
                <w:lang w:val="en-US"/>
              </w:rPr>
              <w:t xml:space="preserve"> </w:t>
            </w:r>
            <w:r w:rsidRPr="000B150D">
              <w:rPr>
                <w:color w:val="FF0000"/>
                <w:sz w:val="24"/>
                <w:szCs w:val="24"/>
                <w:lang w:val="en-US"/>
              </w:rPr>
              <w:t>(Channelization).</w:t>
            </w:r>
          </w:p>
        </w:tc>
        <w:tc>
          <w:tcPr>
            <w:tcW w:w="3357" w:type="dxa"/>
          </w:tcPr>
          <w:p w14:paraId="7A9A9AF6" w14:textId="77777777"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For an 80+80 MHz operating channel width,</w:t>
            </w:r>
          </w:p>
          <w:p w14:paraId="1837DBA3" w14:textId="77777777"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indicates the channel center frequency index of the</w:t>
            </w:r>
          </w:p>
          <w:p w14:paraId="31F1B0E4" w14:textId="77777777" w:rsidR="006D7D9C" w:rsidRPr="000B150D" w:rsidRDefault="006D7D9C" w:rsidP="006D7D9C">
            <w:pPr>
              <w:autoSpaceDE w:val="0"/>
              <w:autoSpaceDN w:val="0"/>
              <w:adjustRightInd w:val="0"/>
              <w:rPr>
                <w:color w:val="FF0000"/>
                <w:sz w:val="24"/>
                <w:szCs w:val="24"/>
                <w:lang w:val="en-US"/>
              </w:rPr>
            </w:pPr>
            <w:r w:rsidRPr="000B150D">
              <w:rPr>
                <w:color w:val="FF0000"/>
                <w:sz w:val="24"/>
                <w:szCs w:val="24"/>
                <w:lang w:val="en-US"/>
              </w:rPr>
              <w:t>80 MHz channel of frequency segment 1 on which</w:t>
            </w:r>
          </w:p>
          <w:p w14:paraId="2EC57FF5" w14:textId="201BE8E8" w:rsidR="006D7D9C" w:rsidRPr="000B150D" w:rsidRDefault="006D7D9C" w:rsidP="006D7D9C">
            <w:pPr>
              <w:spacing w:after="240"/>
              <w:rPr>
                <w:color w:val="FF0000"/>
                <w:sz w:val="24"/>
                <w:szCs w:val="24"/>
                <w:lang w:val="en-US"/>
              </w:rPr>
            </w:pPr>
            <w:proofErr w:type="gramStart"/>
            <w:r w:rsidRPr="000B150D">
              <w:rPr>
                <w:color w:val="FF0000"/>
                <w:sz w:val="24"/>
                <w:szCs w:val="24"/>
                <w:lang w:val="en-US"/>
              </w:rPr>
              <w:t>the</w:t>
            </w:r>
            <w:proofErr w:type="gramEnd"/>
            <w:r w:rsidRPr="000B150D">
              <w:rPr>
                <w:color w:val="FF0000"/>
                <w:sz w:val="24"/>
                <w:szCs w:val="24"/>
                <w:lang w:val="en-US"/>
              </w:rPr>
              <w:t xml:space="preserve"> VHT BSS operates. Reserved otherwise.</w:t>
            </w:r>
          </w:p>
        </w:tc>
      </w:tr>
    </w:tbl>
    <w:p w14:paraId="700CD246" w14:textId="30CD6E63" w:rsidR="00C34CA2" w:rsidRDefault="00C34CA2" w:rsidP="006D7D9C">
      <w:pPr>
        <w:spacing w:after="240"/>
        <w:rPr>
          <w:b/>
          <w:i/>
          <w:color w:val="FF0000"/>
          <w:sz w:val="24"/>
          <w:szCs w:val="24"/>
          <w:lang w:val="en-US"/>
        </w:rPr>
      </w:pPr>
      <w:r w:rsidRPr="00C34CA2">
        <w:rPr>
          <w:b/>
          <w:i/>
          <w:color w:val="FF0000"/>
          <w:sz w:val="24"/>
          <w:szCs w:val="24"/>
          <w:lang w:val="en-US"/>
        </w:rPr>
        <w:lastRenderedPageBreak/>
        <w:t xml:space="preserve">NOTE TO </w:t>
      </w:r>
      <w:proofErr w:type="gramStart"/>
      <w:r w:rsidRPr="00C34CA2">
        <w:rPr>
          <w:b/>
          <w:i/>
          <w:color w:val="FF0000"/>
          <w:sz w:val="24"/>
          <w:szCs w:val="24"/>
          <w:lang w:val="en-US"/>
        </w:rPr>
        <w:t>EDITOR :</w:t>
      </w:r>
      <w:proofErr w:type="gramEnd"/>
      <w:r w:rsidRPr="00C34CA2">
        <w:rPr>
          <w:b/>
          <w:i/>
          <w:color w:val="FF0000"/>
          <w:sz w:val="24"/>
          <w:szCs w:val="24"/>
          <w:lang w:val="en-US"/>
        </w:rPr>
        <w:t xml:space="preserve"> </w:t>
      </w:r>
      <w:r>
        <w:rPr>
          <w:b/>
          <w:i/>
          <w:color w:val="FF0000"/>
          <w:sz w:val="24"/>
          <w:szCs w:val="24"/>
          <w:lang w:val="en-US"/>
        </w:rPr>
        <w:t xml:space="preserve"> Please </w:t>
      </w:r>
      <w:r w:rsidR="000474F0">
        <w:rPr>
          <w:b/>
          <w:i/>
          <w:color w:val="FF0000"/>
          <w:sz w:val="24"/>
          <w:szCs w:val="24"/>
          <w:lang w:val="en-US"/>
        </w:rPr>
        <w:t>make the following additions</w:t>
      </w:r>
      <w:r w:rsidR="003179BB">
        <w:rPr>
          <w:b/>
          <w:i/>
          <w:color w:val="FF0000"/>
          <w:sz w:val="24"/>
          <w:szCs w:val="24"/>
          <w:lang w:val="en-US"/>
        </w:rPr>
        <w:t xml:space="preserve"> in red </w:t>
      </w:r>
      <w:r w:rsidR="000474F0">
        <w:rPr>
          <w:b/>
          <w:i/>
          <w:color w:val="FF0000"/>
          <w:sz w:val="24"/>
          <w:szCs w:val="24"/>
          <w:lang w:val="en-US"/>
        </w:rPr>
        <w:t>at the end of</w:t>
      </w:r>
      <w:r w:rsidR="003179BB">
        <w:rPr>
          <w:b/>
          <w:i/>
          <w:color w:val="FF0000"/>
          <w:sz w:val="24"/>
          <w:szCs w:val="24"/>
          <w:lang w:val="en-US"/>
        </w:rPr>
        <w:t xml:space="preserve"> Section</w:t>
      </w:r>
      <w:r>
        <w:rPr>
          <w:b/>
          <w:i/>
          <w:color w:val="FF0000"/>
          <w:sz w:val="24"/>
          <w:szCs w:val="24"/>
          <w:lang w:val="en-US"/>
        </w:rPr>
        <w:t xml:space="preserve">  </w:t>
      </w:r>
      <w:r>
        <w:rPr>
          <w:rFonts w:ascii="Arial-BoldMT" w:hAnsi="Arial-BoldMT" w:cs="Arial-BoldMT"/>
          <w:b/>
          <w:bCs/>
          <w:sz w:val="20"/>
          <w:lang w:val="en-US"/>
        </w:rPr>
        <w:t>10.11.10.3 Receiving a neighbor report.</w:t>
      </w:r>
    </w:p>
    <w:p w14:paraId="0C2E79FE" w14:textId="764916CA" w:rsidR="00A64018" w:rsidRDefault="00CB2DA5" w:rsidP="006D7D9C">
      <w:pPr>
        <w:spacing w:after="240"/>
        <w:rPr>
          <w:color w:val="FF0000"/>
          <w:sz w:val="24"/>
          <w:szCs w:val="24"/>
        </w:rPr>
      </w:pPr>
      <w:r w:rsidRPr="000474F0">
        <w:rPr>
          <w:color w:val="FF0000"/>
          <w:sz w:val="24"/>
          <w:szCs w:val="24"/>
        </w:rPr>
        <w:t>T</w:t>
      </w:r>
      <w:r w:rsidR="00C34CA2" w:rsidRPr="000474F0">
        <w:rPr>
          <w:color w:val="FF0000"/>
          <w:sz w:val="24"/>
          <w:szCs w:val="24"/>
        </w:rPr>
        <w:t xml:space="preserve">he Wide Bandwidth Channel subelement shall </w:t>
      </w:r>
      <w:r w:rsidR="009C5E2E">
        <w:rPr>
          <w:color w:val="FF0000"/>
          <w:sz w:val="24"/>
          <w:szCs w:val="24"/>
        </w:rPr>
        <w:t xml:space="preserve">not </w:t>
      </w:r>
      <w:r w:rsidR="00C34CA2" w:rsidRPr="000474F0">
        <w:rPr>
          <w:color w:val="FF0000"/>
          <w:sz w:val="24"/>
          <w:szCs w:val="24"/>
        </w:rPr>
        <w:t xml:space="preserve">be included when </w:t>
      </w:r>
      <w:r w:rsidR="00074DC8">
        <w:rPr>
          <w:color w:val="FF0000"/>
          <w:sz w:val="24"/>
          <w:szCs w:val="24"/>
        </w:rPr>
        <w:t>either</w:t>
      </w:r>
      <w:r w:rsidR="00962934" w:rsidRPr="000474F0">
        <w:rPr>
          <w:color w:val="FF0000"/>
          <w:sz w:val="24"/>
          <w:szCs w:val="24"/>
        </w:rPr>
        <w:t xml:space="preserve"> </w:t>
      </w:r>
      <w:r w:rsidR="00C34CA2" w:rsidRPr="000474F0">
        <w:rPr>
          <w:color w:val="FF0000"/>
          <w:sz w:val="24"/>
          <w:szCs w:val="24"/>
        </w:rPr>
        <w:t xml:space="preserve">the HT </w:t>
      </w:r>
      <w:r w:rsidR="00583C89">
        <w:rPr>
          <w:color w:val="FF0000"/>
          <w:sz w:val="24"/>
          <w:szCs w:val="24"/>
        </w:rPr>
        <w:t>Operation</w:t>
      </w:r>
      <w:r w:rsidR="00074DC8">
        <w:rPr>
          <w:color w:val="FF0000"/>
          <w:sz w:val="24"/>
          <w:szCs w:val="24"/>
        </w:rPr>
        <w:t xml:space="preserve"> </w:t>
      </w:r>
      <w:proofErr w:type="spellStart"/>
      <w:r w:rsidR="009A2C97">
        <w:rPr>
          <w:color w:val="FF0000"/>
          <w:sz w:val="24"/>
          <w:szCs w:val="24"/>
        </w:rPr>
        <w:t>subelement</w:t>
      </w:r>
      <w:proofErr w:type="spellEnd"/>
      <w:r w:rsidR="009A2C97">
        <w:rPr>
          <w:color w:val="FF0000"/>
          <w:sz w:val="24"/>
          <w:szCs w:val="24"/>
        </w:rPr>
        <w:t xml:space="preserve"> </w:t>
      </w:r>
      <w:r w:rsidR="00074DC8">
        <w:rPr>
          <w:color w:val="FF0000"/>
          <w:sz w:val="24"/>
          <w:szCs w:val="24"/>
        </w:rPr>
        <w:t>or</w:t>
      </w:r>
      <w:r w:rsidR="00962934" w:rsidRPr="000474F0">
        <w:rPr>
          <w:color w:val="FF0000"/>
          <w:sz w:val="24"/>
          <w:szCs w:val="24"/>
        </w:rPr>
        <w:t xml:space="preserve"> the </w:t>
      </w:r>
      <w:r w:rsidR="00583C89">
        <w:rPr>
          <w:color w:val="FF0000"/>
          <w:sz w:val="24"/>
          <w:szCs w:val="24"/>
        </w:rPr>
        <w:t>VHT Operation</w:t>
      </w:r>
      <w:r w:rsidR="00C34CA2" w:rsidRPr="000474F0">
        <w:rPr>
          <w:color w:val="FF0000"/>
          <w:sz w:val="24"/>
          <w:szCs w:val="24"/>
        </w:rPr>
        <w:t xml:space="preserve"> </w:t>
      </w:r>
      <w:proofErr w:type="spellStart"/>
      <w:r w:rsidR="00962934" w:rsidRPr="000474F0">
        <w:rPr>
          <w:color w:val="FF0000"/>
          <w:sz w:val="24"/>
          <w:szCs w:val="24"/>
        </w:rPr>
        <w:t>subelement</w:t>
      </w:r>
      <w:proofErr w:type="spellEnd"/>
      <w:r w:rsidR="008E0E98">
        <w:rPr>
          <w:color w:val="FF0000"/>
          <w:sz w:val="24"/>
          <w:szCs w:val="24"/>
        </w:rPr>
        <w:t xml:space="preserve"> is</w:t>
      </w:r>
      <w:r w:rsidR="00C34CA2" w:rsidRPr="000474F0">
        <w:rPr>
          <w:color w:val="FF0000"/>
          <w:sz w:val="24"/>
          <w:szCs w:val="24"/>
        </w:rPr>
        <w:t xml:space="preserve"> included. </w:t>
      </w:r>
    </w:p>
    <w:p w14:paraId="556555A5" w14:textId="4AF14CC4" w:rsidR="00813EE3" w:rsidRDefault="00813EE3" w:rsidP="006D7D9C">
      <w:pPr>
        <w:spacing w:after="240"/>
        <w:rPr>
          <w:color w:val="FF0000"/>
          <w:sz w:val="24"/>
          <w:szCs w:val="24"/>
        </w:rPr>
      </w:pPr>
      <w:r w:rsidRPr="0008531F">
        <w:rPr>
          <w:color w:val="FF0000"/>
          <w:sz w:val="24"/>
          <w:szCs w:val="24"/>
          <w:lang w:val="en-US"/>
        </w:rPr>
        <w:t xml:space="preserve">When an AP </w:t>
      </w:r>
      <w:r>
        <w:rPr>
          <w:color w:val="FF0000"/>
          <w:sz w:val="24"/>
          <w:szCs w:val="24"/>
          <w:lang w:val="en-US"/>
        </w:rPr>
        <w:t xml:space="preserve">in a VHT BSS </w:t>
      </w:r>
      <w:r w:rsidRPr="0008531F">
        <w:rPr>
          <w:color w:val="FF0000"/>
          <w:sz w:val="24"/>
          <w:szCs w:val="24"/>
          <w:lang w:val="en-US"/>
        </w:rPr>
        <w:t>has dot11FineTimingMsmtRespActivated</w:t>
      </w:r>
      <w:r>
        <w:rPr>
          <w:color w:val="FF0000"/>
          <w:sz w:val="24"/>
          <w:szCs w:val="24"/>
          <w:lang w:val="en-US"/>
        </w:rPr>
        <w:t xml:space="preserve"> equal to true and includes an HT Operation </w:t>
      </w:r>
      <w:proofErr w:type="spellStart"/>
      <w:r>
        <w:rPr>
          <w:color w:val="FF0000"/>
          <w:sz w:val="24"/>
          <w:szCs w:val="24"/>
          <w:lang w:val="en-US"/>
        </w:rPr>
        <w:t>subelement</w:t>
      </w:r>
      <w:proofErr w:type="spellEnd"/>
      <w:r w:rsidRPr="0008531F">
        <w:rPr>
          <w:color w:val="FF0000"/>
          <w:sz w:val="24"/>
          <w:szCs w:val="24"/>
          <w:lang w:val="en-US"/>
        </w:rPr>
        <w:t>,</w:t>
      </w:r>
      <w:r>
        <w:rPr>
          <w:color w:val="FF0000"/>
          <w:sz w:val="24"/>
          <w:szCs w:val="24"/>
          <w:lang w:val="en-US"/>
        </w:rPr>
        <w:t xml:space="preserve"> then the VHT Operation </w:t>
      </w:r>
      <w:proofErr w:type="spellStart"/>
      <w:r>
        <w:rPr>
          <w:color w:val="FF0000"/>
          <w:sz w:val="24"/>
          <w:szCs w:val="24"/>
          <w:lang w:val="en-US"/>
        </w:rPr>
        <w:t>subelement</w:t>
      </w:r>
      <w:proofErr w:type="spellEnd"/>
      <w:r>
        <w:rPr>
          <w:color w:val="FF0000"/>
          <w:sz w:val="24"/>
          <w:szCs w:val="24"/>
          <w:lang w:val="en-US"/>
        </w:rPr>
        <w:t xml:space="preserve"> shall also be included.</w:t>
      </w:r>
    </w:p>
    <w:p w14:paraId="3BBF3EF5" w14:textId="5FB741B6" w:rsidR="00EC2CF3" w:rsidRDefault="00A528E8" w:rsidP="00A64018">
      <w:pPr>
        <w:spacing w:after="240"/>
        <w:rPr>
          <w:color w:val="FF0000"/>
          <w:sz w:val="24"/>
          <w:szCs w:val="24"/>
        </w:rPr>
      </w:pPr>
      <w:r w:rsidRPr="00F32CD8">
        <w:rPr>
          <w:color w:val="FF0000"/>
          <w:sz w:val="24"/>
          <w:szCs w:val="24"/>
          <w:lang w:val="en-US"/>
        </w:rPr>
        <w:t xml:space="preserve">When </w:t>
      </w:r>
      <w:r w:rsidRPr="00813EE3">
        <w:rPr>
          <w:color w:val="FF0000"/>
          <w:sz w:val="24"/>
          <w:szCs w:val="24"/>
          <w:lang w:val="en-US"/>
        </w:rPr>
        <w:t xml:space="preserve">an AP </w:t>
      </w:r>
      <w:r>
        <w:rPr>
          <w:color w:val="FF0000"/>
          <w:sz w:val="24"/>
          <w:szCs w:val="24"/>
          <w:lang w:val="en-US"/>
        </w:rPr>
        <w:t xml:space="preserve">in a non-DMG BSS </w:t>
      </w:r>
      <w:r w:rsidRPr="00F32CD8">
        <w:rPr>
          <w:color w:val="FF0000"/>
          <w:sz w:val="24"/>
          <w:szCs w:val="24"/>
          <w:lang w:val="en-US"/>
        </w:rPr>
        <w:t>has dot11FineTimingMsmtRespActivated</w:t>
      </w:r>
      <w:r>
        <w:rPr>
          <w:color w:val="FF0000"/>
          <w:sz w:val="24"/>
          <w:szCs w:val="24"/>
          <w:lang w:val="en-US"/>
        </w:rPr>
        <w:t xml:space="preserve"> equal to true</w:t>
      </w:r>
      <w:r w:rsidR="00813EE3" w:rsidRPr="00813EE3">
        <w:rPr>
          <w:color w:val="FF0000"/>
          <w:sz w:val="24"/>
          <w:szCs w:val="24"/>
          <w:lang w:val="en-US"/>
        </w:rPr>
        <w:t xml:space="preserve"> and</w:t>
      </w:r>
      <w:r w:rsidR="00A64018" w:rsidRPr="00813EE3">
        <w:rPr>
          <w:color w:val="FF0000"/>
          <w:sz w:val="24"/>
          <w:szCs w:val="24"/>
        </w:rPr>
        <w:t xml:space="preserve"> </w:t>
      </w:r>
      <w:r>
        <w:rPr>
          <w:color w:val="FF0000"/>
          <w:sz w:val="24"/>
          <w:szCs w:val="24"/>
        </w:rPr>
        <w:t>neither</w:t>
      </w:r>
      <w:r w:rsidR="00A64018" w:rsidRPr="00813EE3">
        <w:rPr>
          <w:color w:val="FF0000"/>
          <w:sz w:val="24"/>
          <w:szCs w:val="24"/>
        </w:rPr>
        <w:t xml:space="preserve"> the HT Operation</w:t>
      </w:r>
      <w:r>
        <w:rPr>
          <w:color w:val="FF0000"/>
          <w:sz w:val="24"/>
          <w:szCs w:val="24"/>
        </w:rPr>
        <w:t xml:space="preserve"> </w:t>
      </w:r>
      <w:proofErr w:type="spellStart"/>
      <w:r>
        <w:rPr>
          <w:color w:val="FF0000"/>
          <w:sz w:val="24"/>
          <w:szCs w:val="24"/>
        </w:rPr>
        <w:t>subelement</w:t>
      </w:r>
      <w:proofErr w:type="spellEnd"/>
      <w:r w:rsidR="00A64018" w:rsidRPr="00813EE3">
        <w:rPr>
          <w:color w:val="FF0000"/>
          <w:sz w:val="24"/>
          <w:szCs w:val="24"/>
        </w:rPr>
        <w:t xml:space="preserve"> </w:t>
      </w:r>
      <w:r>
        <w:rPr>
          <w:color w:val="FF0000"/>
          <w:sz w:val="24"/>
          <w:szCs w:val="24"/>
        </w:rPr>
        <w:t>nor</w:t>
      </w:r>
      <w:r w:rsidR="00A64018" w:rsidRPr="00813EE3">
        <w:rPr>
          <w:color w:val="FF0000"/>
          <w:sz w:val="24"/>
          <w:szCs w:val="24"/>
        </w:rPr>
        <w:t xml:space="preserve"> the VHT Operation </w:t>
      </w:r>
      <w:proofErr w:type="spellStart"/>
      <w:r w:rsidR="00A64018" w:rsidRPr="00813EE3">
        <w:rPr>
          <w:color w:val="FF0000"/>
          <w:sz w:val="24"/>
          <w:szCs w:val="24"/>
        </w:rPr>
        <w:t>subelement</w:t>
      </w:r>
      <w:proofErr w:type="spellEnd"/>
      <w:r w:rsidR="00A64018" w:rsidRPr="00813EE3">
        <w:rPr>
          <w:color w:val="FF0000"/>
          <w:sz w:val="24"/>
          <w:szCs w:val="24"/>
        </w:rPr>
        <w:t xml:space="preserve"> </w:t>
      </w:r>
      <w:r>
        <w:rPr>
          <w:color w:val="FF0000"/>
          <w:sz w:val="24"/>
          <w:szCs w:val="24"/>
        </w:rPr>
        <w:t>is</w:t>
      </w:r>
      <w:r w:rsidR="00A64018" w:rsidRPr="00813EE3">
        <w:rPr>
          <w:color w:val="FF0000"/>
          <w:sz w:val="24"/>
          <w:szCs w:val="24"/>
        </w:rPr>
        <w:t xml:space="preserve"> included</w:t>
      </w:r>
      <w:r w:rsidR="00813EE3">
        <w:rPr>
          <w:color w:val="FF0000"/>
          <w:sz w:val="24"/>
          <w:szCs w:val="24"/>
        </w:rPr>
        <w:t xml:space="preserve">, then </w:t>
      </w:r>
      <w:r w:rsidR="00813EE3" w:rsidRPr="0008531F">
        <w:rPr>
          <w:color w:val="FF0000"/>
          <w:sz w:val="24"/>
          <w:szCs w:val="24"/>
        </w:rPr>
        <w:t xml:space="preserve">the Wide Bandwidth Channel </w:t>
      </w:r>
      <w:proofErr w:type="spellStart"/>
      <w:r w:rsidR="00813EE3" w:rsidRPr="0008531F">
        <w:rPr>
          <w:color w:val="FF0000"/>
          <w:sz w:val="24"/>
          <w:szCs w:val="24"/>
        </w:rPr>
        <w:t>subelement</w:t>
      </w:r>
      <w:proofErr w:type="spellEnd"/>
      <w:r w:rsidR="00813EE3" w:rsidRPr="0008531F">
        <w:rPr>
          <w:color w:val="FF0000"/>
          <w:sz w:val="24"/>
          <w:szCs w:val="24"/>
        </w:rPr>
        <w:t xml:space="preserve"> shall be included</w:t>
      </w:r>
      <w:r w:rsidR="00813EE3">
        <w:rPr>
          <w:color w:val="FF0000"/>
          <w:sz w:val="24"/>
          <w:szCs w:val="24"/>
        </w:rPr>
        <w:t>.</w:t>
      </w:r>
    </w:p>
    <w:p w14:paraId="2C27D1E1" w14:textId="1460CC18" w:rsidR="00A64018" w:rsidRPr="00813EE3" w:rsidRDefault="00A64018" w:rsidP="00A64018">
      <w:pPr>
        <w:spacing w:after="240"/>
        <w:rPr>
          <w:color w:val="FF0000"/>
          <w:sz w:val="24"/>
          <w:szCs w:val="24"/>
        </w:rPr>
      </w:pPr>
    </w:p>
    <w:p w14:paraId="116B06E4" w14:textId="3AD451EC" w:rsidR="003179BB" w:rsidRPr="0011006A" w:rsidRDefault="00C34CA2" w:rsidP="00F32CD8">
      <w:pPr>
        <w:spacing w:after="240"/>
        <w:rPr>
          <w:color w:val="FF0000"/>
          <w:sz w:val="24"/>
          <w:szCs w:val="24"/>
          <w:lang w:val="en-US"/>
        </w:rPr>
      </w:pPr>
      <w:r w:rsidRPr="000474F0">
        <w:rPr>
          <w:color w:val="FF0000"/>
          <w:sz w:val="24"/>
          <w:szCs w:val="24"/>
        </w:rPr>
        <w:t xml:space="preserve"> </w:t>
      </w:r>
    </w:p>
    <w:sectPr w:rsidR="003179BB" w:rsidRPr="0011006A"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2C493" w14:textId="77777777" w:rsidR="00490F25" w:rsidRDefault="00490F25">
      <w:r>
        <w:separator/>
      </w:r>
    </w:p>
  </w:endnote>
  <w:endnote w:type="continuationSeparator" w:id="0">
    <w:p w14:paraId="1817B0F9" w14:textId="77777777" w:rsidR="00490F25" w:rsidRDefault="0049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85F3" w14:textId="35EBE5B9" w:rsidR="00333FB2" w:rsidRDefault="002147CF" w:rsidP="00A525F0">
    <w:pPr>
      <w:pStyle w:val="Footer"/>
      <w:tabs>
        <w:tab w:val="clear" w:pos="6480"/>
        <w:tab w:val="center" w:pos="4820"/>
        <w:tab w:val="left" w:pos="6237"/>
        <w:tab w:val="right" w:pos="9360"/>
      </w:tabs>
      <w:rPr>
        <w:lang w:eastAsia="zh-HK"/>
      </w:rPr>
    </w:pPr>
    <w:fldSimple w:instr=" SUBJECT  \* MERGEFORMAT ">
      <w:r w:rsidR="00333FB2">
        <w:t>Submission</w:t>
      </w:r>
    </w:fldSimple>
    <w:r w:rsidR="00333FB2">
      <w:t xml:space="preserve"> </w:t>
    </w:r>
    <w:r w:rsidR="00333FB2">
      <w:tab/>
      <w:t xml:space="preserve">Page </w:t>
    </w:r>
    <w:r w:rsidR="00333FB2">
      <w:fldChar w:fldCharType="begin"/>
    </w:r>
    <w:r w:rsidR="00333FB2">
      <w:instrText xml:space="preserve">page </w:instrText>
    </w:r>
    <w:r w:rsidR="00333FB2">
      <w:fldChar w:fldCharType="separate"/>
    </w:r>
    <w:r w:rsidR="009F56DE">
      <w:rPr>
        <w:noProof/>
      </w:rPr>
      <w:t>5</w:t>
    </w:r>
    <w:r w:rsidR="00333FB2">
      <w:rPr>
        <w:noProof/>
      </w:rPr>
      <w:fldChar w:fldCharType="end"/>
    </w:r>
    <w:r w:rsidR="00333FB2">
      <w:tab/>
      <w:t xml:space="preserve">     Carlos Aldana, </w:t>
    </w:r>
    <w:r w:rsidR="00333FB2">
      <w:rPr>
        <w:rFonts w:hint="eastAsia"/>
        <w:lang w:eastAsia="zh-HK"/>
      </w:rPr>
      <w:t>Qualcomm</w:t>
    </w:r>
  </w:p>
  <w:p w14:paraId="06F37C8B" w14:textId="77777777" w:rsidR="00333FB2" w:rsidRDefault="0033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567CF" w14:textId="77777777" w:rsidR="00490F25" w:rsidRDefault="00490F25">
      <w:r>
        <w:separator/>
      </w:r>
    </w:p>
  </w:footnote>
  <w:footnote w:type="continuationSeparator" w:id="0">
    <w:p w14:paraId="3B8604B1" w14:textId="77777777" w:rsidR="00490F25" w:rsidRDefault="00490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A514" w14:textId="58E21723" w:rsidR="00333FB2" w:rsidRDefault="00C275AB" w:rsidP="00A525F0">
    <w:pPr>
      <w:pStyle w:val="Header"/>
      <w:tabs>
        <w:tab w:val="clear" w:pos="6480"/>
        <w:tab w:val="center" w:pos="4680"/>
        <w:tab w:val="right" w:pos="9781"/>
      </w:tabs>
    </w:pPr>
    <w:r>
      <w:rPr>
        <w:rFonts w:hint="eastAsia"/>
        <w:lang w:eastAsia="zh-HK"/>
      </w:rPr>
      <w:t>May</w:t>
    </w:r>
    <w:r w:rsidR="00333FB2">
      <w:rPr>
        <w:rFonts w:hint="eastAsia"/>
        <w:lang w:eastAsia="zh-HK"/>
      </w:rPr>
      <w:t xml:space="preserve"> 2015</w:t>
    </w:r>
    <w:r w:rsidR="00333FB2">
      <w:tab/>
    </w:r>
    <w:r w:rsidR="00333FB2">
      <w:tab/>
      <w:t xml:space="preserve">  </w:t>
    </w:r>
    <w:fldSimple w:instr=" TITLE  \* MERGEFORMAT ">
      <w:r w:rsidR="00333FB2">
        <w:t>doc.: IEEE 802.11-1</w:t>
      </w:r>
      <w:r w:rsidR="00333FB2">
        <w:rPr>
          <w:lang w:eastAsia="zh-HK"/>
        </w:rPr>
        <w:t>5</w:t>
      </w:r>
      <w:r w:rsidR="00333FB2">
        <w:t>/</w:t>
      </w:r>
      <w:r w:rsidR="00DB4186">
        <w:rPr>
          <w:lang w:eastAsia="zh-HK"/>
        </w:rPr>
        <w:t>719</w:t>
      </w:r>
      <w:r w:rsidR="00333FB2">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9"/>
  </w:num>
  <w:num w:numId="8">
    <w:abstractNumId w:val="25"/>
  </w:num>
  <w:num w:numId="9">
    <w:abstractNumId w:val="13"/>
  </w:num>
  <w:num w:numId="10">
    <w:abstractNumId w:val="1"/>
  </w:num>
  <w:num w:numId="11">
    <w:abstractNumId w:val="6"/>
  </w:num>
  <w:num w:numId="12">
    <w:abstractNumId w:val="1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26"/>
  </w:num>
  <w:num w:numId="20">
    <w:abstractNumId w:val="16"/>
  </w:num>
  <w:num w:numId="21">
    <w:abstractNumId w:val="17"/>
  </w:num>
  <w:num w:numId="22">
    <w:abstractNumId w:val="23"/>
  </w:num>
  <w:num w:numId="23">
    <w:abstractNumId w:val="24"/>
  </w:num>
  <w:num w:numId="24">
    <w:abstractNumId w:val="14"/>
  </w:num>
  <w:num w:numId="25">
    <w:abstractNumId w:val="2"/>
  </w:num>
  <w:num w:numId="26">
    <w:abstractNumId w:val="22"/>
  </w:num>
  <w:num w:numId="27">
    <w:abstractNumId w:val="1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D35"/>
    <w:rsid w:val="00004944"/>
    <w:rsid w:val="00010D1B"/>
    <w:rsid w:val="0001289D"/>
    <w:rsid w:val="00013565"/>
    <w:rsid w:val="00013E71"/>
    <w:rsid w:val="0001470A"/>
    <w:rsid w:val="0001471A"/>
    <w:rsid w:val="000163C8"/>
    <w:rsid w:val="00017296"/>
    <w:rsid w:val="0002065E"/>
    <w:rsid w:val="00021F35"/>
    <w:rsid w:val="00024373"/>
    <w:rsid w:val="00024517"/>
    <w:rsid w:val="00025D06"/>
    <w:rsid w:val="00030289"/>
    <w:rsid w:val="000310D2"/>
    <w:rsid w:val="000335AC"/>
    <w:rsid w:val="00035811"/>
    <w:rsid w:val="00036E7E"/>
    <w:rsid w:val="000376E2"/>
    <w:rsid w:val="00037C1B"/>
    <w:rsid w:val="00040994"/>
    <w:rsid w:val="0004129D"/>
    <w:rsid w:val="00041CBD"/>
    <w:rsid w:val="00041F0F"/>
    <w:rsid w:val="00042DDD"/>
    <w:rsid w:val="000433B2"/>
    <w:rsid w:val="0004353E"/>
    <w:rsid w:val="0004354C"/>
    <w:rsid w:val="00044809"/>
    <w:rsid w:val="0004645C"/>
    <w:rsid w:val="000474F0"/>
    <w:rsid w:val="0004777D"/>
    <w:rsid w:val="00047D67"/>
    <w:rsid w:val="000523D4"/>
    <w:rsid w:val="0005339D"/>
    <w:rsid w:val="00060D32"/>
    <w:rsid w:val="00063EA0"/>
    <w:rsid w:val="00063F27"/>
    <w:rsid w:val="00064F73"/>
    <w:rsid w:val="0006633F"/>
    <w:rsid w:val="00066FC8"/>
    <w:rsid w:val="00067B93"/>
    <w:rsid w:val="000711EB"/>
    <w:rsid w:val="00071B29"/>
    <w:rsid w:val="00072993"/>
    <w:rsid w:val="00073A23"/>
    <w:rsid w:val="0007433A"/>
    <w:rsid w:val="00074852"/>
    <w:rsid w:val="00074DC8"/>
    <w:rsid w:val="000766E9"/>
    <w:rsid w:val="00077551"/>
    <w:rsid w:val="00080B3E"/>
    <w:rsid w:val="000815BD"/>
    <w:rsid w:val="00081AE1"/>
    <w:rsid w:val="0008304A"/>
    <w:rsid w:val="00083E23"/>
    <w:rsid w:val="00084093"/>
    <w:rsid w:val="0008560E"/>
    <w:rsid w:val="00085BFB"/>
    <w:rsid w:val="0008705E"/>
    <w:rsid w:val="0008713E"/>
    <w:rsid w:val="000932A4"/>
    <w:rsid w:val="0009542D"/>
    <w:rsid w:val="00095671"/>
    <w:rsid w:val="000A38D5"/>
    <w:rsid w:val="000A5648"/>
    <w:rsid w:val="000A5EBA"/>
    <w:rsid w:val="000A7EC8"/>
    <w:rsid w:val="000B0960"/>
    <w:rsid w:val="000B150D"/>
    <w:rsid w:val="000B358D"/>
    <w:rsid w:val="000B3EDD"/>
    <w:rsid w:val="000B64ED"/>
    <w:rsid w:val="000B7FB2"/>
    <w:rsid w:val="000C177E"/>
    <w:rsid w:val="000C2BCD"/>
    <w:rsid w:val="000C31D5"/>
    <w:rsid w:val="000C3CD2"/>
    <w:rsid w:val="000C4328"/>
    <w:rsid w:val="000C5AFE"/>
    <w:rsid w:val="000C5E14"/>
    <w:rsid w:val="000C6559"/>
    <w:rsid w:val="000D0BAE"/>
    <w:rsid w:val="000D19C9"/>
    <w:rsid w:val="000D6387"/>
    <w:rsid w:val="000D7634"/>
    <w:rsid w:val="000E0737"/>
    <w:rsid w:val="000E3516"/>
    <w:rsid w:val="000E38ED"/>
    <w:rsid w:val="000F08FC"/>
    <w:rsid w:val="000F090A"/>
    <w:rsid w:val="000F16B4"/>
    <w:rsid w:val="000F1C4D"/>
    <w:rsid w:val="000F26C6"/>
    <w:rsid w:val="000F2A35"/>
    <w:rsid w:val="000F46E2"/>
    <w:rsid w:val="000F5BE6"/>
    <w:rsid w:val="000F5CF8"/>
    <w:rsid w:val="000F6699"/>
    <w:rsid w:val="0010083F"/>
    <w:rsid w:val="00100EA2"/>
    <w:rsid w:val="00100F19"/>
    <w:rsid w:val="001025E9"/>
    <w:rsid w:val="00104E00"/>
    <w:rsid w:val="001055E6"/>
    <w:rsid w:val="00106C22"/>
    <w:rsid w:val="0011006A"/>
    <w:rsid w:val="00112711"/>
    <w:rsid w:val="0011562A"/>
    <w:rsid w:val="001166C3"/>
    <w:rsid w:val="00116AB6"/>
    <w:rsid w:val="00121F19"/>
    <w:rsid w:val="001234AC"/>
    <w:rsid w:val="001247AD"/>
    <w:rsid w:val="00124D10"/>
    <w:rsid w:val="00130D22"/>
    <w:rsid w:val="00131186"/>
    <w:rsid w:val="00131A12"/>
    <w:rsid w:val="00132E5B"/>
    <w:rsid w:val="00134BFF"/>
    <w:rsid w:val="0013504B"/>
    <w:rsid w:val="00135264"/>
    <w:rsid w:val="00136FDB"/>
    <w:rsid w:val="00137D41"/>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77CB"/>
    <w:rsid w:val="00181D44"/>
    <w:rsid w:val="00182D1E"/>
    <w:rsid w:val="001832AB"/>
    <w:rsid w:val="00185B4F"/>
    <w:rsid w:val="001905BE"/>
    <w:rsid w:val="00192C82"/>
    <w:rsid w:val="00192CD8"/>
    <w:rsid w:val="001935F5"/>
    <w:rsid w:val="00195572"/>
    <w:rsid w:val="00197623"/>
    <w:rsid w:val="00197B41"/>
    <w:rsid w:val="001A0054"/>
    <w:rsid w:val="001A0B02"/>
    <w:rsid w:val="001A1569"/>
    <w:rsid w:val="001A169D"/>
    <w:rsid w:val="001A25C8"/>
    <w:rsid w:val="001A3EC1"/>
    <w:rsid w:val="001A4286"/>
    <w:rsid w:val="001A55A6"/>
    <w:rsid w:val="001A5E36"/>
    <w:rsid w:val="001B10F1"/>
    <w:rsid w:val="001B12E0"/>
    <w:rsid w:val="001B5995"/>
    <w:rsid w:val="001B59B4"/>
    <w:rsid w:val="001B710A"/>
    <w:rsid w:val="001B7918"/>
    <w:rsid w:val="001C0054"/>
    <w:rsid w:val="001C16D0"/>
    <w:rsid w:val="001C6899"/>
    <w:rsid w:val="001C7709"/>
    <w:rsid w:val="001C7FAD"/>
    <w:rsid w:val="001D0B34"/>
    <w:rsid w:val="001D4968"/>
    <w:rsid w:val="001D56BF"/>
    <w:rsid w:val="001D5C2B"/>
    <w:rsid w:val="001D5EC5"/>
    <w:rsid w:val="001D6452"/>
    <w:rsid w:val="001D723B"/>
    <w:rsid w:val="001E1C77"/>
    <w:rsid w:val="001E3001"/>
    <w:rsid w:val="001E30A8"/>
    <w:rsid w:val="001E3A72"/>
    <w:rsid w:val="001E761C"/>
    <w:rsid w:val="001F24A1"/>
    <w:rsid w:val="001F2C2B"/>
    <w:rsid w:val="001F42CF"/>
    <w:rsid w:val="001F4486"/>
    <w:rsid w:val="001F486B"/>
    <w:rsid w:val="001F4CA5"/>
    <w:rsid w:val="001F6CFC"/>
    <w:rsid w:val="001F755D"/>
    <w:rsid w:val="00200AD6"/>
    <w:rsid w:val="00200CC8"/>
    <w:rsid w:val="00201B49"/>
    <w:rsid w:val="00202A75"/>
    <w:rsid w:val="00203F4A"/>
    <w:rsid w:val="002069CE"/>
    <w:rsid w:val="00206A20"/>
    <w:rsid w:val="00206C62"/>
    <w:rsid w:val="00207081"/>
    <w:rsid w:val="0020737E"/>
    <w:rsid w:val="00207413"/>
    <w:rsid w:val="002108BA"/>
    <w:rsid w:val="002115A5"/>
    <w:rsid w:val="002127B2"/>
    <w:rsid w:val="002147CF"/>
    <w:rsid w:val="002152A4"/>
    <w:rsid w:val="00215EAC"/>
    <w:rsid w:val="002162E5"/>
    <w:rsid w:val="002164B6"/>
    <w:rsid w:val="0021716C"/>
    <w:rsid w:val="00220F43"/>
    <w:rsid w:val="00224CB5"/>
    <w:rsid w:val="00224FE3"/>
    <w:rsid w:val="00225571"/>
    <w:rsid w:val="0022690E"/>
    <w:rsid w:val="002272DD"/>
    <w:rsid w:val="0023068F"/>
    <w:rsid w:val="00230BA3"/>
    <w:rsid w:val="00232D4F"/>
    <w:rsid w:val="00233097"/>
    <w:rsid w:val="002337A7"/>
    <w:rsid w:val="00233A1D"/>
    <w:rsid w:val="00234797"/>
    <w:rsid w:val="002358AC"/>
    <w:rsid w:val="0023614A"/>
    <w:rsid w:val="002369F2"/>
    <w:rsid w:val="00236C2C"/>
    <w:rsid w:val="00237AAA"/>
    <w:rsid w:val="0024150A"/>
    <w:rsid w:val="00241946"/>
    <w:rsid w:val="00242041"/>
    <w:rsid w:val="00243222"/>
    <w:rsid w:val="00243C80"/>
    <w:rsid w:val="0025156F"/>
    <w:rsid w:val="00253ACD"/>
    <w:rsid w:val="00254420"/>
    <w:rsid w:val="00254594"/>
    <w:rsid w:val="002549C1"/>
    <w:rsid w:val="00254BE1"/>
    <w:rsid w:val="00256728"/>
    <w:rsid w:val="00256F15"/>
    <w:rsid w:val="00257CDD"/>
    <w:rsid w:val="00260DF1"/>
    <w:rsid w:val="00265609"/>
    <w:rsid w:val="002709F7"/>
    <w:rsid w:val="00271282"/>
    <w:rsid w:val="002737FC"/>
    <w:rsid w:val="00275FF6"/>
    <w:rsid w:val="00276618"/>
    <w:rsid w:val="00276AF3"/>
    <w:rsid w:val="00280377"/>
    <w:rsid w:val="0028334F"/>
    <w:rsid w:val="002847E7"/>
    <w:rsid w:val="0028570F"/>
    <w:rsid w:val="0029020B"/>
    <w:rsid w:val="002908E6"/>
    <w:rsid w:val="00290F67"/>
    <w:rsid w:val="00291A44"/>
    <w:rsid w:val="00293453"/>
    <w:rsid w:val="00295117"/>
    <w:rsid w:val="00297D76"/>
    <w:rsid w:val="002A01F5"/>
    <w:rsid w:val="002A24B1"/>
    <w:rsid w:val="002A3ACC"/>
    <w:rsid w:val="002A4D43"/>
    <w:rsid w:val="002A5640"/>
    <w:rsid w:val="002B40B1"/>
    <w:rsid w:val="002B5197"/>
    <w:rsid w:val="002B5477"/>
    <w:rsid w:val="002B56FB"/>
    <w:rsid w:val="002C3BA6"/>
    <w:rsid w:val="002C53E9"/>
    <w:rsid w:val="002C7CC7"/>
    <w:rsid w:val="002D0395"/>
    <w:rsid w:val="002D3456"/>
    <w:rsid w:val="002D44BE"/>
    <w:rsid w:val="002D535C"/>
    <w:rsid w:val="002D542F"/>
    <w:rsid w:val="002E0E2B"/>
    <w:rsid w:val="002E1927"/>
    <w:rsid w:val="002E224B"/>
    <w:rsid w:val="002E2AFA"/>
    <w:rsid w:val="002E4EE4"/>
    <w:rsid w:val="002E7320"/>
    <w:rsid w:val="002F2DA9"/>
    <w:rsid w:val="002F2DFB"/>
    <w:rsid w:val="002F4803"/>
    <w:rsid w:val="002F4BF7"/>
    <w:rsid w:val="002F6E9E"/>
    <w:rsid w:val="002F78D3"/>
    <w:rsid w:val="00300DE7"/>
    <w:rsid w:val="003018A6"/>
    <w:rsid w:val="00304E90"/>
    <w:rsid w:val="0030554F"/>
    <w:rsid w:val="003064D4"/>
    <w:rsid w:val="003072AD"/>
    <w:rsid w:val="00307597"/>
    <w:rsid w:val="0031122A"/>
    <w:rsid w:val="00313607"/>
    <w:rsid w:val="00313852"/>
    <w:rsid w:val="00314953"/>
    <w:rsid w:val="003164F5"/>
    <w:rsid w:val="00316B18"/>
    <w:rsid w:val="00316E1C"/>
    <w:rsid w:val="003179BB"/>
    <w:rsid w:val="00320207"/>
    <w:rsid w:val="00320571"/>
    <w:rsid w:val="00321C48"/>
    <w:rsid w:val="00322397"/>
    <w:rsid w:val="00322568"/>
    <w:rsid w:val="00322F8B"/>
    <w:rsid w:val="0032526B"/>
    <w:rsid w:val="00330716"/>
    <w:rsid w:val="003334E0"/>
    <w:rsid w:val="00333B4E"/>
    <w:rsid w:val="00333FB2"/>
    <w:rsid w:val="00334719"/>
    <w:rsid w:val="0033523F"/>
    <w:rsid w:val="00335530"/>
    <w:rsid w:val="00335CD6"/>
    <w:rsid w:val="00335F4E"/>
    <w:rsid w:val="0034084C"/>
    <w:rsid w:val="00350146"/>
    <w:rsid w:val="00352D1C"/>
    <w:rsid w:val="00356E33"/>
    <w:rsid w:val="00357109"/>
    <w:rsid w:val="00360A4B"/>
    <w:rsid w:val="0036244C"/>
    <w:rsid w:val="00362C85"/>
    <w:rsid w:val="00362D34"/>
    <w:rsid w:val="003637A4"/>
    <w:rsid w:val="00365F6F"/>
    <w:rsid w:val="00367121"/>
    <w:rsid w:val="00367D11"/>
    <w:rsid w:val="00370E0C"/>
    <w:rsid w:val="00376485"/>
    <w:rsid w:val="003765D4"/>
    <w:rsid w:val="00376AC5"/>
    <w:rsid w:val="00376DA5"/>
    <w:rsid w:val="003776BE"/>
    <w:rsid w:val="00377AD7"/>
    <w:rsid w:val="00377DD8"/>
    <w:rsid w:val="00380E7A"/>
    <w:rsid w:val="00380FC2"/>
    <w:rsid w:val="003812D0"/>
    <w:rsid w:val="00382F59"/>
    <w:rsid w:val="003833E8"/>
    <w:rsid w:val="00383B81"/>
    <w:rsid w:val="00384156"/>
    <w:rsid w:val="0038532E"/>
    <w:rsid w:val="0038571B"/>
    <w:rsid w:val="0039526B"/>
    <w:rsid w:val="0039622D"/>
    <w:rsid w:val="003966EF"/>
    <w:rsid w:val="0039694A"/>
    <w:rsid w:val="003A17F2"/>
    <w:rsid w:val="003A1B8E"/>
    <w:rsid w:val="003A1D29"/>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336A"/>
    <w:rsid w:val="003D127F"/>
    <w:rsid w:val="003D1969"/>
    <w:rsid w:val="003D5478"/>
    <w:rsid w:val="003D566E"/>
    <w:rsid w:val="003E0526"/>
    <w:rsid w:val="003E0B87"/>
    <w:rsid w:val="003E1145"/>
    <w:rsid w:val="003E1595"/>
    <w:rsid w:val="003E2302"/>
    <w:rsid w:val="003E740A"/>
    <w:rsid w:val="003F0413"/>
    <w:rsid w:val="003F4A25"/>
    <w:rsid w:val="003F7856"/>
    <w:rsid w:val="00400113"/>
    <w:rsid w:val="004041AF"/>
    <w:rsid w:val="00411353"/>
    <w:rsid w:val="0041271D"/>
    <w:rsid w:val="00412832"/>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0C6"/>
    <w:rsid w:val="004265C5"/>
    <w:rsid w:val="00427325"/>
    <w:rsid w:val="00430D86"/>
    <w:rsid w:val="004315AC"/>
    <w:rsid w:val="004320E2"/>
    <w:rsid w:val="0043732E"/>
    <w:rsid w:val="0043734C"/>
    <w:rsid w:val="004402ED"/>
    <w:rsid w:val="004412DD"/>
    <w:rsid w:val="00442037"/>
    <w:rsid w:val="0044271D"/>
    <w:rsid w:val="004478C2"/>
    <w:rsid w:val="00450B89"/>
    <w:rsid w:val="004517C5"/>
    <w:rsid w:val="00452498"/>
    <w:rsid w:val="004543FE"/>
    <w:rsid w:val="00454A1E"/>
    <w:rsid w:val="0045563A"/>
    <w:rsid w:val="00455C3E"/>
    <w:rsid w:val="00457086"/>
    <w:rsid w:val="0045743C"/>
    <w:rsid w:val="004579B5"/>
    <w:rsid w:val="00460614"/>
    <w:rsid w:val="00461D0D"/>
    <w:rsid w:val="00464B86"/>
    <w:rsid w:val="00464D10"/>
    <w:rsid w:val="00464F87"/>
    <w:rsid w:val="00466B97"/>
    <w:rsid w:val="00470320"/>
    <w:rsid w:val="00470B71"/>
    <w:rsid w:val="004734B2"/>
    <w:rsid w:val="0047409D"/>
    <w:rsid w:val="00475B71"/>
    <w:rsid w:val="00476675"/>
    <w:rsid w:val="00481C04"/>
    <w:rsid w:val="004846E6"/>
    <w:rsid w:val="00487EDF"/>
    <w:rsid w:val="00490F25"/>
    <w:rsid w:val="00493DD7"/>
    <w:rsid w:val="004979F9"/>
    <w:rsid w:val="004A5F28"/>
    <w:rsid w:val="004A70B5"/>
    <w:rsid w:val="004A7B14"/>
    <w:rsid w:val="004B1BA3"/>
    <w:rsid w:val="004B2083"/>
    <w:rsid w:val="004B2569"/>
    <w:rsid w:val="004B3AC2"/>
    <w:rsid w:val="004B3EF5"/>
    <w:rsid w:val="004B7BD0"/>
    <w:rsid w:val="004C0927"/>
    <w:rsid w:val="004C2DA1"/>
    <w:rsid w:val="004C496D"/>
    <w:rsid w:val="004C4C81"/>
    <w:rsid w:val="004C58AC"/>
    <w:rsid w:val="004C652C"/>
    <w:rsid w:val="004C7AAD"/>
    <w:rsid w:val="004D24B3"/>
    <w:rsid w:val="004D2575"/>
    <w:rsid w:val="004D3560"/>
    <w:rsid w:val="004D427C"/>
    <w:rsid w:val="004D438C"/>
    <w:rsid w:val="004D5F2D"/>
    <w:rsid w:val="004D71AA"/>
    <w:rsid w:val="004E0EE2"/>
    <w:rsid w:val="004E3648"/>
    <w:rsid w:val="004E4C1E"/>
    <w:rsid w:val="004E5648"/>
    <w:rsid w:val="004E7049"/>
    <w:rsid w:val="004E7D91"/>
    <w:rsid w:val="004F2C3A"/>
    <w:rsid w:val="004F4A51"/>
    <w:rsid w:val="004F6BD1"/>
    <w:rsid w:val="004F7E7E"/>
    <w:rsid w:val="00502C87"/>
    <w:rsid w:val="00504BCE"/>
    <w:rsid w:val="00504CCF"/>
    <w:rsid w:val="00504CDC"/>
    <w:rsid w:val="0050544C"/>
    <w:rsid w:val="00507376"/>
    <w:rsid w:val="005101CC"/>
    <w:rsid w:val="00512E13"/>
    <w:rsid w:val="00513131"/>
    <w:rsid w:val="005146AA"/>
    <w:rsid w:val="00516178"/>
    <w:rsid w:val="00520EF2"/>
    <w:rsid w:val="00521B39"/>
    <w:rsid w:val="00522C92"/>
    <w:rsid w:val="00523380"/>
    <w:rsid w:val="0052428D"/>
    <w:rsid w:val="00527FE3"/>
    <w:rsid w:val="0053325C"/>
    <w:rsid w:val="005349C3"/>
    <w:rsid w:val="0054124B"/>
    <w:rsid w:val="0054424E"/>
    <w:rsid w:val="005446E1"/>
    <w:rsid w:val="00544D55"/>
    <w:rsid w:val="0054644B"/>
    <w:rsid w:val="00546C62"/>
    <w:rsid w:val="00546E94"/>
    <w:rsid w:val="00547CEA"/>
    <w:rsid w:val="00551C53"/>
    <w:rsid w:val="0055596D"/>
    <w:rsid w:val="00557BB0"/>
    <w:rsid w:val="00562064"/>
    <w:rsid w:val="005628F2"/>
    <w:rsid w:val="0056309E"/>
    <w:rsid w:val="00563483"/>
    <w:rsid w:val="005668D1"/>
    <w:rsid w:val="00570250"/>
    <w:rsid w:val="005719DD"/>
    <w:rsid w:val="00573EFC"/>
    <w:rsid w:val="005762A3"/>
    <w:rsid w:val="0057696E"/>
    <w:rsid w:val="005803FF"/>
    <w:rsid w:val="005809E8"/>
    <w:rsid w:val="005834B7"/>
    <w:rsid w:val="00583C89"/>
    <w:rsid w:val="00584613"/>
    <w:rsid w:val="00585FC2"/>
    <w:rsid w:val="00590F3E"/>
    <w:rsid w:val="0059346B"/>
    <w:rsid w:val="0059406D"/>
    <w:rsid w:val="0059505C"/>
    <w:rsid w:val="005971EC"/>
    <w:rsid w:val="005A148B"/>
    <w:rsid w:val="005A172C"/>
    <w:rsid w:val="005A2A88"/>
    <w:rsid w:val="005A2C5C"/>
    <w:rsid w:val="005A5ADD"/>
    <w:rsid w:val="005A5E28"/>
    <w:rsid w:val="005A63CC"/>
    <w:rsid w:val="005A7802"/>
    <w:rsid w:val="005A79FB"/>
    <w:rsid w:val="005B38F2"/>
    <w:rsid w:val="005B676E"/>
    <w:rsid w:val="005B6BD0"/>
    <w:rsid w:val="005C0160"/>
    <w:rsid w:val="005C22C2"/>
    <w:rsid w:val="005C35DD"/>
    <w:rsid w:val="005D16F5"/>
    <w:rsid w:val="005D46C0"/>
    <w:rsid w:val="005D5307"/>
    <w:rsid w:val="005D54BB"/>
    <w:rsid w:val="005D5E8B"/>
    <w:rsid w:val="005D701D"/>
    <w:rsid w:val="005E0B6D"/>
    <w:rsid w:val="005E19F6"/>
    <w:rsid w:val="005E1B68"/>
    <w:rsid w:val="005E1E64"/>
    <w:rsid w:val="005E3AA1"/>
    <w:rsid w:val="005E43F9"/>
    <w:rsid w:val="005E6082"/>
    <w:rsid w:val="005E7557"/>
    <w:rsid w:val="005F2561"/>
    <w:rsid w:val="005F3977"/>
    <w:rsid w:val="005F4103"/>
    <w:rsid w:val="005F4BC9"/>
    <w:rsid w:val="005F4D9B"/>
    <w:rsid w:val="005F5CBC"/>
    <w:rsid w:val="005F6A70"/>
    <w:rsid w:val="005F7872"/>
    <w:rsid w:val="00600F31"/>
    <w:rsid w:val="00603CDD"/>
    <w:rsid w:val="006044C9"/>
    <w:rsid w:val="00605973"/>
    <w:rsid w:val="006077D3"/>
    <w:rsid w:val="0061059A"/>
    <w:rsid w:val="00612457"/>
    <w:rsid w:val="0061270D"/>
    <w:rsid w:val="00615771"/>
    <w:rsid w:val="00620EB6"/>
    <w:rsid w:val="006214E7"/>
    <w:rsid w:val="0062440B"/>
    <w:rsid w:val="00625717"/>
    <w:rsid w:val="006276CE"/>
    <w:rsid w:val="0063480C"/>
    <w:rsid w:val="00642A00"/>
    <w:rsid w:val="006430FC"/>
    <w:rsid w:val="00643B56"/>
    <w:rsid w:val="00643C98"/>
    <w:rsid w:val="00643E6C"/>
    <w:rsid w:val="00643F12"/>
    <w:rsid w:val="00644A48"/>
    <w:rsid w:val="00644CC5"/>
    <w:rsid w:val="00646615"/>
    <w:rsid w:val="006468FA"/>
    <w:rsid w:val="006477AF"/>
    <w:rsid w:val="006509AD"/>
    <w:rsid w:val="00652376"/>
    <w:rsid w:val="006535A3"/>
    <w:rsid w:val="00653B8C"/>
    <w:rsid w:val="00655626"/>
    <w:rsid w:val="00655A22"/>
    <w:rsid w:val="00656ECB"/>
    <w:rsid w:val="00660037"/>
    <w:rsid w:val="00660708"/>
    <w:rsid w:val="00660867"/>
    <w:rsid w:val="0066113F"/>
    <w:rsid w:val="00663634"/>
    <w:rsid w:val="0066376C"/>
    <w:rsid w:val="006647BD"/>
    <w:rsid w:val="00664EDE"/>
    <w:rsid w:val="00666543"/>
    <w:rsid w:val="00667D91"/>
    <w:rsid w:val="00670762"/>
    <w:rsid w:val="00671762"/>
    <w:rsid w:val="00671AA6"/>
    <w:rsid w:val="00671F54"/>
    <w:rsid w:val="00673FCF"/>
    <w:rsid w:val="006763F8"/>
    <w:rsid w:val="00681444"/>
    <w:rsid w:val="00683A5B"/>
    <w:rsid w:val="00683BE4"/>
    <w:rsid w:val="00683FD7"/>
    <w:rsid w:val="00685232"/>
    <w:rsid w:val="00687EB4"/>
    <w:rsid w:val="006919D4"/>
    <w:rsid w:val="006A3A06"/>
    <w:rsid w:val="006A4BB7"/>
    <w:rsid w:val="006B0335"/>
    <w:rsid w:val="006B127E"/>
    <w:rsid w:val="006B5442"/>
    <w:rsid w:val="006B54CF"/>
    <w:rsid w:val="006B76D2"/>
    <w:rsid w:val="006C0727"/>
    <w:rsid w:val="006C0BAC"/>
    <w:rsid w:val="006C0F36"/>
    <w:rsid w:val="006C3AFF"/>
    <w:rsid w:val="006C3D7D"/>
    <w:rsid w:val="006C470C"/>
    <w:rsid w:val="006C75F7"/>
    <w:rsid w:val="006C7BAB"/>
    <w:rsid w:val="006D083F"/>
    <w:rsid w:val="006D0B2B"/>
    <w:rsid w:val="006D2523"/>
    <w:rsid w:val="006D2EDD"/>
    <w:rsid w:val="006D2F56"/>
    <w:rsid w:val="006D323D"/>
    <w:rsid w:val="006D72F8"/>
    <w:rsid w:val="006D7D9C"/>
    <w:rsid w:val="006D7EAF"/>
    <w:rsid w:val="006E0C50"/>
    <w:rsid w:val="006E145F"/>
    <w:rsid w:val="006E14D5"/>
    <w:rsid w:val="006F004A"/>
    <w:rsid w:val="006F0283"/>
    <w:rsid w:val="006F10EB"/>
    <w:rsid w:val="006F210C"/>
    <w:rsid w:val="006F5853"/>
    <w:rsid w:val="006F6551"/>
    <w:rsid w:val="006F6F34"/>
    <w:rsid w:val="006F79B1"/>
    <w:rsid w:val="00701EDE"/>
    <w:rsid w:val="00704847"/>
    <w:rsid w:val="00705A3A"/>
    <w:rsid w:val="00705C9E"/>
    <w:rsid w:val="007072CB"/>
    <w:rsid w:val="00710016"/>
    <w:rsid w:val="007150A0"/>
    <w:rsid w:val="00715B72"/>
    <w:rsid w:val="00716E7C"/>
    <w:rsid w:val="00720292"/>
    <w:rsid w:val="00720E1A"/>
    <w:rsid w:val="00722015"/>
    <w:rsid w:val="00723000"/>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51CB"/>
    <w:rsid w:val="0074528F"/>
    <w:rsid w:val="00745623"/>
    <w:rsid w:val="00745789"/>
    <w:rsid w:val="00751839"/>
    <w:rsid w:val="00751AB7"/>
    <w:rsid w:val="00751C3E"/>
    <w:rsid w:val="00753811"/>
    <w:rsid w:val="00755663"/>
    <w:rsid w:val="00757698"/>
    <w:rsid w:val="007610DA"/>
    <w:rsid w:val="00761FC1"/>
    <w:rsid w:val="00762860"/>
    <w:rsid w:val="0076647B"/>
    <w:rsid w:val="007671C4"/>
    <w:rsid w:val="00767640"/>
    <w:rsid w:val="00770572"/>
    <w:rsid w:val="00772622"/>
    <w:rsid w:val="00774BE9"/>
    <w:rsid w:val="00774EA8"/>
    <w:rsid w:val="00775C28"/>
    <w:rsid w:val="00777BA8"/>
    <w:rsid w:val="0078125A"/>
    <w:rsid w:val="007816E6"/>
    <w:rsid w:val="007838BD"/>
    <w:rsid w:val="00784689"/>
    <w:rsid w:val="00785022"/>
    <w:rsid w:val="00786734"/>
    <w:rsid w:val="00787F34"/>
    <w:rsid w:val="00791065"/>
    <w:rsid w:val="007918BA"/>
    <w:rsid w:val="0079345F"/>
    <w:rsid w:val="00794A74"/>
    <w:rsid w:val="00795974"/>
    <w:rsid w:val="007A27F5"/>
    <w:rsid w:val="007A39B8"/>
    <w:rsid w:val="007B1F37"/>
    <w:rsid w:val="007B29A4"/>
    <w:rsid w:val="007B68A3"/>
    <w:rsid w:val="007B6FA5"/>
    <w:rsid w:val="007B7016"/>
    <w:rsid w:val="007B7188"/>
    <w:rsid w:val="007B756C"/>
    <w:rsid w:val="007B7999"/>
    <w:rsid w:val="007C14D0"/>
    <w:rsid w:val="007C1CBD"/>
    <w:rsid w:val="007C1EA8"/>
    <w:rsid w:val="007C3C2C"/>
    <w:rsid w:val="007C510F"/>
    <w:rsid w:val="007C61AB"/>
    <w:rsid w:val="007C7C9D"/>
    <w:rsid w:val="007D13D6"/>
    <w:rsid w:val="007D45EA"/>
    <w:rsid w:val="007D67B7"/>
    <w:rsid w:val="007D6FA0"/>
    <w:rsid w:val="007E2F10"/>
    <w:rsid w:val="007E3941"/>
    <w:rsid w:val="007E3A74"/>
    <w:rsid w:val="007E552E"/>
    <w:rsid w:val="007E62F6"/>
    <w:rsid w:val="007E7DAE"/>
    <w:rsid w:val="007F0193"/>
    <w:rsid w:val="007F0F85"/>
    <w:rsid w:val="007F0F9B"/>
    <w:rsid w:val="007F132C"/>
    <w:rsid w:val="007F1606"/>
    <w:rsid w:val="007F2FDA"/>
    <w:rsid w:val="007F4D8A"/>
    <w:rsid w:val="008022B9"/>
    <w:rsid w:val="00802789"/>
    <w:rsid w:val="00802B00"/>
    <w:rsid w:val="008036FF"/>
    <w:rsid w:val="008041AC"/>
    <w:rsid w:val="0080633D"/>
    <w:rsid w:val="00807A34"/>
    <w:rsid w:val="008102EB"/>
    <w:rsid w:val="00810EB0"/>
    <w:rsid w:val="00812BD2"/>
    <w:rsid w:val="00813EE3"/>
    <w:rsid w:val="00815942"/>
    <w:rsid w:val="00815F65"/>
    <w:rsid w:val="00817014"/>
    <w:rsid w:val="0082092B"/>
    <w:rsid w:val="00820B34"/>
    <w:rsid w:val="00820DD5"/>
    <w:rsid w:val="00823016"/>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33D1"/>
    <w:rsid w:val="00863CE9"/>
    <w:rsid w:val="00864A35"/>
    <w:rsid w:val="008650D7"/>
    <w:rsid w:val="00865F6B"/>
    <w:rsid w:val="008678F4"/>
    <w:rsid w:val="008679AA"/>
    <w:rsid w:val="00867A3B"/>
    <w:rsid w:val="00867DB0"/>
    <w:rsid w:val="00867E7C"/>
    <w:rsid w:val="00871296"/>
    <w:rsid w:val="008726B7"/>
    <w:rsid w:val="00873B92"/>
    <w:rsid w:val="00880B13"/>
    <w:rsid w:val="0088150F"/>
    <w:rsid w:val="00881A6E"/>
    <w:rsid w:val="008826F3"/>
    <w:rsid w:val="00882E4A"/>
    <w:rsid w:val="0088323E"/>
    <w:rsid w:val="0088526B"/>
    <w:rsid w:val="0088582D"/>
    <w:rsid w:val="0089088B"/>
    <w:rsid w:val="008914B7"/>
    <w:rsid w:val="008930F2"/>
    <w:rsid w:val="008949B6"/>
    <w:rsid w:val="008A07F3"/>
    <w:rsid w:val="008A1D87"/>
    <w:rsid w:val="008A2DC0"/>
    <w:rsid w:val="008A33E8"/>
    <w:rsid w:val="008A4C54"/>
    <w:rsid w:val="008B2274"/>
    <w:rsid w:val="008B2ADE"/>
    <w:rsid w:val="008B43EB"/>
    <w:rsid w:val="008C2143"/>
    <w:rsid w:val="008C242C"/>
    <w:rsid w:val="008C266E"/>
    <w:rsid w:val="008C2FF9"/>
    <w:rsid w:val="008C44E2"/>
    <w:rsid w:val="008C606E"/>
    <w:rsid w:val="008C678C"/>
    <w:rsid w:val="008C6D49"/>
    <w:rsid w:val="008C6E60"/>
    <w:rsid w:val="008D1CF1"/>
    <w:rsid w:val="008D232D"/>
    <w:rsid w:val="008D2AF5"/>
    <w:rsid w:val="008D37D4"/>
    <w:rsid w:val="008D3DA6"/>
    <w:rsid w:val="008D6C8B"/>
    <w:rsid w:val="008D6FA7"/>
    <w:rsid w:val="008D79D1"/>
    <w:rsid w:val="008E0E98"/>
    <w:rsid w:val="008E2254"/>
    <w:rsid w:val="008E533D"/>
    <w:rsid w:val="008E5E63"/>
    <w:rsid w:val="008E705C"/>
    <w:rsid w:val="008E79F9"/>
    <w:rsid w:val="008E7E9E"/>
    <w:rsid w:val="008F0170"/>
    <w:rsid w:val="008F4353"/>
    <w:rsid w:val="008F4CD5"/>
    <w:rsid w:val="008F4E9D"/>
    <w:rsid w:val="008F5F6B"/>
    <w:rsid w:val="00901AC7"/>
    <w:rsid w:val="00903446"/>
    <w:rsid w:val="00903D64"/>
    <w:rsid w:val="00904ED7"/>
    <w:rsid w:val="009051BC"/>
    <w:rsid w:val="0090557F"/>
    <w:rsid w:val="0090754F"/>
    <w:rsid w:val="0091216C"/>
    <w:rsid w:val="009123A5"/>
    <w:rsid w:val="00912C8B"/>
    <w:rsid w:val="009140C2"/>
    <w:rsid w:val="00914A47"/>
    <w:rsid w:val="00915EDA"/>
    <w:rsid w:val="00916003"/>
    <w:rsid w:val="00917122"/>
    <w:rsid w:val="00917167"/>
    <w:rsid w:val="009204CD"/>
    <w:rsid w:val="009209AF"/>
    <w:rsid w:val="0092217D"/>
    <w:rsid w:val="0092221B"/>
    <w:rsid w:val="00922376"/>
    <w:rsid w:val="0093359D"/>
    <w:rsid w:val="009345C8"/>
    <w:rsid w:val="00934BE0"/>
    <w:rsid w:val="0093629C"/>
    <w:rsid w:val="00937EFD"/>
    <w:rsid w:val="00942F15"/>
    <w:rsid w:val="0094472E"/>
    <w:rsid w:val="00944BBF"/>
    <w:rsid w:val="00945711"/>
    <w:rsid w:val="00945951"/>
    <w:rsid w:val="00946D14"/>
    <w:rsid w:val="0095092C"/>
    <w:rsid w:val="0095190C"/>
    <w:rsid w:val="00955F60"/>
    <w:rsid w:val="00961442"/>
    <w:rsid w:val="00962934"/>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AB"/>
    <w:rsid w:val="00981A5E"/>
    <w:rsid w:val="00981F82"/>
    <w:rsid w:val="00984341"/>
    <w:rsid w:val="00986F62"/>
    <w:rsid w:val="00987E95"/>
    <w:rsid w:val="00993550"/>
    <w:rsid w:val="00993C91"/>
    <w:rsid w:val="00994CC1"/>
    <w:rsid w:val="00996FA9"/>
    <w:rsid w:val="009976A7"/>
    <w:rsid w:val="009A2C97"/>
    <w:rsid w:val="009A6757"/>
    <w:rsid w:val="009B1024"/>
    <w:rsid w:val="009B3751"/>
    <w:rsid w:val="009B3CE6"/>
    <w:rsid w:val="009B47F5"/>
    <w:rsid w:val="009B4EA5"/>
    <w:rsid w:val="009B5BC5"/>
    <w:rsid w:val="009B6176"/>
    <w:rsid w:val="009B6B27"/>
    <w:rsid w:val="009B6F8C"/>
    <w:rsid w:val="009B72DD"/>
    <w:rsid w:val="009C3D76"/>
    <w:rsid w:val="009C5E2E"/>
    <w:rsid w:val="009D0BEC"/>
    <w:rsid w:val="009D188C"/>
    <w:rsid w:val="009D44CE"/>
    <w:rsid w:val="009D55F2"/>
    <w:rsid w:val="009D7963"/>
    <w:rsid w:val="009E098F"/>
    <w:rsid w:val="009E1AB0"/>
    <w:rsid w:val="009E57EA"/>
    <w:rsid w:val="009E58D1"/>
    <w:rsid w:val="009E734B"/>
    <w:rsid w:val="009E74D6"/>
    <w:rsid w:val="009E7BB6"/>
    <w:rsid w:val="009F0E2E"/>
    <w:rsid w:val="009F257A"/>
    <w:rsid w:val="009F326E"/>
    <w:rsid w:val="009F3709"/>
    <w:rsid w:val="009F3B31"/>
    <w:rsid w:val="009F3DAB"/>
    <w:rsid w:val="009F56DE"/>
    <w:rsid w:val="009F5817"/>
    <w:rsid w:val="009F6072"/>
    <w:rsid w:val="009F7124"/>
    <w:rsid w:val="00A0027C"/>
    <w:rsid w:val="00A00FF6"/>
    <w:rsid w:val="00A01C38"/>
    <w:rsid w:val="00A01C63"/>
    <w:rsid w:val="00A02FC4"/>
    <w:rsid w:val="00A0404F"/>
    <w:rsid w:val="00A048A8"/>
    <w:rsid w:val="00A06F63"/>
    <w:rsid w:val="00A10578"/>
    <w:rsid w:val="00A146BC"/>
    <w:rsid w:val="00A15503"/>
    <w:rsid w:val="00A17431"/>
    <w:rsid w:val="00A209D1"/>
    <w:rsid w:val="00A24AA6"/>
    <w:rsid w:val="00A2549F"/>
    <w:rsid w:val="00A25BB0"/>
    <w:rsid w:val="00A26E13"/>
    <w:rsid w:val="00A30C29"/>
    <w:rsid w:val="00A30E2A"/>
    <w:rsid w:val="00A31662"/>
    <w:rsid w:val="00A324A3"/>
    <w:rsid w:val="00A32E4B"/>
    <w:rsid w:val="00A33CF6"/>
    <w:rsid w:val="00A351AD"/>
    <w:rsid w:val="00A361BA"/>
    <w:rsid w:val="00A37389"/>
    <w:rsid w:val="00A37CAB"/>
    <w:rsid w:val="00A42810"/>
    <w:rsid w:val="00A442BB"/>
    <w:rsid w:val="00A45597"/>
    <w:rsid w:val="00A46FED"/>
    <w:rsid w:val="00A52401"/>
    <w:rsid w:val="00A52557"/>
    <w:rsid w:val="00A525F0"/>
    <w:rsid w:val="00A528E8"/>
    <w:rsid w:val="00A537CC"/>
    <w:rsid w:val="00A539B7"/>
    <w:rsid w:val="00A5416B"/>
    <w:rsid w:val="00A54269"/>
    <w:rsid w:val="00A549F9"/>
    <w:rsid w:val="00A62487"/>
    <w:rsid w:val="00A62FE2"/>
    <w:rsid w:val="00A64018"/>
    <w:rsid w:val="00A72A69"/>
    <w:rsid w:val="00A7317F"/>
    <w:rsid w:val="00A736D2"/>
    <w:rsid w:val="00A76584"/>
    <w:rsid w:val="00A77A0C"/>
    <w:rsid w:val="00A81D48"/>
    <w:rsid w:val="00A82FF2"/>
    <w:rsid w:val="00A84227"/>
    <w:rsid w:val="00A842EB"/>
    <w:rsid w:val="00A853FC"/>
    <w:rsid w:val="00A90353"/>
    <w:rsid w:val="00A92584"/>
    <w:rsid w:val="00A9308B"/>
    <w:rsid w:val="00A94BC8"/>
    <w:rsid w:val="00A95C0C"/>
    <w:rsid w:val="00A974A7"/>
    <w:rsid w:val="00A97EA7"/>
    <w:rsid w:val="00AA0335"/>
    <w:rsid w:val="00AA36D8"/>
    <w:rsid w:val="00AA427C"/>
    <w:rsid w:val="00AA54F0"/>
    <w:rsid w:val="00AB00B7"/>
    <w:rsid w:val="00AB2108"/>
    <w:rsid w:val="00AB3668"/>
    <w:rsid w:val="00AB3BE0"/>
    <w:rsid w:val="00AB455B"/>
    <w:rsid w:val="00AB53A4"/>
    <w:rsid w:val="00AB5540"/>
    <w:rsid w:val="00AC114E"/>
    <w:rsid w:val="00AC15E3"/>
    <w:rsid w:val="00AC1965"/>
    <w:rsid w:val="00AC3267"/>
    <w:rsid w:val="00AC3643"/>
    <w:rsid w:val="00AC4CA7"/>
    <w:rsid w:val="00AC4DC0"/>
    <w:rsid w:val="00AC6019"/>
    <w:rsid w:val="00AC7AE7"/>
    <w:rsid w:val="00AD026A"/>
    <w:rsid w:val="00AD0934"/>
    <w:rsid w:val="00AD4C8F"/>
    <w:rsid w:val="00AD4FF2"/>
    <w:rsid w:val="00AD69F5"/>
    <w:rsid w:val="00AE10C6"/>
    <w:rsid w:val="00AE1FC1"/>
    <w:rsid w:val="00AE6976"/>
    <w:rsid w:val="00AF2CC9"/>
    <w:rsid w:val="00AF3600"/>
    <w:rsid w:val="00AF488E"/>
    <w:rsid w:val="00B01C02"/>
    <w:rsid w:val="00B02EC7"/>
    <w:rsid w:val="00B04BDC"/>
    <w:rsid w:val="00B05765"/>
    <w:rsid w:val="00B057EF"/>
    <w:rsid w:val="00B06FBC"/>
    <w:rsid w:val="00B1220B"/>
    <w:rsid w:val="00B12A81"/>
    <w:rsid w:val="00B13BEB"/>
    <w:rsid w:val="00B14255"/>
    <w:rsid w:val="00B158C4"/>
    <w:rsid w:val="00B1630E"/>
    <w:rsid w:val="00B220AA"/>
    <w:rsid w:val="00B2245E"/>
    <w:rsid w:val="00B26BEB"/>
    <w:rsid w:val="00B276F6"/>
    <w:rsid w:val="00B27E5F"/>
    <w:rsid w:val="00B333EC"/>
    <w:rsid w:val="00B342A6"/>
    <w:rsid w:val="00B343FC"/>
    <w:rsid w:val="00B35459"/>
    <w:rsid w:val="00B35BCA"/>
    <w:rsid w:val="00B35BFA"/>
    <w:rsid w:val="00B37AB4"/>
    <w:rsid w:val="00B4029A"/>
    <w:rsid w:val="00B40CDE"/>
    <w:rsid w:val="00B41618"/>
    <w:rsid w:val="00B41E19"/>
    <w:rsid w:val="00B436B4"/>
    <w:rsid w:val="00B44BAC"/>
    <w:rsid w:val="00B51BFB"/>
    <w:rsid w:val="00B53C1C"/>
    <w:rsid w:val="00B554E3"/>
    <w:rsid w:val="00B57344"/>
    <w:rsid w:val="00B61B7A"/>
    <w:rsid w:val="00B624A0"/>
    <w:rsid w:val="00B638F7"/>
    <w:rsid w:val="00B64521"/>
    <w:rsid w:val="00B67992"/>
    <w:rsid w:val="00B742FD"/>
    <w:rsid w:val="00B7469D"/>
    <w:rsid w:val="00B76457"/>
    <w:rsid w:val="00B7663C"/>
    <w:rsid w:val="00B76A2F"/>
    <w:rsid w:val="00B8101E"/>
    <w:rsid w:val="00B8140D"/>
    <w:rsid w:val="00B835B9"/>
    <w:rsid w:val="00B8373F"/>
    <w:rsid w:val="00B845AD"/>
    <w:rsid w:val="00B8584B"/>
    <w:rsid w:val="00B86330"/>
    <w:rsid w:val="00B90A30"/>
    <w:rsid w:val="00B96243"/>
    <w:rsid w:val="00B963BF"/>
    <w:rsid w:val="00B9673D"/>
    <w:rsid w:val="00BA1DEF"/>
    <w:rsid w:val="00BA2B89"/>
    <w:rsid w:val="00BA473F"/>
    <w:rsid w:val="00BA47B9"/>
    <w:rsid w:val="00BA636E"/>
    <w:rsid w:val="00BB04D3"/>
    <w:rsid w:val="00BB3A7E"/>
    <w:rsid w:val="00BB76CD"/>
    <w:rsid w:val="00BC01CD"/>
    <w:rsid w:val="00BC05C7"/>
    <w:rsid w:val="00BC1443"/>
    <w:rsid w:val="00BC2D06"/>
    <w:rsid w:val="00BC2EEB"/>
    <w:rsid w:val="00BC3081"/>
    <w:rsid w:val="00BC41B5"/>
    <w:rsid w:val="00BC48F3"/>
    <w:rsid w:val="00BC5A99"/>
    <w:rsid w:val="00BC6AFD"/>
    <w:rsid w:val="00BC774F"/>
    <w:rsid w:val="00BC7A37"/>
    <w:rsid w:val="00BC7B68"/>
    <w:rsid w:val="00BD0F88"/>
    <w:rsid w:val="00BD1553"/>
    <w:rsid w:val="00BD27A0"/>
    <w:rsid w:val="00BD3442"/>
    <w:rsid w:val="00BD624B"/>
    <w:rsid w:val="00BD6B5B"/>
    <w:rsid w:val="00BD7100"/>
    <w:rsid w:val="00BD7233"/>
    <w:rsid w:val="00BE0114"/>
    <w:rsid w:val="00BE1DF7"/>
    <w:rsid w:val="00BE1E68"/>
    <w:rsid w:val="00BE2220"/>
    <w:rsid w:val="00BE507F"/>
    <w:rsid w:val="00BE68C2"/>
    <w:rsid w:val="00BE6976"/>
    <w:rsid w:val="00BE6A8D"/>
    <w:rsid w:val="00BF435C"/>
    <w:rsid w:val="00C0045D"/>
    <w:rsid w:val="00C00CF0"/>
    <w:rsid w:val="00C032ED"/>
    <w:rsid w:val="00C04CE8"/>
    <w:rsid w:val="00C060BA"/>
    <w:rsid w:val="00C10FF0"/>
    <w:rsid w:val="00C11B41"/>
    <w:rsid w:val="00C12DF5"/>
    <w:rsid w:val="00C139D2"/>
    <w:rsid w:val="00C1458E"/>
    <w:rsid w:val="00C175F0"/>
    <w:rsid w:val="00C20C5C"/>
    <w:rsid w:val="00C230D8"/>
    <w:rsid w:val="00C275AB"/>
    <w:rsid w:val="00C27DA6"/>
    <w:rsid w:val="00C31385"/>
    <w:rsid w:val="00C3183D"/>
    <w:rsid w:val="00C31B1A"/>
    <w:rsid w:val="00C3421E"/>
    <w:rsid w:val="00C34CA2"/>
    <w:rsid w:val="00C35F3A"/>
    <w:rsid w:val="00C36132"/>
    <w:rsid w:val="00C37773"/>
    <w:rsid w:val="00C41340"/>
    <w:rsid w:val="00C42B0D"/>
    <w:rsid w:val="00C46C80"/>
    <w:rsid w:val="00C46D4E"/>
    <w:rsid w:val="00C46DC4"/>
    <w:rsid w:val="00C502B6"/>
    <w:rsid w:val="00C50A3E"/>
    <w:rsid w:val="00C51C12"/>
    <w:rsid w:val="00C51FB6"/>
    <w:rsid w:val="00C528BB"/>
    <w:rsid w:val="00C52FA6"/>
    <w:rsid w:val="00C5356A"/>
    <w:rsid w:val="00C555A8"/>
    <w:rsid w:val="00C60AF3"/>
    <w:rsid w:val="00C62A63"/>
    <w:rsid w:val="00C6449C"/>
    <w:rsid w:val="00C66CDA"/>
    <w:rsid w:val="00C66F96"/>
    <w:rsid w:val="00C67A45"/>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5D15"/>
    <w:rsid w:val="00C95E75"/>
    <w:rsid w:val="00C97DF4"/>
    <w:rsid w:val="00CA0734"/>
    <w:rsid w:val="00CA09B2"/>
    <w:rsid w:val="00CA2A8C"/>
    <w:rsid w:val="00CA2F80"/>
    <w:rsid w:val="00CA373B"/>
    <w:rsid w:val="00CA6086"/>
    <w:rsid w:val="00CA6DE0"/>
    <w:rsid w:val="00CB1F9C"/>
    <w:rsid w:val="00CB2DA5"/>
    <w:rsid w:val="00CB3FE9"/>
    <w:rsid w:val="00CB5307"/>
    <w:rsid w:val="00CB5CE6"/>
    <w:rsid w:val="00CB6108"/>
    <w:rsid w:val="00CB65C5"/>
    <w:rsid w:val="00CB6B01"/>
    <w:rsid w:val="00CB713B"/>
    <w:rsid w:val="00CB7D46"/>
    <w:rsid w:val="00CC044D"/>
    <w:rsid w:val="00CC5260"/>
    <w:rsid w:val="00CC6DF7"/>
    <w:rsid w:val="00CC78C6"/>
    <w:rsid w:val="00CD1714"/>
    <w:rsid w:val="00CD2080"/>
    <w:rsid w:val="00CD5C7D"/>
    <w:rsid w:val="00CD7251"/>
    <w:rsid w:val="00CD792C"/>
    <w:rsid w:val="00CE0427"/>
    <w:rsid w:val="00CE098F"/>
    <w:rsid w:val="00CE1BE9"/>
    <w:rsid w:val="00CE3706"/>
    <w:rsid w:val="00CF2F18"/>
    <w:rsid w:val="00CF39EC"/>
    <w:rsid w:val="00CF44F5"/>
    <w:rsid w:val="00D009CA"/>
    <w:rsid w:val="00D03C67"/>
    <w:rsid w:val="00D04564"/>
    <w:rsid w:val="00D06038"/>
    <w:rsid w:val="00D122F5"/>
    <w:rsid w:val="00D125EE"/>
    <w:rsid w:val="00D12956"/>
    <w:rsid w:val="00D148B7"/>
    <w:rsid w:val="00D14A8D"/>
    <w:rsid w:val="00D14B5C"/>
    <w:rsid w:val="00D17801"/>
    <w:rsid w:val="00D17ED0"/>
    <w:rsid w:val="00D21EF9"/>
    <w:rsid w:val="00D22231"/>
    <w:rsid w:val="00D23A87"/>
    <w:rsid w:val="00D2576F"/>
    <w:rsid w:val="00D303F6"/>
    <w:rsid w:val="00D318D9"/>
    <w:rsid w:val="00D31EC0"/>
    <w:rsid w:val="00D321F1"/>
    <w:rsid w:val="00D325FA"/>
    <w:rsid w:val="00D33064"/>
    <w:rsid w:val="00D413D3"/>
    <w:rsid w:val="00D41442"/>
    <w:rsid w:val="00D415D4"/>
    <w:rsid w:val="00D436AC"/>
    <w:rsid w:val="00D443CE"/>
    <w:rsid w:val="00D44F30"/>
    <w:rsid w:val="00D45946"/>
    <w:rsid w:val="00D510AA"/>
    <w:rsid w:val="00D531E1"/>
    <w:rsid w:val="00D5629E"/>
    <w:rsid w:val="00D56C6D"/>
    <w:rsid w:val="00D5753A"/>
    <w:rsid w:val="00D60165"/>
    <w:rsid w:val="00D61894"/>
    <w:rsid w:val="00D62F0F"/>
    <w:rsid w:val="00D648D3"/>
    <w:rsid w:val="00D653E8"/>
    <w:rsid w:val="00D678E4"/>
    <w:rsid w:val="00D70EE7"/>
    <w:rsid w:val="00D72960"/>
    <w:rsid w:val="00D733D8"/>
    <w:rsid w:val="00D73C45"/>
    <w:rsid w:val="00D74638"/>
    <w:rsid w:val="00D75C54"/>
    <w:rsid w:val="00D75FB9"/>
    <w:rsid w:val="00D8096D"/>
    <w:rsid w:val="00D8374A"/>
    <w:rsid w:val="00D86652"/>
    <w:rsid w:val="00D86B4C"/>
    <w:rsid w:val="00D87E81"/>
    <w:rsid w:val="00D91441"/>
    <w:rsid w:val="00D92618"/>
    <w:rsid w:val="00D9497E"/>
    <w:rsid w:val="00D94E5E"/>
    <w:rsid w:val="00D95791"/>
    <w:rsid w:val="00DA0EEC"/>
    <w:rsid w:val="00DA4129"/>
    <w:rsid w:val="00DA4E73"/>
    <w:rsid w:val="00DA6303"/>
    <w:rsid w:val="00DA66C6"/>
    <w:rsid w:val="00DB01AB"/>
    <w:rsid w:val="00DB203D"/>
    <w:rsid w:val="00DB3C29"/>
    <w:rsid w:val="00DB40AD"/>
    <w:rsid w:val="00DB4186"/>
    <w:rsid w:val="00DB7797"/>
    <w:rsid w:val="00DC1EB9"/>
    <w:rsid w:val="00DC27D2"/>
    <w:rsid w:val="00DC3B85"/>
    <w:rsid w:val="00DC505E"/>
    <w:rsid w:val="00DC5A7B"/>
    <w:rsid w:val="00DC6DEB"/>
    <w:rsid w:val="00DD4698"/>
    <w:rsid w:val="00DD5436"/>
    <w:rsid w:val="00DD7696"/>
    <w:rsid w:val="00DE19EE"/>
    <w:rsid w:val="00DE20CB"/>
    <w:rsid w:val="00DE3242"/>
    <w:rsid w:val="00DE32AD"/>
    <w:rsid w:val="00DE4062"/>
    <w:rsid w:val="00DE4745"/>
    <w:rsid w:val="00DE7D76"/>
    <w:rsid w:val="00DF0931"/>
    <w:rsid w:val="00DF095C"/>
    <w:rsid w:val="00DF1199"/>
    <w:rsid w:val="00DF1AB6"/>
    <w:rsid w:val="00DF2352"/>
    <w:rsid w:val="00DF48FF"/>
    <w:rsid w:val="00DF4C37"/>
    <w:rsid w:val="00DF57FE"/>
    <w:rsid w:val="00E0193E"/>
    <w:rsid w:val="00E02960"/>
    <w:rsid w:val="00E03BC0"/>
    <w:rsid w:val="00E03FFD"/>
    <w:rsid w:val="00E052EF"/>
    <w:rsid w:val="00E1022F"/>
    <w:rsid w:val="00E143CA"/>
    <w:rsid w:val="00E1501F"/>
    <w:rsid w:val="00E1664D"/>
    <w:rsid w:val="00E173B8"/>
    <w:rsid w:val="00E20131"/>
    <w:rsid w:val="00E22B19"/>
    <w:rsid w:val="00E23B98"/>
    <w:rsid w:val="00E24185"/>
    <w:rsid w:val="00E25685"/>
    <w:rsid w:val="00E26145"/>
    <w:rsid w:val="00E26AE0"/>
    <w:rsid w:val="00E27FBB"/>
    <w:rsid w:val="00E302B9"/>
    <w:rsid w:val="00E332B0"/>
    <w:rsid w:val="00E3344A"/>
    <w:rsid w:val="00E34E92"/>
    <w:rsid w:val="00E3619F"/>
    <w:rsid w:val="00E36C5B"/>
    <w:rsid w:val="00E4306C"/>
    <w:rsid w:val="00E45D3F"/>
    <w:rsid w:val="00E46333"/>
    <w:rsid w:val="00E5047A"/>
    <w:rsid w:val="00E50C42"/>
    <w:rsid w:val="00E515BB"/>
    <w:rsid w:val="00E5198F"/>
    <w:rsid w:val="00E55071"/>
    <w:rsid w:val="00E56A74"/>
    <w:rsid w:val="00E57962"/>
    <w:rsid w:val="00E607B8"/>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8023E"/>
    <w:rsid w:val="00E80CA5"/>
    <w:rsid w:val="00E8104F"/>
    <w:rsid w:val="00E85728"/>
    <w:rsid w:val="00E85C24"/>
    <w:rsid w:val="00E8772C"/>
    <w:rsid w:val="00E94B56"/>
    <w:rsid w:val="00E9546F"/>
    <w:rsid w:val="00E97E6C"/>
    <w:rsid w:val="00EA0503"/>
    <w:rsid w:val="00EA263E"/>
    <w:rsid w:val="00EA543A"/>
    <w:rsid w:val="00EB0A4A"/>
    <w:rsid w:val="00EB0CF3"/>
    <w:rsid w:val="00EB689E"/>
    <w:rsid w:val="00EB7CA0"/>
    <w:rsid w:val="00EB7DDB"/>
    <w:rsid w:val="00EC075E"/>
    <w:rsid w:val="00EC0775"/>
    <w:rsid w:val="00EC0F30"/>
    <w:rsid w:val="00EC29B5"/>
    <w:rsid w:val="00EC2CF3"/>
    <w:rsid w:val="00EC3A8F"/>
    <w:rsid w:val="00EC3E56"/>
    <w:rsid w:val="00EC4DA8"/>
    <w:rsid w:val="00EC57BB"/>
    <w:rsid w:val="00EC587E"/>
    <w:rsid w:val="00EC6BF3"/>
    <w:rsid w:val="00EC775A"/>
    <w:rsid w:val="00ED3339"/>
    <w:rsid w:val="00ED4709"/>
    <w:rsid w:val="00ED501D"/>
    <w:rsid w:val="00ED507A"/>
    <w:rsid w:val="00ED50AC"/>
    <w:rsid w:val="00ED68F9"/>
    <w:rsid w:val="00ED6992"/>
    <w:rsid w:val="00ED6E68"/>
    <w:rsid w:val="00ED75BB"/>
    <w:rsid w:val="00EE065C"/>
    <w:rsid w:val="00EF16E7"/>
    <w:rsid w:val="00EF1D57"/>
    <w:rsid w:val="00EF2B52"/>
    <w:rsid w:val="00EF49DF"/>
    <w:rsid w:val="00EF5760"/>
    <w:rsid w:val="00EF77A2"/>
    <w:rsid w:val="00F00E99"/>
    <w:rsid w:val="00F02238"/>
    <w:rsid w:val="00F029F9"/>
    <w:rsid w:val="00F042B4"/>
    <w:rsid w:val="00F07C06"/>
    <w:rsid w:val="00F10E28"/>
    <w:rsid w:val="00F15231"/>
    <w:rsid w:val="00F158D4"/>
    <w:rsid w:val="00F20A3C"/>
    <w:rsid w:val="00F219D4"/>
    <w:rsid w:val="00F21A0A"/>
    <w:rsid w:val="00F21D9C"/>
    <w:rsid w:val="00F22537"/>
    <w:rsid w:val="00F22ECA"/>
    <w:rsid w:val="00F2402C"/>
    <w:rsid w:val="00F2472C"/>
    <w:rsid w:val="00F256D2"/>
    <w:rsid w:val="00F26194"/>
    <w:rsid w:val="00F313D9"/>
    <w:rsid w:val="00F32CD8"/>
    <w:rsid w:val="00F343F3"/>
    <w:rsid w:val="00F37410"/>
    <w:rsid w:val="00F377DE"/>
    <w:rsid w:val="00F40945"/>
    <w:rsid w:val="00F43467"/>
    <w:rsid w:val="00F4553F"/>
    <w:rsid w:val="00F45555"/>
    <w:rsid w:val="00F47789"/>
    <w:rsid w:val="00F47AD9"/>
    <w:rsid w:val="00F47E06"/>
    <w:rsid w:val="00F47F8A"/>
    <w:rsid w:val="00F5345B"/>
    <w:rsid w:val="00F54963"/>
    <w:rsid w:val="00F573DA"/>
    <w:rsid w:val="00F57D47"/>
    <w:rsid w:val="00F57D8E"/>
    <w:rsid w:val="00F6069F"/>
    <w:rsid w:val="00F61BB8"/>
    <w:rsid w:val="00F62EC6"/>
    <w:rsid w:val="00F6490D"/>
    <w:rsid w:val="00F6578F"/>
    <w:rsid w:val="00F657A8"/>
    <w:rsid w:val="00F67DFB"/>
    <w:rsid w:val="00F7074B"/>
    <w:rsid w:val="00F71076"/>
    <w:rsid w:val="00F712A1"/>
    <w:rsid w:val="00F71B39"/>
    <w:rsid w:val="00F77FD0"/>
    <w:rsid w:val="00F83458"/>
    <w:rsid w:val="00F84BF6"/>
    <w:rsid w:val="00F868F3"/>
    <w:rsid w:val="00F93DA1"/>
    <w:rsid w:val="00F945B7"/>
    <w:rsid w:val="00F96B0B"/>
    <w:rsid w:val="00FA048F"/>
    <w:rsid w:val="00FA248A"/>
    <w:rsid w:val="00FA257B"/>
    <w:rsid w:val="00FA2D37"/>
    <w:rsid w:val="00FA3C3B"/>
    <w:rsid w:val="00FA49FB"/>
    <w:rsid w:val="00FA69EC"/>
    <w:rsid w:val="00FA6AE4"/>
    <w:rsid w:val="00FA6DAB"/>
    <w:rsid w:val="00FA773C"/>
    <w:rsid w:val="00FB256A"/>
    <w:rsid w:val="00FB2786"/>
    <w:rsid w:val="00FB3B75"/>
    <w:rsid w:val="00FB4D3B"/>
    <w:rsid w:val="00FB56B2"/>
    <w:rsid w:val="00FB5E46"/>
    <w:rsid w:val="00FB63FF"/>
    <w:rsid w:val="00FB67AC"/>
    <w:rsid w:val="00FB6EB9"/>
    <w:rsid w:val="00FB7991"/>
    <w:rsid w:val="00FC05FB"/>
    <w:rsid w:val="00FC1D88"/>
    <w:rsid w:val="00FC249E"/>
    <w:rsid w:val="00FC7306"/>
    <w:rsid w:val="00FC7A0C"/>
    <w:rsid w:val="00FC7F56"/>
    <w:rsid w:val="00FD1777"/>
    <w:rsid w:val="00FD4F75"/>
    <w:rsid w:val="00FE1265"/>
    <w:rsid w:val="00FE2AAA"/>
    <w:rsid w:val="00FE2E8C"/>
    <w:rsid w:val="00FE7F74"/>
    <w:rsid w:val="00FF025B"/>
    <w:rsid w:val="00FF0B6E"/>
    <w:rsid w:val="00FF4411"/>
    <w:rsid w:val="00FF5B20"/>
    <w:rsid w:val="00FF63BE"/>
    <w:rsid w:val="00FF75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6452511">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232371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0670149">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572283">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1012463">
      <w:bodyDiv w:val="1"/>
      <w:marLeft w:val="0"/>
      <w:marRight w:val="0"/>
      <w:marTop w:val="0"/>
      <w:marBottom w:val="0"/>
      <w:divBdr>
        <w:top w:val="none" w:sz="0" w:space="0" w:color="auto"/>
        <w:left w:val="none" w:sz="0" w:space="0" w:color="auto"/>
        <w:bottom w:val="none" w:sz="0" w:space="0" w:color="auto"/>
        <w:right w:val="none" w:sz="0" w:space="0" w:color="auto"/>
      </w:divBdr>
    </w:div>
    <w:div w:id="1718435818">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12038369">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47245423">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56158894">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7530199">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ana@qca.qualcom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CB2F-6C72-4703-8A0B-56B8F3DC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2015-06-17T17:05:00Z</dcterms:created>
  <dcterms:modified xsi:type="dcterms:W3CDTF">2015-06-17T17:06:00Z</dcterms:modified>
</cp:coreProperties>
</file>