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11" w:rsidRDefault="00461711" w:rsidP="0046171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461711" w:rsidTr="00856E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61711" w:rsidRPr="006326EA" w:rsidRDefault="00C57E0F" w:rsidP="00C57E0F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LB 204 </w:t>
            </w:r>
            <w:r w:rsidR="000B718D">
              <w:rPr>
                <w:rFonts w:eastAsiaTheme="minorEastAsia" w:hint="eastAsia"/>
                <w:lang w:eastAsia="zh-CN"/>
              </w:rPr>
              <w:t>Comment</w:t>
            </w:r>
            <w:r w:rsidR="006C015A">
              <w:rPr>
                <w:rFonts w:eastAsiaTheme="minorEastAsia" w:hint="eastAsia"/>
                <w:lang w:eastAsia="zh-CN"/>
              </w:rPr>
              <w:t xml:space="preserve"> resolution</w:t>
            </w:r>
            <w:r w:rsidR="000B718D">
              <w:rPr>
                <w:rFonts w:eastAsiaTheme="minorEastAsia"/>
                <w:lang w:eastAsia="zh-CN"/>
              </w:rPr>
              <w:t>s</w:t>
            </w:r>
            <w:r w:rsidR="006C015A">
              <w:rPr>
                <w:rFonts w:eastAsiaTheme="minorEastAsia" w:hint="eastAsia"/>
                <w:lang w:eastAsia="zh-CN"/>
              </w:rPr>
              <w:t xml:space="preserve"> </w:t>
            </w:r>
            <w:r w:rsidR="006326EA">
              <w:rPr>
                <w:rFonts w:eastAsiaTheme="minorEastAsia" w:hint="eastAsia"/>
                <w:lang w:eastAsia="zh-CN"/>
              </w:rPr>
              <w:t xml:space="preserve">related to </w:t>
            </w:r>
            <w:r w:rsidR="000B526B">
              <w:rPr>
                <w:rFonts w:eastAsiaTheme="minorEastAsia"/>
                <w:lang w:eastAsia="zh-CN"/>
              </w:rPr>
              <w:t xml:space="preserve">Common ANQP Group </w:t>
            </w:r>
          </w:p>
        </w:tc>
      </w:tr>
      <w:tr w:rsidR="00461711" w:rsidTr="00856E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61711" w:rsidRPr="006326EA" w:rsidRDefault="00461711" w:rsidP="00550103">
            <w:pPr>
              <w:pStyle w:val="T2"/>
              <w:ind w:left="0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4</w:t>
            </w:r>
            <w:r>
              <w:rPr>
                <w:b w:val="0"/>
                <w:sz w:val="20"/>
              </w:rPr>
              <w:t>-</w:t>
            </w:r>
            <w:r w:rsidR="000B5B35">
              <w:rPr>
                <w:rFonts w:eastAsiaTheme="minorEastAsia"/>
                <w:b w:val="0"/>
                <w:sz w:val="20"/>
                <w:lang w:eastAsia="zh-CN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B5B35">
              <w:rPr>
                <w:rFonts w:eastAsiaTheme="minorEastAsia"/>
                <w:b w:val="0"/>
                <w:sz w:val="20"/>
                <w:lang w:eastAsia="zh-CN"/>
              </w:rPr>
              <w:t>3</w:t>
            </w:r>
          </w:p>
        </w:tc>
      </w:tr>
      <w:tr w:rsidR="00461711" w:rsidTr="00856E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61711" w:rsidRDefault="00461711" w:rsidP="0085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61711" w:rsidTr="00856E62">
        <w:trPr>
          <w:jc w:val="center"/>
        </w:trPr>
        <w:tc>
          <w:tcPr>
            <w:tcW w:w="1336" w:type="dxa"/>
            <w:vAlign w:val="center"/>
          </w:tcPr>
          <w:p w:rsidR="00461711" w:rsidRDefault="00461711" w:rsidP="0085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461711" w:rsidRDefault="00461711" w:rsidP="0085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461711" w:rsidRDefault="00461711" w:rsidP="0085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461711" w:rsidRDefault="00461711" w:rsidP="0085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461711" w:rsidRDefault="00461711" w:rsidP="00856E62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0B526B" w:rsidRPr="00FA17E3" w:rsidTr="00856E62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0B526B" w:rsidRPr="006B4A79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B526B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 w:rsidRPr="007853F9"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0B526B" w:rsidRPr="00FA17E3" w:rsidTr="00856E62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0B526B" w:rsidRPr="00D41C8A" w:rsidRDefault="007853F9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7853F9">
              <w:rPr>
                <w:b w:val="0"/>
                <w:sz w:val="20"/>
                <w:lang w:val="fi-FI" w:eastAsia="zh-CN"/>
              </w:rPr>
              <w:t>Zhangxingxin (Eric)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B526B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0B526B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B526B" w:rsidRPr="00D41C8A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0B526B" w:rsidRPr="00FA17E3" w:rsidTr="00856E62">
        <w:trPr>
          <w:jc w:val="center"/>
        </w:trPr>
        <w:tc>
          <w:tcPr>
            <w:tcW w:w="1336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0B526B" w:rsidRPr="00FA17E3" w:rsidRDefault="000B526B" w:rsidP="000B5B3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0B526B" w:rsidRPr="00FA17E3" w:rsidTr="00856E62">
        <w:trPr>
          <w:jc w:val="center"/>
        </w:trPr>
        <w:tc>
          <w:tcPr>
            <w:tcW w:w="1336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0B526B" w:rsidRPr="00FA17E3" w:rsidRDefault="000B526B" w:rsidP="00856E62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461711" w:rsidRPr="00FA17E3" w:rsidRDefault="007F0132" w:rsidP="00461711">
      <w:pPr>
        <w:pStyle w:val="T1"/>
        <w:spacing w:after="120"/>
        <w:rPr>
          <w:sz w:val="22"/>
          <w:lang w:val="fi-FI"/>
        </w:rPr>
      </w:pPr>
      <w:r w:rsidRPr="007F013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pt;margin-top:14.4pt;width:523.75pt;height:81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 style="mso-next-textbox:#Text Box 3">
              <w:txbxContent>
                <w:p w:rsidR="007A487D" w:rsidRDefault="007A487D" w:rsidP="004617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A487D" w:rsidRPr="00C107A4" w:rsidRDefault="007A487D" w:rsidP="00C107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US"/>
                    </w:rPr>
                  </w:pPr>
                  <w:r w:rsidRPr="00405596">
                    <w:rPr>
                      <w:sz w:val="24"/>
                      <w:szCs w:val="24"/>
                    </w:rPr>
                    <w:t>This contribution prop</w:t>
                  </w:r>
                  <w:r>
                    <w:rPr>
                      <w:sz w:val="24"/>
                      <w:szCs w:val="24"/>
                    </w:rPr>
                    <w:t xml:space="preserve">oses resolutions to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US"/>
                    </w:rPr>
                    <w:t>the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5A4424">
                    <w:rPr>
                      <w:sz w:val="24"/>
                      <w:szCs w:val="24"/>
                    </w:rPr>
                    <w:t>CIDs:</w:t>
                  </w:r>
                  <w:r w:rsidR="00023D91">
                    <w:rPr>
                      <w:sz w:val="24"/>
                      <w:szCs w:val="24"/>
                    </w:rPr>
                    <w:t xml:space="preserve"> 6010, </w:t>
                  </w:r>
                  <w:r w:rsidR="008218F6">
                    <w:rPr>
                      <w:sz w:val="24"/>
                      <w:szCs w:val="24"/>
                    </w:rPr>
                    <w:t>6215</w:t>
                  </w:r>
                  <w:r w:rsidR="005A4424">
                    <w:rPr>
                      <w:sz w:val="24"/>
                      <w:szCs w:val="24"/>
                    </w:rPr>
                    <w:t>, 6222</w:t>
                  </w:r>
                  <w:r w:rsidR="00023D9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23D91">
                    <w:rPr>
                      <w:sz w:val="24"/>
                      <w:szCs w:val="24"/>
                    </w:rPr>
                    <w:t>6969</w:t>
                  </w:r>
                  <w:r w:rsidR="005A4424">
                    <w:rPr>
                      <w:sz w:val="24"/>
                      <w:szCs w:val="24"/>
                    </w:rPr>
                    <w:t xml:space="preserve">, </w:t>
                  </w:r>
                  <w:proofErr w:type="gramStart"/>
                  <w:r w:rsidR="005A4424">
                    <w:rPr>
                      <w:sz w:val="24"/>
                      <w:szCs w:val="24"/>
                    </w:rPr>
                    <w:t>6914</w:t>
                  </w:r>
                  <w:proofErr w:type="gramEnd"/>
                </w:p>
                <w:p w:rsidR="007A487D" w:rsidRPr="00C31464" w:rsidRDefault="007A487D" w:rsidP="00B25D6E">
                  <w:pPr>
                    <w:ind w:firstLine="720"/>
                  </w:pPr>
                  <w:r>
                    <w:rPr>
                      <w:rFonts w:hint="eastAsia"/>
                    </w:rPr>
                    <w:t>.</w:t>
                  </w:r>
                </w:p>
                <w:tbl>
                  <w:tblPr>
                    <w:tblW w:w="9384" w:type="dxa"/>
                    <w:tblInd w:w="96" w:type="dxa"/>
                    <w:tblLook w:val="04A0"/>
                  </w:tblPr>
                  <w:tblGrid>
                    <w:gridCol w:w="656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7A487D" w:rsidRPr="00B25D6E" w:rsidTr="00B25D6E">
                    <w:trPr>
                      <w:trHeight w:val="300"/>
                    </w:trPr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Default="007A487D" w:rsidP="00B25D6E">
                        <w:pPr>
                          <w:spacing w:after="0" w:line="240" w:lineRule="auto"/>
                          <w:ind w:right="440"/>
                          <w:rPr>
                            <w:rFonts w:ascii="Calibri" w:hAnsi="Calibri" w:cs="Times New Roman"/>
                            <w:color w:val="000000"/>
                          </w:rPr>
                        </w:pPr>
                      </w:p>
                      <w:p w:rsidR="007A487D" w:rsidRPr="00B25D6E" w:rsidRDefault="007A487D" w:rsidP="00B25D6E">
                        <w:pPr>
                          <w:spacing w:after="0" w:line="240" w:lineRule="auto"/>
                          <w:ind w:right="440"/>
                          <w:rPr>
                            <w:rFonts w:ascii="Calibri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A487D" w:rsidRPr="00B25D6E" w:rsidRDefault="007A487D" w:rsidP="00B25D6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7A487D" w:rsidRPr="00C31464" w:rsidRDefault="007A487D" w:rsidP="00461711"/>
              </w:txbxContent>
            </v:textbox>
          </v:shape>
        </w:pict>
      </w:r>
    </w:p>
    <w:p w:rsidR="000B526B" w:rsidRDefault="000B526B" w:rsidP="000B526B">
      <w:pPr>
        <w:rPr>
          <w:lang w:val="fi-FI"/>
        </w:rPr>
      </w:pPr>
    </w:p>
    <w:p w:rsidR="000B526B" w:rsidRDefault="000B526B" w:rsidP="000B526B">
      <w:pPr>
        <w:rPr>
          <w:lang w:val="fi-FI"/>
        </w:rPr>
      </w:pPr>
    </w:p>
    <w:p w:rsidR="00023D91" w:rsidRDefault="00023D91" w:rsidP="000B526B">
      <w:pPr>
        <w:rPr>
          <w:lang w:val="fi-FI"/>
        </w:rPr>
      </w:pPr>
    </w:p>
    <w:p w:rsidR="00023D91" w:rsidRDefault="00023D91" w:rsidP="000B526B">
      <w:pPr>
        <w:rPr>
          <w:lang w:val="fi-FI"/>
        </w:rPr>
      </w:pPr>
    </w:p>
    <w:tbl>
      <w:tblPr>
        <w:tblW w:w="106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1051"/>
        <w:gridCol w:w="899"/>
        <w:gridCol w:w="801"/>
        <w:gridCol w:w="10"/>
        <w:gridCol w:w="2846"/>
        <w:gridCol w:w="2464"/>
        <w:gridCol w:w="1890"/>
      </w:tblGrid>
      <w:tr w:rsidR="00AF6BA2" w:rsidRPr="00AF6BA2" w:rsidTr="003D3ECD">
        <w:trPr>
          <w:trHeight w:val="765"/>
        </w:trPr>
        <w:tc>
          <w:tcPr>
            <w:tcW w:w="671" w:type="dxa"/>
            <w:shd w:val="clear" w:color="auto" w:fill="auto"/>
            <w:hideMark/>
          </w:tcPr>
          <w:p w:rsidR="00AF6BA2" w:rsidRPr="00AF6BA2" w:rsidRDefault="00AF6BA2" w:rsidP="00A078AD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F6BA2">
              <w:rPr>
                <w:rFonts w:ascii="Arial" w:hAnsi="Arial" w:cs="Arial"/>
                <w:b/>
                <w:bCs/>
                <w:sz w:val="16"/>
                <w:szCs w:val="20"/>
              </w:rPr>
              <w:t>CID</w:t>
            </w:r>
          </w:p>
        </w:tc>
        <w:tc>
          <w:tcPr>
            <w:tcW w:w="1051" w:type="dxa"/>
            <w:shd w:val="clear" w:color="auto" w:fill="auto"/>
            <w:hideMark/>
          </w:tcPr>
          <w:p w:rsidR="00AF6BA2" w:rsidRPr="00AF6BA2" w:rsidRDefault="00AF6BA2" w:rsidP="00A078AD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F6BA2">
              <w:rPr>
                <w:rFonts w:ascii="Arial" w:hAnsi="Arial" w:cs="Arial"/>
                <w:b/>
                <w:bCs/>
                <w:sz w:val="16"/>
                <w:szCs w:val="20"/>
              </w:rPr>
              <w:t>Clause Number(C)</w:t>
            </w:r>
          </w:p>
        </w:tc>
        <w:tc>
          <w:tcPr>
            <w:tcW w:w="899" w:type="dxa"/>
            <w:shd w:val="clear" w:color="auto" w:fill="auto"/>
            <w:hideMark/>
          </w:tcPr>
          <w:p w:rsidR="00AF6BA2" w:rsidRPr="00AF6BA2" w:rsidRDefault="00AF6BA2" w:rsidP="00A078AD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F6BA2">
              <w:rPr>
                <w:rFonts w:ascii="Arial" w:hAnsi="Arial" w:cs="Arial"/>
                <w:b/>
                <w:bCs/>
                <w:sz w:val="16"/>
                <w:szCs w:val="20"/>
              </w:rPr>
              <w:t>Page(C)</w:t>
            </w:r>
          </w:p>
        </w:tc>
        <w:tc>
          <w:tcPr>
            <w:tcW w:w="811" w:type="dxa"/>
            <w:gridSpan w:val="2"/>
            <w:shd w:val="clear" w:color="auto" w:fill="auto"/>
            <w:hideMark/>
          </w:tcPr>
          <w:p w:rsidR="00AF6BA2" w:rsidRPr="00AF6BA2" w:rsidRDefault="00AF6BA2" w:rsidP="00A078AD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F6BA2">
              <w:rPr>
                <w:rFonts w:ascii="Arial" w:hAnsi="Arial" w:cs="Arial"/>
                <w:b/>
                <w:bCs/>
                <w:sz w:val="16"/>
                <w:szCs w:val="20"/>
              </w:rPr>
              <w:t>Line(C)</w:t>
            </w:r>
          </w:p>
        </w:tc>
        <w:tc>
          <w:tcPr>
            <w:tcW w:w="2846" w:type="dxa"/>
            <w:shd w:val="clear" w:color="auto" w:fill="auto"/>
            <w:hideMark/>
          </w:tcPr>
          <w:p w:rsidR="00AF6BA2" w:rsidRPr="00AF6BA2" w:rsidRDefault="00AF6BA2" w:rsidP="00A078AD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F6BA2">
              <w:rPr>
                <w:rFonts w:ascii="Arial" w:hAnsi="Arial" w:cs="Arial"/>
                <w:b/>
                <w:bCs/>
                <w:sz w:val="16"/>
                <w:szCs w:val="20"/>
              </w:rPr>
              <w:t>Comment</w:t>
            </w:r>
          </w:p>
        </w:tc>
        <w:tc>
          <w:tcPr>
            <w:tcW w:w="2464" w:type="dxa"/>
            <w:shd w:val="clear" w:color="auto" w:fill="auto"/>
            <w:hideMark/>
          </w:tcPr>
          <w:p w:rsidR="00AF6BA2" w:rsidRPr="00AF6BA2" w:rsidRDefault="00AF6BA2" w:rsidP="00A078AD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F6BA2">
              <w:rPr>
                <w:rFonts w:ascii="Arial" w:hAnsi="Arial" w:cs="Arial"/>
                <w:b/>
                <w:bCs/>
                <w:sz w:val="16"/>
                <w:szCs w:val="20"/>
              </w:rPr>
              <w:t>Proposed Change</w:t>
            </w:r>
          </w:p>
        </w:tc>
        <w:tc>
          <w:tcPr>
            <w:tcW w:w="1890" w:type="dxa"/>
            <w:shd w:val="clear" w:color="auto" w:fill="auto"/>
            <w:hideMark/>
          </w:tcPr>
          <w:p w:rsidR="00AF6BA2" w:rsidRPr="00AF6BA2" w:rsidRDefault="00AF6BA2" w:rsidP="00A078AD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F6BA2">
              <w:rPr>
                <w:rFonts w:ascii="Arial" w:hAnsi="Arial" w:cs="Arial"/>
                <w:b/>
                <w:bCs/>
                <w:sz w:val="16"/>
                <w:szCs w:val="20"/>
              </w:rPr>
              <w:t>Resolution</w:t>
            </w:r>
          </w:p>
        </w:tc>
      </w:tr>
      <w:tr w:rsidR="00AF6BA2" w:rsidRPr="00023D91" w:rsidTr="003D3ECD">
        <w:trPr>
          <w:trHeight w:val="1785"/>
        </w:trPr>
        <w:tc>
          <w:tcPr>
            <w:tcW w:w="671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6010</w:t>
            </w:r>
          </w:p>
        </w:tc>
        <w:tc>
          <w:tcPr>
            <w:tcW w:w="1051" w:type="dxa"/>
            <w:shd w:val="clear" w:color="auto" w:fill="auto"/>
            <w:hideMark/>
          </w:tcPr>
          <w:p w:rsidR="00AF6BA2" w:rsidRDefault="00AF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8.4.2.172</w:t>
            </w:r>
          </w:p>
        </w:tc>
        <w:tc>
          <w:tcPr>
            <w:tcW w:w="899" w:type="dxa"/>
            <w:shd w:val="clear" w:color="auto" w:fill="auto"/>
            <w:hideMark/>
          </w:tcPr>
          <w:p w:rsidR="00AF6BA2" w:rsidRDefault="00AF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01" w:type="dxa"/>
            <w:shd w:val="clear" w:color="auto" w:fill="auto"/>
            <w:hideMark/>
          </w:tcPr>
          <w:p w:rsidR="00AF6BA2" w:rsidRDefault="00AF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856" w:type="dxa"/>
            <w:gridSpan w:val="2"/>
            <w:shd w:val="clear" w:color="auto" w:fill="auto"/>
            <w:hideMark/>
          </w:tcPr>
          <w:p w:rsidR="00AF6BA2" w:rsidRPr="00AF6BA2" w:rsidRDefault="00AF6BA2">
            <w:pPr>
              <w:rPr>
                <w:rFonts w:ascii="Arial" w:hAnsi="Arial" w:cs="Arial"/>
                <w:sz w:val="16"/>
                <w:szCs w:val="20"/>
              </w:rPr>
            </w:pPr>
            <w:r w:rsidRPr="00AF6BA2">
              <w:rPr>
                <w:rFonts w:ascii="Arial" w:hAnsi="Arial" w:cs="Arial"/>
                <w:sz w:val="16"/>
                <w:szCs w:val="20"/>
              </w:rPr>
              <w:t>"The Common ANQP Group (CAG) is a group of ANQP elements, which do not change on a rapid basis".</w:t>
            </w:r>
            <w:r w:rsidRPr="00AF6BA2">
              <w:rPr>
                <w:rFonts w:ascii="Arial" w:hAnsi="Arial" w:cs="Arial"/>
                <w:sz w:val="16"/>
                <w:szCs w:val="20"/>
              </w:rPr>
              <w:br/>
              <w:t>Please learn the difference between "that" and "which".    While syntactically correct</w:t>
            </w:r>
            <w:proofErr w:type="gramStart"/>
            <w:r w:rsidRPr="00AF6BA2">
              <w:rPr>
                <w:rFonts w:ascii="Arial" w:hAnsi="Arial" w:cs="Arial"/>
                <w:sz w:val="16"/>
                <w:szCs w:val="20"/>
              </w:rPr>
              <w:t>,  "</w:t>
            </w:r>
            <w:proofErr w:type="gramEnd"/>
            <w:r w:rsidRPr="00AF6BA2">
              <w:rPr>
                <w:rFonts w:ascii="Arial" w:hAnsi="Arial" w:cs="Arial"/>
                <w:sz w:val="16"/>
                <w:szCs w:val="20"/>
              </w:rPr>
              <w:t>that" is the correct word here,  because "do not change" is part of the definition of a CAG.</w:t>
            </w:r>
          </w:p>
        </w:tc>
        <w:tc>
          <w:tcPr>
            <w:tcW w:w="2464" w:type="dxa"/>
            <w:shd w:val="clear" w:color="auto" w:fill="auto"/>
            <w:hideMark/>
          </w:tcPr>
          <w:p w:rsidR="00AF6BA2" w:rsidRPr="00AF6BA2" w:rsidRDefault="00AF6BA2">
            <w:pPr>
              <w:rPr>
                <w:rFonts w:ascii="Arial" w:hAnsi="Arial" w:cs="Arial"/>
                <w:sz w:val="16"/>
                <w:szCs w:val="20"/>
              </w:rPr>
            </w:pPr>
            <w:r w:rsidRPr="00AF6BA2">
              <w:rPr>
                <w:rFonts w:ascii="Arial" w:hAnsi="Arial" w:cs="Arial"/>
                <w:sz w:val="16"/>
                <w:szCs w:val="20"/>
              </w:rPr>
              <w:t>", which" -&gt; "that"</w:t>
            </w:r>
          </w:p>
        </w:tc>
        <w:tc>
          <w:tcPr>
            <w:tcW w:w="1890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Accept</w:t>
            </w:r>
          </w:p>
        </w:tc>
      </w:tr>
      <w:tr w:rsidR="00AF6BA2" w:rsidRPr="00023D91" w:rsidTr="009F497D">
        <w:trPr>
          <w:trHeight w:val="1313"/>
        </w:trPr>
        <w:tc>
          <w:tcPr>
            <w:tcW w:w="671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6215</w:t>
            </w:r>
          </w:p>
        </w:tc>
        <w:tc>
          <w:tcPr>
            <w:tcW w:w="1051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8.4.2.172</w:t>
            </w:r>
          </w:p>
        </w:tc>
        <w:tc>
          <w:tcPr>
            <w:tcW w:w="899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43</w:t>
            </w:r>
          </w:p>
        </w:tc>
        <w:tc>
          <w:tcPr>
            <w:tcW w:w="801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64</w:t>
            </w:r>
          </w:p>
        </w:tc>
        <w:tc>
          <w:tcPr>
            <w:tcW w:w="2856" w:type="dxa"/>
            <w:gridSpan w:val="2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Need to compare this clause with 8.4.4.23 (Common Group ANQP-element). The words/phrasing needs to be more compatible and cross-referencing between them to clarify their relationship.</w:t>
            </w:r>
          </w:p>
        </w:tc>
        <w:tc>
          <w:tcPr>
            <w:tcW w:w="2464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Harmonize these two clauses, both in terms of the names being used and how they relate to each other.</w:t>
            </w:r>
          </w:p>
        </w:tc>
        <w:tc>
          <w:tcPr>
            <w:tcW w:w="1890" w:type="dxa"/>
            <w:shd w:val="clear" w:color="auto" w:fill="auto"/>
            <w:hideMark/>
          </w:tcPr>
          <w:p w:rsidR="00AF6BA2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 xml:space="preserve">Revised. </w:t>
            </w:r>
            <w:r w:rsidR="001A6503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See the proposed text from the Doc: 11-14-1457-00-00ai</w:t>
            </w:r>
          </w:p>
          <w:p w:rsidR="00AF6BA2" w:rsidRPr="00023D91" w:rsidRDefault="001A6503" w:rsidP="00AF6BA2">
            <w:pPr>
              <w:spacing w:after="0" w:line="240" w:lineRule="auto"/>
              <w:ind w:right="-18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 xml:space="preserve"> </w:t>
            </w:r>
          </w:p>
        </w:tc>
      </w:tr>
      <w:tr w:rsidR="00AF6BA2" w:rsidRPr="00023D91" w:rsidTr="009F497D">
        <w:trPr>
          <w:trHeight w:val="1610"/>
        </w:trPr>
        <w:tc>
          <w:tcPr>
            <w:tcW w:w="671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6222</w:t>
            </w:r>
          </w:p>
        </w:tc>
        <w:tc>
          <w:tcPr>
            <w:tcW w:w="1051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8.4.4.23</w:t>
            </w:r>
          </w:p>
        </w:tc>
        <w:tc>
          <w:tcPr>
            <w:tcW w:w="899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66</w:t>
            </w:r>
          </w:p>
        </w:tc>
        <w:tc>
          <w:tcPr>
            <w:tcW w:w="801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64</w:t>
            </w:r>
          </w:p>
        </w:tc>
        <w:tc>
          <w:tcPr>
            <w:tcW w:w="2856" w:type="dxa"/>
            <w:gridSpan w:val="2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Lots of confusion between this and 8.4.1.172. For instance, what is the difference between a "CAG Version" used here and a "CAG Number element" used there? The descriptions seem to be the same. If there is a difference, it needs to be explicitly stated.</w:t>
            </w:r>
          </w:p>
        </w:tc>
        <w:tc>
          <w:tcPr>
            <w:tcW w:w="2464" w:type="dxa"/>
            <w:shd w:val="clear" w:color="auto" w:fill="auto"/>
            <w:hideMark/>
          </w:tcPr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Review and revise as needed.</w:t>
            </w:r>
          </w:p>
        </w:tc>
        <w:tc>
          <w:tcPr>
            <w:tcW w:w="1890" w:type="dxa"/>
            <w:shd w:val="clear" w:color="auto" w:fill="auto"/>
            <w:hideMark/>
          </w:tcPr>
          <w:p w:rsidR="00AF6BA2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 w:rsidRPr="00023D91"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 xml:space="preserve">Revised. </w:t>
            </w:r>
          </w:p>
          <w:p w:rsidR="001A6503" w:rsidRDefault="001A6503" w:rsidP="001A65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See the proposed text from the Doc: 11-14-1457-00-00ai</w:t>
            </w:r>
          </w:p>
          <w:p w:rsidR="00AF6BA2" w:rsidRPr="00023D91" w:rsidRDefault="00AF6BA2" w:rsidP="00023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8218F6" w:rsidRPr="00023D91" w:rsidTr="009F497D">
        <w:trPr>
          <w:trHeight w:val="1574"/>
        </w:trPr>
        <w:tc>
          <w:tcPr>
            <w:tcW w:w="671" w:type="dxa"/>
            <w:shd w:val="clear" w:color="auto" w:fill="auto"/>
            <w:hideMark/>
          </w:tcPr>
          <w:p w:rsidR="008218F6" w:rsidRDefault="008218F6" w:rsidP="00023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lastRenderedPageBreak/>
              <w:t>6969</w:t>
            </w:r>
          </w:p>
        </w:tc>
        <w:tc>
          <w:tcPr>
            <w:tcW w:w="1051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8.4.2.172</w:t>
            </w:r>
          </w:p>
        </w:tc>
        <w:tc>
          <w:tcPr>
            <w:tcW w:w="899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44</w:t>
            </w:r>
          </w:p>
        </w:tc>
        <w:tc>
          <w:tcPr>
            <w:tcW w:w="801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21</w:t>
            </w:r>
          </w:p>
        </w:tc>
        <w:tc>
          <w:tcPr>
            <w:tcW w:w="2856" w:type="dxa"/>
            <w:gridSpan w:val="2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I think the sentences at P44.21 and P44.25 require some more explanation as to what happens what the CAG version reaches 255.</w:t>
            </w:r>
          </w:p>
        </w:tc>
        <w:tc>
          <w:tcPr>
            <w:tcW w:w="2464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Change the sentences to read</w:t>
            </w:r>
            <w:proofErr w:type="gramStart"/>
            <w:r w:rsidRPr="009F497D">
              <w:rPr>
                <w:rFonts w:ascii="Arial" w:hAnsi="Arial" w:cs="Arial"/>
                <w:sz w:val="16"/>
                <w:szCs w:val="20"/>
              </w:rPr>
              <w:t>:</w:t>
            </w:r>
            <w:proofErr w:type="gramEnd"/>
            <w:r w:rsidRPr="009F497D">
              <w:rPr>
                <w:rFonts w:ascii="Arial" w:hAnsi="Arial" w:cs="Arial"/>
                <w:sz w:val="16"/>
                <w:szCs w:val="20"/>
              </w:rPr>
              <w:br/>
            </w:r>
            <w:r w:rsidRPr="009F497D">
              <w:rPr>
                <w:rFonts w:ascii="Arial" w:hAnsi="Arial" w:cs="Arial"/>
                <w:sz w:val="16"/>
                <w:szCs w:val="20"/>
              </w:rPr>
              <w:br/>
              <w:t xml:space="preserve">The CAG Version is incremented every time the value of, or presence of, an advertisement protocol element  within the CAG of the associated advertisement protocol or </w:t>
            </w:r>
            <w:proofErr w:type="spellStart"/>
            <w:r w:rsidRPr="009F497D">
              <w:rPr>
                <w:rFonts w:ascii="Arial" w:hAnsi="Arial" w:cs="Arial"/>
                <w:sz w:val="16"/>
                <w:szCs w:val="20"/>
              </w:rPr>
              <w:t>InfoID</w:t>
            </w:r>
            <w:proofErr w:type="spellEnd"/>
            <w:r w:rsidRPr="009F497D">
              <w:rPr>
                <w:rFonts w:ascii="Arial" w:hAnsi="Arial" w:cs="Arial"/>
                <w:sz w:val="16"/>
                <w:szCs w:val="20"/>
              </w:rPr>
              <w:t xml:space="preserve"> are added, deleted, or changed.  The CAG Version shall increment from 255 to 1, so that if a STA </w:t>
            </w:r>
            <w:proofErr w:type="gramStart"/>
            <w:r w:rsidRPr="009F497D">
              <w:rPr>
                <w:rFonts w:ascii="Arial" w:hAnsi="Arial" w:cs="Arial"/>
                <w:sz w:val="16"/>
                <w:szCs w:val="20"/>
              </w:rPr>
              <w:t>receives  a</w:t>
            </w:r>
            <w:proofErr w:type="gramEnd"/>
            <w:r w:rsidRPr="009F497D">
              <w:rPr>
                <w:rFonts w:ascii="Arial" w:hAnsi="Arial" w:cs="Arial"/>
                <w:sz w:val="16"/>
                <w:szCs w:val="20"/>
              </w:rPr>
              <w:t xml:space="preserve"> value of zero in this subfield, this will be discarded.</w:t>
            </w:r>
          </w:p>
        </w:tc>
        <w:tc>
          <w:tcPr>
            <w:tcW w:w="1890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Accept</w:t>
            </w:r>
          </w:p>
        </w:tc>
      </w:tr>
      <w:tr w:rsidR="008218F6" w:rsidRPr="00023D91" w:rsidTr="003D3ECD">
        <w:trPr>
          <w:trHeight w:val="2550"/>
        </w:trPr>
        <w:tc>
          <w:tcPr>
            <w:tcW w:w="671" w:type="dxa"/>
            <w:shd w:val="clear" w:color="auto" w:fill="auto"/>
            <w:hideMark/>
          </w:tcPr>
          <w:p w:rsidR="008218F6" w:rsidRDefault="008218F6" w:rsidP="00023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6914</w:t>
            </w:r>
          </w:p>
        </w:tc>
        <w:tc>
          <w:tcPr>
            <w:tcW w:w="1051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8.4.4.20</w:t>
            </w:r>
          </w:p>
        </w:tc>
        <w:tc>
          <w:tcPr>
            <w:tcW w:w="899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64</w:t>
            </w:r>
          </w:p>
        </w:tc>
        <w:tc>
          <w:tcPr>
            <w:tcW w:w="801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45</w:t>
            </w:r>
          </w:p>
        </w:tc>
        <w:tc>
          <w:tcPr>
            <w:tcW w:w="2856" w:type="dxa"/>
            <w:gridSpan w:val="2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If an AP supports multiple BSSID, each BSS may have different ANQP information. The name of "AP List ANQP" is not adequate.</w:t>
            </w:r>
          </w:p>
        </w:tc>
        <w:tc>
          <w:tcPr>
            <w:tcW w:w="2464" w:type="dxa"/>
            <w:shd w:val="clear" w:color="auto" w:fill="auto"/>
            <w:hideMark/>
          </w:tcPr>
          <w:p w:rsidR="008218F6" w:rsidRPr="009F497D" w:rsidRDefault="008218F6">
            <w:pPr>
              <w:rPr>
                <w:rFonts w:ascii="Arial" w:hAnsi="Arial" w:cs="Arial"/>
                <w:sz w:val="16"/>
                <w:szCs w:val="20"/>
              </w:rPr>
            </w:pPr>
            <w:r w:rsidRPr="009F497D">
              <w:rPr>
                <w:rFonts w:ascii="Arial" w:hAnsi="Arial" w:cs="Arial"/>
                <w:sz w:val="16"/>
                <w:szCs w:val="20"/>
              </w:rPr>
              <w:t>Replace "AP List ANQP" by "BSSID List ANQP" throughout the draft.</w:t>
            </w:r>
          </w:p>
        </w:tc>
        <w:tc>
          <w:tcPr>
            <w:tcW w:w="1890" w:type="dxa"/>
            <w:shd w:val="clear" w:color="auto" w:fill="auto"/>
            <w:hideMark/>
          </w:tcPr>
          <w:p w:rsidR="008218F6" w:rsidRPr="009F497D" w:rsidRDefault="00CC253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Accept. </w:t>
            </w:r>
            <w:r w:rsidR="008218F6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</w:tbl>
    <w:p w:rsidR="000B526B" w:rsidRDefault="000B526B" w:rsidP="000B526B">
      <w:pPr>
        <w:rPr>
          <w:lang w:val="fi-FI"/>
        </w:rPr>
      </w:pPr>
    </w:p>
    <w:p w:rsidR="00023D91" w:rsidRDefault="00023D91" w:rsidP="000B526B">
      <w:pPr>
        <w:rPr>
          <w:lang w:val="fi-FI"/>
        </w:rPr>
      </w:pPr>
    </w:p>
    <w:p w:rsidR="00023D91" w:rsidRDefault="00023D91" w:rsidP="000B526B">
      <w:pPr>
        <w:rPr>
          <w:lang w:val="fi-FI"/>
        </w:rPr>
      </w:pPr>
    </w:p>
    <w:p w:rsidR="00461711" w:rsidRPr="001D1F7C" w:rsidRDefault="00461711" w:rsidP="00461711">
      <w:pPr>
        <w:pStyle w:val="Heading1"/>
        <w:numPr>
          <w:ilvl w:val="0"/>
          <w:numId w:val="1"/>
        </w:numPr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461711" w:rsidRDefault="00461711" w:rsidP="00461711">
      <w:pPr>
        <w:spacing w:before="120" w:after="120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8E0539">
        <w:rPr>
          <w:sz w:val="24"/>
          <w:szCs w:val="24"/>
        </w:rPr>
        <w:t xml:space="preserve">Red color </w:t>
      </w:r>
      <w:r w:rsidRPr="00023B59">
        <w:rPr>
          <w:sz w:val="24"/>
          <w:szCs w:val="24"/>
        </w:rPr>
        <w:t>is used to show changes to</w:t>
      </w:r>
      <w:r w:rsidR="008E0539">
        <w:rPr>
          <w:sz w:val="24"/>
          <w:szCs w:val="24"/>
        </w:rPr>
        <w:t xml:space="preserve"> the</w:t>
      </w:r>
      <w:r w:rsidRPr="00023B59">
        <w:rPr>
          <w:sz w:val="24"/>
          <w:szCs w:val="24"/>
        </w:rPr>
        <w:t xml:space="preserve"> revision </w:t>
      </w:r>
      <w:r w:rsidR="00504288">
        <w:rPr>
          <w:rFonts w:hint="eastAsia"/>
          <w:sz w:val="24"/>
          <w:szCs w:val="24"/>
        </w:rPr>
        <w:t>D</w:t>
      </w:r>
      <w:r w:rsidR="000B5B35">
        <w:rPr>
          <w:sz w:val="24"/>
          <w:szCs w:val="24"/>
        </w:rPr>
        <w:t>3</w:t>
      </w:r>
      <w:r w:rsidR="006326EA">
        <w:rPr>
          <w:rFonts w:hint="eastAsia"/>
          <w:sz w:val="24"/>
          <w:szCs w:val="24"/>
        </w:rPr>
        <w:t>.</w:t>
      </w:r>
      <w:r w:rsidR="00F974D2">
        <w:rPr>
          <w:sz w:val="24"/>
          <w:szCs w:val="24"/>
        </w:rPr>
        <w:t>0</w:t>
      </w:r>
      <w:r w:rsidRPr="00023B59">
        <w:rPr>
          <w:sz w:val="24"/>
          <w:szCs w:val="24"/>
        </w:rPr>
        <w:t>.</w:t>
      </w:r>
    </w:p>
    <w:p w:rsidR="00841B7F" w:rsidRDefault="00841B7F"/>
    <w:p w:rsidR="00461711" w:rsidRDefault="000F114C" w:rsidP="00461711">
      <w:pPr>
        <w:pStyle w:val="Heading1"/>
        <w:numPr>
          <w:ilvl w:val="0"/>
          <w:numId w:val="1"/>
        </w:numPr>
        <w:spacing w:before="360" w:after="120"/>
      </w:pPr>
      <w:bookmarkStart w:id="0" w:name="_Ref339564878"/>
      <w:r>
        <w:rPr>
          <w:u w:val="none"/>
        </w:rPr>
        <w:t>Proposed Changes to 802.11ai/D</w:t>
      </w:r>
      <w:r w:rsidR="006326EA">
        <w:rPr>
          <w:rFonts w:eastAsiaTheme="minorEastAsia" w:hint="eastAsia"/>
          <w:u w:val="none"/>
          <w:lang w:eastAsia="zh-CN"/>
        </w:rPr>
        <w:t>2.1</w:t>
      </w:r>
      <w:r w:rsidR="00461711">
        <w:rPr>
          <w:u w:val="none"/>
        </w:rPr>
        <w:t xml:space="preserve"> Specification Text</w:t>
      </w:r>
      <w:bookmarkEnd w:id="0"/>
    </w:p>
    <w:p w:rsidR="00997E88" w:rsidRPr="005670F1" w:rsidRDefault="00162DDE" w:rsidP="005670F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670F1">
        <w:rPr>
          <w:rFonts w:ascii="Times New Roman" w:hAnsi="Times New Roman" w:cs="Times New Roman"/>
          <w:b/>
          <w:sz w:val="20"/>
          <w:szCs w:val="20"/>
          <w:lang w:val="en-GB"/>
        </w:rPr>
        <w:t xml:space="preserve">CID </w:t>
      </w:r>
      <w:r w:rsidR="00CC2538">
        <w:rPr>
          <w:sz w:val="24"/>
          <w:szCs w:val="24"/>
        </w:rPr>
        <w:t>6010, 6215, 6222, 6969</w:t>
      </w:r>
    </w:p>
    <w:p w:rsidR="002166A0" w:rsidRPr="002166A0" w:rsidRDefault="002166A0" w:rsidP="002166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66A0">
        <w:rPr>
          <w:rFonts w:ascii="TimesNewRoman" w:hAnsi="TimesNewRoman" w:cs="TimesNewRoman"/>
          <w:i/>
          <w:sz w:val="20"/>
          <w:szCs w:val="20"/>
        </w:rPr>
        <w:t>Instruct the editor to make the following changes: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8.4.2.172 CAG Number element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Common ANQP Group (CAG) is a group of ANQP elements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>that</w:t>
      </w:r>
      <w:r>
        <w:rPr>
          <w:rFonts w:ascii="TimesNewRomanPSMT" w:hAnsi="TimesNewRomanPSMT" w:cs="TimesNewRomanPSMT"/>
          <w:sz w:val="20"/>
          <w:szCs w:val="20"/>
        </w:rPr>
        <w:t xml:space="preserve"> do not change on a rapid basis.</w:t>
      </w:r>
    </w:p>
    <w:p w:rsidR="008E0539" w:rsidRPr="000456B0" w:rsidRDefault="008E0539" w:rsidP="008E0539">
      <w:r>
        <w:rPr>
          <w:rFonts w:ascii="TimesNewRomanPSMT" w:hAnsi="TimesNewRomanPSMT" w:cs="TimesNewRomanPSMT"/>
          <w:sz w:val="20"/>
          <w:szCs w:val="20"/>
        </w:rPr>
        <w:t xml:space="preserve">The CAG Number element provides the current version number of the CAG. The CAG Number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element  is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an 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>information element</w:t>
      </w:r>
      <w:r w:rsidRPr="008E0539">
        <w:rPr>
          <w:b/>
          <w:color w:val="FF0000"/>
        </w:rPr>
        <w:t xml:space="preserve"> provided by the AP</w:t>
      </w:r>
      <w:r>
        <w:t xml:space="preserve"> and </w:t>
      </w:r>
      <w:r>
        <w:rPr>
          <w:rFonts w:ascii="TimesNewRomanPSMT" w:hAnsi="TimesNewRomanPSMT" w:cs="TimesNewRomanPSMT"/>
          <w:sz w:val="20"/>
          <w:szCs w:val="20"/>
        </w:rPr>
        <w:t>used by the STA to determine if a change in the CAG occurred from the last visit of the STA to a particular</w:t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AP. The CAG Number element is optionally present in the Beacon or Probe Response frame to reduce</w:t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ANQP exchanges when dot11InterworkingServiceActivated is true and dot11FILSActivated is true.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0"/>
          <w:szCs w:val="20"/>
        </w:rPr>
        <w:lastRenderedPageBreak/>
        <w:drawing>
          <wp:inline distT="0" distB="0" distL="0" distR="0">
            <wp:extent cx="5514975" cy="1047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Element ID and Length fields are defined in 8.4.2.1 (General).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CAG Version is a 1-octet field whose value is an unsigned positive integer indicating the 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>current</w:t>
      </w:r>
      <w:r>
        <w:rPr>
          <w:rFonts w:ascii="TimesNewRomanPSMT" w:hAnsi="TimesNewRomanPSMT" w:cs="TimesNewRomanPSMT"/>
          <w:sz w:val="20"/>
          <w:szCs w:val="20"/>
        </w:rPr>
        <w:t xml:space="preserve"> version 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>number</w:t>
      </w:r>
      <w:r>
        <w:rPr>
          <w:rFonts w:ascii="TimesNewRomanPSMT" w:hAnsi="TimesNewRomanPSMT" w:cs="TimesNewRomanPSMT"/>
          <w:sz w:val="20"/>
          <w:szCs w:val="20"/>
        </w:rPr>
        <w:t xml:space="preserve"> of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CAG.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3142BA">
        <w:rPr>
          <w:rFonts w:ascii="TimesNewRomanPSMT" w:hAnsi="TimesNewRomanPSMT" w:cs="TimesNewRomanPSMT"/>
          <w:strike/>
          <w:sz w:val="20"/>
          <w:szCs w:val="20"/>
        </w:rPr>
        <w:t>The CAG Version is incremented every time the value of, or presence of, an ANQP-element within the CAG</w:t>
      </w:r>
      <w:r w:rsidRPr="003142BA">
        <w:rPr>
          <w:rFonts w:ascii="TimesNewRomanPSMT" w:hAnsi="TimesNewRomanPSMT" w:cs="TimesNewRomanPSMT"/>
          <w:strike/>
          <w:sz w:val="20"/>
          <w:szCs w:val="20"/>
        </w:rPr>
        <w:t xml:space="preserve"> </w:t>
      </w:r>
      <w:r w:rsidRPr="003142BA">
        <w:rPr>
          <w:rFonts w:ascii="TimesNewRomanPSMT" w:hAnsi="TimesNewRomanPSMT" w:cs="TimesNewRomanPSMT"/>
          <w:strike/>
          <w:sz w:val="20"/>
          <w:szCs w:val="20"/>
        </w:rPr>
        <w:t xml:space="preserve">or </w:t>
      </w:r>
      <w:proofErr w:type="spellStart"/>
      <w:r w:rsidRPr="003142BA">
        <w:rPr>
          <w:rFonts w:ascii="TimesNewRomanPSMT" w:hAnsi="TimesNewRomanPSMT" w:cs="TimesNewRomanPSMT"/>
          <w:strike/>
          <w:sz w:val="20"/>
          <w:szCs w:val="20"/>
        </w:rPr>
        <w:t>InfoID</w:t>
      </w:r>
      <w:proofErr w:type="spellEnd"/>
      <w:r w:rsidRPr="003142BA">
        <w:rPr>
          <w:rFonts w:ascii="TimesNewRomanPSMT" w:hAnsi="TimesNewRomanPSMT" w:cs="TimesNewRomanPSMT"/>
          <w:strike/>
          <w:sz w:val="20"/>
          <w:szCs w:val="20"/>
        </w:rPr>
        <w:t xml:space="preserve"> are added, deleted, or changed.</w:t>
      </w:r>
      <w:r w:rsidRPr="003142BA">
        <w:rPr>
          <w:rFonts w:ascii="TimesNewRomanPSMT" w:hAnsi="TimesNewRomanPSMT" w:cs="TimesNewRomanPSMT"/>
          <w:strike/>
          <w:sz w:val="20"/>
          <w:szCs w:val="20"/>
        </w:rPr>
        <w:t xml:space="preserve"> </w:t>
      </w:r>
      <w:r w:rsidRPr="003142BA">
        <w:rPr>
          <w:rFonts w:ascii="TimesNewRomanPSMT" w:hAnsi="TimesNewRomanPSMT" w:cs="TimesNewRomanPSMT"/>
          <w:strike/>
          <w:sz w:val="20"/>
          <w:szCs w:val="20"/>
        </w:rPr>
        <w:t xml:space="preserve">CAG Version is always </w:t>
      </w:r>
      <w:proofErr w:type="gramStart"/>
      <w:r w:rsidRPr="003142BA">
        <w:rPr>
          <w:rFonts w:ascii="TimesNewRomanPSMT" w:hAnsi="TimesNewRomanPSMT" w:cs="TimesNewRomanPSMT"/>
          <w:strike/>
          <w:sz w:val="20"/>
          <w:szCs w:val="20"/>
        </w:rPr>
        <w:t>positive,</w:t>
      </w:r>
      <w:proofErr w:type="gramEnd"/>
      <w:r w:rsidRPr="003142BA">
        <w:rPr>
          <w:rFonts w:ascii="TimesNewRomanPSMT" w:hAnsi="TimesNewRomanPSMT" w:cs="TimesNewRomanPSMT"/>
          <w:strike/>
          <w:sz w:val="20"/>
          <w:szCs w:val="20"/>
        </w:rPr>
        <w:t xml:space="preserve"> therefore a value of zero in this field will be neglected by the receiving</w:t>
      </w:r>
      <w:r w:rsidRPr="003142BA">
        <w:rPr>
          <w:rFonts w:ascii="TimesNewRomanPSMT" w:hAnsi="TimesNewRomanPSMT" w:cs="TimesNewRomanPSMT"/>
          <w:strike/>
          <w:sz w:val="20"/>
          <w:szCs w:val="20"/>
        </w:rPr>
        <w:t xml:space="preserve"> </w:t>
      </w:r>
      <w:r w:rsidRPr="003142BA">
        <w:rPr>
          <w:rFonts w:ascii="TimesNewRomanPSMT" w:hAnsi="TimesNewRomanPSMT" w:cs="TimesNewRomanPSMT"/>
          <w:strike/>
          <w:sz w:val="20"/>
          <w:szCs w:val="20"/>
        </w:rPr>
        <w:t>STA.</w:t>
      </w:r>
    </w:p>
    <w:p w:rsidR="003142BA" w:rsidRPr="003142BA" w:rsidRDefault="003142BA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0"/>
          <w:szCs w:val="20"/>
        </w:rPr>
      </w:pPr>
      <w:r w:rsidRPr="003142BA">
        <w:rPr>
          <w:rFonts w:ascii="TimesNewRomanPSMT" w:hAnsi="TimesNewRomanPSMT" w:cs="TimesNewRomanPSMT"/>
          <w:b/>
          <w:color w:val="FF0000"/>
          <w:sz w:val="20"/>
          <w:szCs w:val="20"/>
        </w:rPr>
        <w:t xml:space="preserve">The CAG Version is incremented every time the value of, or presence of, an advertisement protocol </w:t>
      </w:r>
      <w:proofErr w:type="gramStart"/>
      <w:r w:rsidRPr="003142BA">
        <w:rPr>
          <w:rFonts w:ascii="TimesNewRomanPSMT" w:hAnsi="TimesNewRomanPSMT" w:cs="TimesNewRomanPSMT"/>
          <w:b/>
          <w:color w:val="FF0000"/>
          <w:sz w:val="20"/>
          <w:szCs w:val="20"/>
        </w:rPr>
        <w:t>element  within</w:t>
      </w:r>
      <w:proofErr w:type="gramEnd"/>
      <w:r w:rsidRPr="003142BA">
        <w:rPr>
          <w:rFonts w:ascii="TimesNewRomanPSMT" w:hAnsi="TimesNewRomanPSMT" w:cs="TimesNewRomanPSMT"/>
          <w:b/>
          <w:color w:val="FF0000"/>
          <w:sz w:val="20"/>
          <w:szCs w:val="20"/>
        </w:rPr>
        <w:t xml:space="preserve"> the CAG of the associated advertisement protocol or </w:t>
      </w:r>
      <w:proofErr w:type="spellStart"/>
      <w:r w:rsidRPr="003142BA">
        <w:rPr>
          <w:rFonts w:ascii="TimesNewRomanPSMT" w:hAnsi="TimesNewRomanPSMT" w:cs="TimesNewRomanPSMT"/>
          <w:b/>
          <w:color w:val="FF0000"/>
          <w:sz w:val="20"/>
          <w:szCs w:val="20"/>
        </w:rPr>
        <w:t>InfoID</w:t>
      </w:r>
      <w:proofErr w:type="spellEnd"/>
      <w:r w:rsidRPr="003142BA">
        <w:rPr>
          <w:rFonts w:ascii="TimesNewRomanPSMT" w:hAnsi="TimesNewRomanPSMT" w:cs="TimesNewRomanPSMT"/>
          <w:b/>
          <w:color w:val="FF0000"/>
          <w:sz w:val="20"/>
          <w:szCs w:val="20"/>
        </w:rPr>
        <w:t xml:space="preserve"> are added, deleted, or changed.  The CAG Version shall increment from 255 to 1, so that if a STA </w:t>
      </w:r>
      <w:proofErr w:type="gramStart"/>
      <w:r w:rsidRPr="003142BA">
        <w:rPr>
          <w:rFonts w:ascii="TimesNewRomanPSMT" w:hAnsi="TimesNewRomanPSMT" w:cs="TimesNewRomanPSMT"/>
          <w:b/>
          <w:color w:val="FF0000"/>
          <w:sz w:val="20"/>
          <w:szCs w:val="20"/>
        </w:rPr>
        <w:t>receives  a</w:t>
      </w:r>
      <w:proofErr w:type="gramEnd"/>
      <w:r w:rsidRPr="003142BA">
        <w:rPr>
          <w:rFonts w:ascii="TimesNewRomanPSMT" w:hAnsi="TimesNewRomanPSMT" w:cs="TimesNewRomanPSMT"/>
          <w:b/>
          <w:color w:val="FF0000"/>
          <w:sz w:val="20"/>
          <w:szCs w:val="20"/>
        </w:rPr>
        <w:t xml:space="preserve"> value of zero in this subfield, this will be discarded.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Scope is a 1-octet field that indicates the valid scope of the information represented by the CAG Version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Number.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 field value of 0 indicates that the CAG is only valid in the current BSS (identified by the BSSID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value</w:t>
      </w:r>
      <w:proofErr w:type="gramEnd"/>
      <w:r>
        <w:rPr>
          <w:rFonts w:ascii="TimesNewRomanPSMT" w:hAnsi="TimesNewRomanPSMT" w:cs="TimesNewRomanPSMT"/>
          <w:sz w:val="20"/>
          <w:szCs w:val="20"/>
        </w:rPr>
        <w:t>), a field value of 1 indicates that the CAG is only valid in the Homogeneous ESS (identified by the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HESSID value), and a field value of 2 indicates that the CAG is valid for the ESS (union of BSSs with the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same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SSID). Field values of 3-255 are reserved.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Insert new clause as follows: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8.4.4.23 Common Group ANQP-element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Common 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>G</w:t>
      </w:r>
      <w:r>
        <w:rPr>
          <w:rFonts w:ascii="TimesNewRomanPSMT" w:hAnsi="TimesNewRomanPSMT" w:cs="TimesNewRomanPSMT"/>
          <w:sz w:val="20"/>
          <w:szCs w:val="20"/>
        </w:rPr>
        <w:t>roup ANQP-element provides the Info IDs for the ANQP-elements contained within a CAG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and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the current value of the CAG Version 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>as defined in</w:t>
      </w:r>
      <w:r w:rsidRPr="008E0539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8E0539">
        <w:rPr>
          <w:rFonts w:ascii="Arial-BoldMT" w:hAnsi="Arial-BoldMT" w:cs="Arial-BoldMT"/>
          <w:b/>
          <w:bCs/>
          <w:color w:val="FF0000"/>
          <w:sz w:val="20"/>
          <w:szCs w:val="20"/>
        </w:rPr>
        <w:t>8.4.2.172</w:t>
      </w:r>
      <w:r>
        <w:rPr>
          <w:rFonts w:ascii="TimesNewRomanPSMT" w:hAnsi="TimesNewRomanPSMT" w:cs="TimesNewRomanPSMT"/>
          <w:sz w:val="20"/>
          <w:szCs w:val="20"/>
        </w:rPr>
        <w:t xml:space="preserve">, 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8B374B">
        <w:rPr>
          <w:rFonts w:ascii="ArialMT" w:hAnsi="ArialMT" w:cs="ArialMT"/>
          <w:sz w:val="18"/>
          <w:szCs w:val="18"/>
        </w:rPr>
        <w:drawing>
          <wp:inline distT="0" distB="0" distL="0" distR="0">
            <wp:extent cx="4792980" cy="774065"/>
            <wp:effectExtent l="1905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6B0" w:rsidDel="000456B0">
        <w:rPr>
          <w:rFonts w:ascii="ArialMT" w:hAnsi="ArialMT" w:cs="ArialMT"/>
          <w:sz w:val="18"/>
          <w:szCs w:val="18"/>
        </w:rPr>
        <w:t xml:space="preserve"> 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Figure 8-604e—Common Group ANQP-element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selection of the specific number of Info IDs and the specific values of Info IDs in CAG is left to the implementation</w:t>
      </w:r>
      <w:r w:rsidR="006B799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and is beyond the scope of this document.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Info ID is a 2-octet field whose value is equal to the value in Table 8-258 (ANQP-element definitions).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Length field is a 2-octet unsigned positive number whose value is set to the length in octets of remaining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fields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CAG Version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isa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1-octet field and it indicates the current version of the CAG. The CAG Version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changes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when the CAG changes (either the Info IDs of the ANQP-elements contained in the CAG or any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value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of the attributes and information within those ANQP-elements). 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 xml:space="preserve">The CAG Version contained in the Common Group ANQP element and that contained in CAG Number element (as defined in </w:t>
      </w:r>
      <w:r w:rsidRPr="008E0539">
        <w:rPr>
          <w:rFonts w:ascii="Arial-BoldMT" w:hAnsi="Arial-BoldMT" w:cs="Arial-BoldMT"/>
          <w:b/>
          <w:bCs/>
          <w:color w:val="FF0000"/>
          <w:sz w:val="20"/>
          <w:szCs w:val="20"/>
        </w:rPr>
        <w:t>8.4.2.172)</w:t>
      </w:r>
      <w:r w:rsidRPr="008E0539">
        <w:rPr>
          <w:rFonts w:ascii="TimesNewRomanPSMT" w:hAnsi="TimesNewRomanPSMT" w:cs="TimesNewRomanPSMT"/>
          <w:b/>
          <w:color w:val="FF0000"/>
          <w:sz w:val="20"/>
          <w:szCs w:val="20"/>
        </w:rPr>
        <w:t xml:space="preserve"> are identical.</w:t>
      </w:r>
    </w:p>
    <w:p w:rsidR="008E0539" w:rsidRDefault="008E0539" w:rsidP="008E05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Info ID field is a 2-octets field whose value represents an ANQP-element Info ID specified in Table 8-</w:t>
      </w:r>
    </w:p>
    <w:p w:rsidR="008E0539" w:rsidRDefault="008E0539" w:rsidP="008E0539">
      <w:pPr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258 (ANQP-element definitions).</w:t>
      </w:r>
      <w:proofErr w:type="gramEnd"/>
    </w:p>
    <w:p w:rsidR="002166A0" w:rsidRDefault="002166A0">
      <w:pPr>
        <w:rPr>
          <w:lang w:val="en-GB"/>
        </w:rPr>
      </w:pPr>
    </w:p>
    <w:p w:rsidR="00CC2538" w:rsidRDefault="00CC2538">
      <w:pPr>
        <w:rPr>
          <w:lang w:val="en-GB"/>
        </w:rPr>
      </w:pPr>
    </w:p>
    <w:p w:rsidR="00CC2538" w:rsidRDefault="00CC2538">
      <w:pPr>
        <w:rPr>
          <w:lang w:val="en-GB"/>
        </w:rPr>
      </w:pPr>
    </w:p>
    <w:p w:rsidR="00CC2538" w:rsidRDefault="00CC2538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CC2538">
        <w:rPr>
          <w:b/>
          <w:lang w:val="en-GB"/>
        </w:rPr>
        <w:lastRenderedPageBreak/>
        <w:t xml:space="preserve">CID </w:t>
      </w:r>
      <w:r w:rsidRPr="00CC2538">
        <w:rPr>
          <w:rFonts w:ascii="Arial" w:eastAsia="Times New Roman" w:hAnsi="Arial" w:cs="Arial"/>
          <w:b/>
          <w:sz w:val="20"/>
          <w:szCs w:val="20"/>
          <w:lang w:eastAsia="en-US"/>
        </w:rPr>
        <w:t>6914</w:t>
      </w:r>
    </w:p>
    <w:p w:rsidR="00CC2538" w:rsidRPr="00DC46CD" w:rsidRDefault="00CC2538">
      <w:pPr>
        <w:rPr>
          <w:b/>
          <w:sz w:val="20"/>
          <w:szCs w:val="20"/>
          <w:lang w:val="en-GB"/>
        </w:rPr>
      </w:pPr>
      <w:r w:rsidRPr="00DC46CD">
        <w:rPr>
          <w:sz w:val="20"/>
          <w:szCs w:val="20"/>
          <w:lang w:val="en-GB"/>
        </w:rPr>
        <w:t>Resolution:</w:t>
      </w:r>
      <w:r w:rsidRPr="00DC46CD">
        <w:rPr>
          <w:b/>
          <w:sz w:val="20"/>
          <w:szCs w:val="20"/>
          <w:lang w:val="en-GB"/>
        </w:rPr>
        <w:t xml:space="preserve"> </w:t>
      </w:r>
      <w:r w:rsidRPr="00DC46CD">
        <w:rPr>
          <w:sz w:val="20"/>
          <w:szCs w:val="20"/>
          <w:lang w:val="en-GB"/>
        </w:rPr>
        <w:t>Accept</w:t>
      </w:r>
    </w:p>
    <w:p w:rsidR="00CC2538" w:rsidRPr="002166A0" w:rsidRDefault="00CC2538" w:rsidP="00CC25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66A0">
        <w:rPr>
          <w:rFonts w:ascii="TimesNewRoman" w:hAnsi="TimesNewRoman" w:cs="TimesNewRoman"/>
          <w:i/>
          <w:sz w:val="20"/>
          <w:szCs w:val="20"/>
        </w:rPr>
        <w:t>Instruct the editor to make the following changes:</w:t>
      </w:r>
    </w:p>
    <w:p w:rsidR="00CC2538" w:rsidRPr="00DC46CD" w:rsidRDefault="00DC46CD" w:rsidP="00DC46CD">
      <w:pPr>
        <w:rPr>
          <w:sz w:val="20"/>
          <w:szCs w:val="20"/>
          <w:lang w:val="en-GB"/>
        </w:rPr>
      </w:pPr>
      <w:r w:rsidRPr="009F497D">
        <w:rPr>
          <w:rFonts w:ascii="Arial" w:hAnsi="Arial" w:cs="Arial"/>
          <w:sz w:val="16"/>
          <w:szCs w:val="20"/>
        </w:rPr>
        <w:t>Replace "AP List ANQP" by "BSSID List ANQP" throughout the draft.</w:t>
      </w:r>
    </w:p>
    <w:sectPr w:rsidR="00CC2538" w:rsidRPr="00DC46CD" w:rsidSect="00841B7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93" w:rsidRDefault="00CA1193" w:rsidP="00BB6BC9">
      <w:pPr>
        <w:spacing w:after="0" w:line="240" w:lineRule="auto"/>
      </w:pPr>
      <w:r>
        <w:separator/>
      </w:r>
    </w:p>
  </w:endnote>
  <w:endnote w:type="continuationSeparator" w:id="0">
    <w:p w:rsidR="00CA1193" w:rsidRDefault="00CA1193" w:rsidP="00BB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7D" w:rsidRDefault="007A487D" w:rsidP="00BB6BC9">
    <w:pPr>
      <w:pStyle w:val="Footer"/>
      <w:jc w:val="right"/>
    </w:pPr>
    <w:r>
      <w:rPr>
        <w:rFonts w:hint="eastAsia"/>
      </w:rPr>
      <w:t>Huawei</w:t>
    </w:r>
  </w:p>
  <w:p w:rsidR="007A487D" w:rsidRDefault="007A48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93" w:rsidRDefault="00CA1193" w:rsidP="00BB6BC9">
      <w:pPr>
        <w:spacing w:after="0" w:line="240" w:lineRule="auto"/>
      </w:pPr>
      <w:r>
        <w:separator/>
      </w:r>
    </w:p>
  </w:footnote>
  <w:footnote w:type="continuationSeparator" w:id="0">
    <w:p w:rsidR="00CA1193" w:rsidRDefault="00CA1193" w:rsidP="00BB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7D" w:rsidRPr="00296FC2" w:rsidRDefault="000B5B35" w:rsidP="00BB6BC9">
    <w:pPr>
      <w:pStyle w:val="Header"/>
    </w:pPr>
    <w:r>
      <w:t>Nov</w:t>
    </w:r>
    <w:r>
      <w:t>e</w:t>
    </w:r>
    <w:r>
      <w:t>mber</w:t>
    </w:r>
    <w:r>
      <w:t xml:space="preserve"> </w:t>
    </w:r>
    <w:r w:rsidR="007A487D" w:rsidRPr="005F6CC4">
      <w:t>201</w:t>
    </w:r>
    <w:r w:rsidR="007A487D">
      <w:rPr>
        <w:rFonts w:hint="eastAsia"/>
      </w:rPr>
      <w:t>4</w:t>
    </w:r>
    <w:r w:rsidR="007A487D">
      <w:tab/>
    </w:r>
    <w:r w:rsidR="007A487D">
      <w:rPr>
        <w:rFonts w:hint="eastAsia"/>
      </w:rPr>
      <w:t xml:space="preserve">                                                                              </w:t>
    </w:r>
    <w:r>
      <w:rPr>
        <w:rFonts w:hint="eastAsia"/>
      </w:rPr>
      <w:t xml:space="preserve">                  </w:t>
    </w:r>
    <w:r w:rsidR="007A487D">
      <w:rPr>
        <w:rFonts w:hint="eastAsia"/>
      </w:rPr>
      <w:t xml:space="preserve"> </w:t>
    </w:r>
    <w:fldSimple w:instr=" TITLE  \* MERGEFORMAT ">
      <w:r w:rsidR="007A487D">
        <w:t>doc.: IEEE 802.11-1</w:t>
      </w:r>
      <w:r w:rsidR="007A487D">
        <w:rPr>
          <w:rFonts w:hint="eastAsia"/>
        </w:rPr>
        <w:t>4</w:t>
      </w:r>
      <w:r>
        <w:t>-</w:t>
      </w:r>
      <w:r w:rsidR="00C57E0F">
        <w:t>1457</w:t>
      </w:r>
    </w:fldSimple>
    <w:r w:rsidR="007A487D">
      <w:t>-0</w:t>
    </w:r>
    <w:r>
      <w:t>0</w:t>
    </w:r>
    <w:r w:rsidR="007A487D">
      <w:t>-00ai</w:t>
    </w:r>
  </w:p>
  <w:p w:rsidR="007A487D" w:rsidRPr="00BB6BC9" w:rsidRDefault="007A487D" w:rsidP="00BB6B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0E415A"/>
    <w:lvl w:ilvl="0">
      <w:numFmt w:val="bullet"/>
      <w:lvlText w:val="*"/>
      <w:lvlJc w:val="left"/>
    </w:lvl>
  </w:abstractNum>
  <w:abstractNum w:abstractNumId="1">
    <w:nsid w:val="2FEE79A1"/>
    <w:multiLevelType w:val="hybridMultilevel"/>
    <w:tmpl w:val="3E76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3374E"/>
    <w:multiLevelType w:val="hybridMultilevel"/>
    <w:tmpl w:val="FABE17EE"/>
    <w:lvl w:ilvl="0" w:tplc="D5FE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10.4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0.4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0.4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8.4.2.18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401d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8-401d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22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E88"/>
    <w:rsid w:val="00006EAA"/>
    <w:rsid w:val="00010FE6"/>
    <w:rsid w:val="000231FF"/>
    <w:rsid w:val="00023D91"/>
    <w:rsid w:val="000260C7"/>
    <w:rsid w:val="00031C8D"/>
    <w:rsid w:val="00035F1E"/>
    <w:rsid w:val="00070CB2"/>
    <w:rsid w:val="00071522"/>
    <w:rsid w:val="000745A4"/>
    <w:rsid w:val="00087645"/>
    <w:rsid w:val="00087A29"/>
    <w:rsid w:val="000B526B"/>
    <w:rsid w:val="000B5B35"/>
    <w:rsid w:val="000B718D"/>
    <w:rsid w:val="000F114C"/>
    <w:rsid w:val="000F1724"/>
    <w:rsid w:val="000F6E39"/>
    <w:rsid w:val="00121826"/>
    <w:rsid w:val="0015520E"/>
    <w:rsid w:val="00162DDE"/>
    <w:rsid w:val="00174657"/>
    <w:rsid w:val="00185E2A"/>
    <w:rsid w:val="001A6503"/>
    <w:rsid w:val="001D5118"/>
    <w:rsid w:val="001D5144"/>
    <w:rsid w:val="001F023D"/>
    <w:rsid w:val="002137AE"/>
    <w:rsid w:val="002166A0"/>
    <w:rsid w:val="00217A9A"/>
    <w:rsid w:val="00224E59"/>
    <w:rsid w:val="0024422E"/>
    <w:rsid w:val="00251740"/>
    <w:rsid w:val="00251DF9"/>
    <w:rsid w:val="00273F86"/>
    <w:rsid w:val="00284E73"/>
    <w:rsid w:val="00291170"/>
    <w:rsid w:val="00296FC2"/>
    <w:rsid w:val="002A3F9D"/>
    <w:rsid w:val="002B278C"/>
    <w:rsid w:val="002B6E79"/>
    <w:rsid w:val="002C2426"/>
    <w:rsid w:val="002F7BE0"/>
    <w:rsid w:val="003142BA"/>
    <w:rsid w:val="00347C0B"/>
    <w:rsid w:val="00351290"/>
    <w:rsid w:val="00351D0A"/>
    <w:rsid w:val="00354122"/>
    <w:rsid w:val="003A7BC5"/>
    <w:rsid w:val="003B3B78"/>
    <w:rsid w:val="003C60EF"/>
    <w:rsid w:val="003D3ECD"/>
    <w:rsid w:val="0041712B"/>
    <w:rsid w:val="00440348"/>
    <w:rsid w:val="00460FE3"/>
    <w:rsid w:val="00461711"/>
    <w:rsid w:val="0046246E"/>
    <w:rsid w:val="0046771B"/>
    <w:rsid w:val="00476934"/>
    <w:rsid w:val="00482490"/>
    <w:rsid w:val="004836FA"/>
    <w:rsid w:val="004844AE"/>
    <w:rsid w:val="004A35CD"/>
    <w:rsid w:val="004A4692"/>
    <w:rsid w:val="004C5467"/>
    <w:rsid w:val="004D04AF"/>
    <w:rsid w:val="004F4408"/>
    <w:rsid w:val="004F5FA7"/>
    <w:rsid w:val="00504288"/>
    <w:rsid w:val="00550103"/>
    <w:rsid w:val="0055463B"/>
    <w:rsid w:val="00554E21"/>
    <w:rsid w:val="005670F1"/>
    <w:rsid w:val="00567F0F"/>
    <w:rsid w:val="00592285"/>
    <w:rsid w:val="00593677"/>
    <w:rsid w:val="005A4424"/>
    <w:rsid w:val="005B2EF5"/>
    <w:rsid w:val="005B6058"/>
    <w:rsid w:val="005C6070"/>
    <w:rsid w:val="005C69B4"/>
    <w:rsid w:val="00615F44"/>
    <w:rsid w:val="006326EA"/>
    <w:rsid w:val="00662211"/>
    <w:rsid w:val="006655EA"/>
    <w:rsid w:val="006740D0"/>
    <w:rsid w:val="006A7F1C"/>
    <w:rsid w:val="006B7999"/>
    <w:rsid w:val="006C015A"/>
    <w:rsid w:val="00710425"/>
    <w:rsid w:val="0074260F"/>
    <w:rsid w:val="00744AAF"/>
    <w:rsid w:val="007853F9"/>
    <w:rsid w:val="00795291"/>
    <w:rsid w:val="007A487D"/>
    <w:rsid w:val="007C242A"/>
    <w:rsid w:val="007C66ED"/>
    <w:rsid w:val="007F0132"/>
    <w:rsid w:val="008053A1"/>
    <w:rsid w:val="008056F4"/>
    <w:rsid w:val="008218F6"/>
    <w:rsid w:val="00837D15"/>
    <w:rsid w:val="00841B7F"/>
    <w:rsid w:val="008559F2"/>
    <w:rsid w:val="00856E62"/>
    <w:rsid w:val="008D078A"/>
    <w:rsid w:val="008E0539"/>
    <w:rsid w:val="008E2490"/>
    <w:rsid w:val="008F46D9"/>
    <w:rsid w:val="008F6A0A"/>
    <w:rsid w:val="0090685B"/>
    <w:rsid w:val="00923177"/>
    <w:rsid w:val="00926BB3"/>
    <w:rsid w:val="009272B6"/>
    <w:rsid w:val="00927304"/>
    <w:rsid w:val="00951C46"/>
    <w:rsid w:val="00960C98"/>
    <w:rsid w:val="00994CA7"/>
    <w:rsid w:val="00997E88"/>
    <w:rsid w:val="009D2D98"/>
    <w:rsid w:val="009F2AF2"/>
    <w:rsid w:val="009F497D"/>
    <w:rsid w:val="00A1768A"/>
    <w:rsid w:val="00A20099"/>
    <w:rsid w:val="00A20ACC"/>
    <w:rsid w:val="00A57004"/>
    <w:rsid w:val="00A62751"/>
    <w:rsid w:val="00A652B1"/>
    <w:rsid w:val="00A65AD5"/>
    <w:rsid w:val="00A86A47"/>
    <w:rsid w:val="00A90E43"/>
    <w:rsid w:val="00A93A79"/>
    <w:rsid w:val="00AF6BA2"/>
    <w:rsid w:val="00B005CA"/>
    <w:rsid w:val="00B01A59"/>
    <w:rsid w:val="00B06F85"/>
    <w:rsid w:val="00B102B2"/>
    <w:rsid w:val="00B17BFC"/>
    <w:rsid w:val="00B25D6E"/>
    <w:rsid w:val="00B40C93"/>
    <w:rsid w:val="00B464FD"/>
    <w:rsid w:val="00B61007"/>
    <w:rsid w:val="00B619DF"/>
    <w:rsid w:val="00B63B82"/>
    <w:rsid w:val="00B741DC"/>
    <w:rsid w:val="00B915E6"/>
    <w:rsid w:val="00BA0B4E"/>
    <w:rsid w:val="00BB6BC9"/>
    <w:rsid w:val="00BD59A3"/>
    <w:rsid w:val="00BD7E91"/>
    <w:rsid w:val="00BF06C4"/>
    <w:rsid w:val="00C06550"/>
    <w:rsid w:val="00C107A4"/>
    <w:rsid w:val="00C4158E"/>
    <w:rsid w:val="00C50ED1"/>
    <w:rsid w:val="00C51390"/>
    <w:rsid w:val="00C57E0F"/>
    <w:rsid w:val="00C8500D"/>
    <w:rsid w:val="00C95C4B"/>
    <w:rsid w:val="00CA1193"/>
    <w:rsid w:val="00CA3F64"/>
    <w:rsid w:val="00CB0FBE"/>
    <w:rsid w:val="00CB1185"/>
    <w:rsid w:val="00CC2538"/>
    <w:rsid w:val="00D305B2"/>
    <w:rsid w:val="00D32187"/>
    <w:rsid w:val="00D658E1"/>
    <w:rsid w:val="00D86C27"/>
    <w:rsid w:val="00D87516"/>
    <w:rsid w:val="00DB17B1"/>
    <w:rsid w:val="00DC0FA9"/>
    <w:rsid w:val="00DC46CD"/>
    <w:rsid w:val="00DC6915"/>
    <w:rsid w:val="00DD2134"/>
    <w:rsid w:val="00DD52C1"/>
    <w:rsid w:val="00DE232C"/>
    <w:rsid w:val="00E26867"/>
    <w:rsid w:val="00E34275"/>
    <w:rsid w:val="00E559E3"/>
    <w:rsid w:val="00E55A0E"/>
    <w:rsid w:val="00EA64EF"/>
    <w:rsid w:val="00EC1AF5"/>
    <w:rsid w:val="00F02D45"/>
    <w:rsid w:val="00F15813"/>
    <w:rsid w:val="00F22277"/>
    <w:rsid w:val="00F351DA"/>
    <w:rsid w:val="00F37CF9"/>
    <w:rsid w:val="00F52E18"/>
    <w:rsid w:val="00F85F29"/>
    <w:rsid w:val="00F90610"/>
    <w:rsid w:val="00F974D2"/>
    <w:rsid w:val="00FA02EA"/>
    <w:rsid w:val="00F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7F"/>
  </w:style>
  <w:style w:type="paragraph" w:styleId="Heading1">
    <w:name w:val="heading 1"/>
    <w:basedOn w:val="Normal"/>
    <w:next w:val="Normal"/>
    <w:link w:val="Heading1Char"/>
    <w:qFormat/>
    <w:rsid w:val="00461711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461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461711"/>
    <w:pPr>
      <w:spacing w:after="240"/>
      <w:ind w:left="720" w:right="720"/>
    </w:pPr>
  </w:style>
  <w:style w:type="character" w:customStyle="1" w:styleId="Heading1Char">
    <w:name w:val="Heading 1 Char"/>
    <w:basedOn w:val="DefaultParagraphFont"/>
    <w:link w:val="Heading1"/>
    <w:rsid w:val="00461711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paragraph" w:styleId="Header">
    <w:name w:val="header"/>
    <w:basedOn w:val="Normal"/>
    <w:link w:val="HeaderChar"/>
    <w:unhideWhenUsed/>
    <w:rsid w:val="00BB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BC9"/>
  </w:style>
  <w:style w:type="paragraph" w:styleId="Footer">
    <w:name w:val="footer"/>
    <w:basedOn w:val="Normal"/>
    <w:link w:val="FooterChar"/>
    <w:uiPriority w:val="99"/>
    <w:unhideWhenUsed/>
    <w:rsid w:val="00BB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BC9"/>
  </w:style>
  <w:style w:type="character" w:customStyle="1" w:styleId="highlight1">
    <w:name w:val="highlight1"/>
    <w:basedOn w:val="DefaultParagraphFont"/>
    <w:rsid w:val="00296FC2"/>
    <w:rPr>
      <w:b/>
      <w:bCs/>
    </w:rPr>
  </w:style>
  <w:style w:type="paragraph" w:customStyle="1" w:styleId="H4">
    <w:name w:val="H4"/>
    <w:aliases w:val="1.1.1.1"/>
    <w:next w:val="T"/>
    <w:uiPriority w:val="99"/>
    <w:rsid w:val="006326E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6326E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326E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rsid w:val="00006EA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006EAA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006EA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06EAA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006EA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006EA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4836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4836F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25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7B1D7-4A2B-4BFB-8738-32702939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Cai</dc:creator>
  <cp:lastModifiedBy>G00725861</cp:lastModifiedBy>
  <cp:revision>8</cp:revision>
  <dcterms:created xsi:type="dcterms:W3CDTF">2014-11-03T15:17:00Z</dcterms:created>
  <dcterms:modified xsi:type="dcterms:W3CDTF">2014-11-03T15:59:00Z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(1)NToEht6beVB4WH+ImhSzAEC23R/PZRR/JkniQESgUeYkfWenOyb5nW6l37+YA175Odpd0vsx_x000d_
svAcI8niY4iXd+X1EyjAX1BmPAOahhLqDqbffhzTIQR/N33PL0gfbebA65qLYf53Crg8Umkw_x000d_
B/HU1TMWmJq/3J6JsbDt2wBg8Dc=</vt:lpwstr>
  </property>
  <property fmtid="{D5CDD505-2E9C-101B-9397-08002B2CF9AE}" pid="3" name="sflag">
    <vt:lpwstr>1414443402</vt:lpwstr>
  </property>
</Properties>
</file>