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06"/>
        <w:gridCol w:w="1530"/>
        <w:gridCol w:w="2375"/>
      </w:tblGrid>
      <w:tr w:rsidR="00CA09B2" w:rsidTr="00A0234F">
        <w:trPr>
          <w:trHeight w:val="485"/>
          <w:jc w:val="center"/>
        </w:trPr>
        <w:tc>
          <w:tcPr>
            <w:tcW w:w="8711" w:type="dxa"/>
            <w:gridSpan w:val="5"/>
            <w:vAlign w:val="center"/>
          </w:tcPr>
          <w:p w:rsidR="00CA09B2" w:rsidRDefault="00A0234F">
            <w:pPr>
              <w:pStyle w:val="T2"/>
            </w:pPr>
            <w:r>
              <w:t>Comment Collection 09 MAC CIDs (Comment Resolutions for CC09)</w:t>
            </w:r>
          </w:p>
        </w:tc>
      </w:tr>
      <w:tr w:rsidR="00CA09B2" w:rsidTr="00A0234F">
        <w:trPr>
          <w:trHeight w:val="359"/>
          <w:jc w:val="center"/>
        </w:trPr>
        <w:tc>
          <w:tcPr>
            <w:tcW w:w="8711" w:type="dxa"/>
            <w:gridSpan w:val="5"/>
            <w:vAlign w:val="center"/>
          </w:tcPr>
          <w:p w:rsidR="00CA09B2" w:rsidRDefault="00CA09B2" w:rsidP="00A31110">
            <w:pPr>
              <w:pStyle w:val="T2"/>
              <w:ind w:left="0"/>
              <w:rPr>
                <w:sz w:val="20"/>
              </w:rPr>
            </w:pPr>
            <w:r>
              <w:rPr>
                <w:sz w:val="20"/>
              </w:rPr>
              <w:t>Date:</w:t>
            </w:r>
            <w:r>
              <w:rPr>
                <w:b w:val="0"/>
                <w:sz w:val="20"/>
              </w:rPr>
              <w:t xml:space="preserve">  </w:t>
            </w:r>
            <w:r w:rsidR="00A0234F">
              <w:rPr>
                <w:b w:val="0"/>
                <w:sz w:val="20"/>
              </w:rPr>
              <w:t>2013</w:t>
            </w:r>
            <w:r>
              <w:rPr>
                <w:b w:val="0"/>
                <w:sz w:val="20"/>
              </w:rPr>
              <w:t>-</w:t>
            </w:r>
            <w:r w:rsidR="00A31110">
              <w:rPr>
                <w:b w:val="0"/>
                <w:sz w:val="20"/>
              </w:rPr>
              <w:t>September</w:t>
            </w:r>
            <w:r>
              <w:rPr>
                <w:b w:val="0"/>
                <w:sz w:val="20"/>
              </w:rPr>
              <w:t>-</w:t>
            </w:r>
            <w:r w:rsidR="00A31110">
              <w:rPr>
                <w:b w:val="0"/>
                <w:sz w:val="20"/>
              </w:rPr>
              <w:t>15</w:t>
            </w:r>
          </w:p>
        </w:tc>
      </w:tr>
      <w:tr w:rsidR="00CA09B2" w:rsidTr="00A0234F">
        <w:trPr>
          <w:cantSplit/>
          <w:jc w:val="center"/>
        </w:trPr>
        <w:tc>
          <w:tcPr>
            <w:tcW w:w="8711" w:type="dxa"/>
            <w:gridSpan w:val="5"/>
            <w:vAlign w:val="center"/>
          </w:tcPr>
          <w:p w:rsidR="00CA09B2" w:rsidRDefault="00CA09B2">
            <w:pPr>
              <w:pStyle w:val="T2"/>
              <w:spacing w:after="0"/>
              <w:ind w:left="0" w:right="0"/>
              <w:jc w:val="left"/>
              <w:rPr>
                <w:sz w:val="20"/>
              </w:rPr>
            </w:pPr>
            <w:r>
              <w:rPr>
                <w:sz w:val="20"/>
              </w:rPr>
              <w:t>Author(s):</w:t>
            </w:r>
          </w:p>
        </w:tc>
      </w:tr>
      <w:tr w:rsidR="00CA09B2" w:rsidTr="00A0234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1406"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375" w:type="dxa"/>
            <w:vAlign w:val="center"/>
          </w:tcPr>
          <w:p w:rsidR="00CA09B2" w:rsidRDefault="00CA09B2">
            <w:pPr>
              <w:pStyle w:val="T2"/>
              <w:spacing w:after="0"/>
              <w:ind w:left="0" w:right="0"/>
              <w:jc w:val="left"/>
              <w:rPr>
                <w:sz w:val="20"/>
              </w:rPr>
            </w:pPr>
            <w:r>
              <w:rPr>
                <w:sz w:val="20"/>
              </w:rPr>
              <w:t>email</w:t>
            </w:r>
          </w:p>
        </w:tc>
      </w:tr>
      <w:tr w:rsidR="00CA09B2" w:rsidTr="00A0234F">
        <w:trPr>
          <w:jc w:val="center"/>
        </w:trPr>
        <w:tc>
          <w:tcPr>
            <w:tcW w:w="1336" w:type="dxa"/>
            <w:vAlign w:val="center"/>
          </w:tcPr>
          <w:p w:rsidR="00CA09B2" w:rsidRDefault="00386140" w:rsidP="00283AD2">
            <w:pPr>
              <w:pStyle w:val="T2"/>
              <w:spacing w:after="0"/>
              <w:ind w:left="0" w:right="0"/>
              <w:rPr>
                <w:b w:val="0"/>
                <w:sz w:val="20"/>
              </w:rPr>
            </w:pPr>
            <w:r>
              <w:rPr>
                <w:b w:val="0"/>
                <w:sz w:val="20"/>
              </w:rPr>
              <w:t>Jianhan Liu</w:t>
            </w:r>
          </w:p>
        </w:tc>
        <w:tc>
          <w:tcPr>
            <w:tcW w:w="2064" w:type="dxa"/>
            <w:vAlign w:val="center"/>
          </w:tcPr>
          <w:p w:rsidR="00CA09B2" w:rsidRDefault="00386140">
            <w:pPr>
              <w:pStyle w:val="T2"/>
              <w:spacing w:after="0"/>
              <w:ind w:left="0" w:right="0"/>
              <w:rPr>
                <w:b w:val="0"/>
                <w:sz w:val="20"/>
              </w:rPr>
            </w:pPr>
            <w:r>
              <w:rPr>
                <w:b w:val="0"/>
                <w:sz w:val="20"/>
              </w:rPr>
              <w:t>Mediatek Inc.</w:t>
            </w:r>
          </w:p>
        </w:tc>
        <w:tc>
          <w:tcPr>
            <w:tcW w:w="1406" w:type="dxa"/>
            <w:vAlign w:val="center"/>
          </w:tcPr>
          <w:p w:rsidR="00CA09B2" w:rsidRDefault="00CA09B2">
            <w:pPr>
              <w:pStyle w:val="T2"/>
              <w:spacing w:after="0"/>
              <w:ind w:left="0" w:right="0"/>
              <w:rPr>
                <w:b w:val="0"/>
                <w:sz w:val="20"/>
              </w:rPr>
            </w:pPr>
          </w:p>
        </w:tc>
        <w:tc>
          <w:tcPr>
            <w:tcW w:w="1530" w:type="dxa"/>
            <w:vAlign w:val="center"/>
          </w:tcPr>
          <w:p w:rsidR="00CA09B2" w:rsidRDefault="00CA09B2">
            <w:pPr>
              <w:pStyle w:val="T2"/>
              <w:spacing w:after="0"/>
              <w:ind w:left="0" w:right="0"/>
              <w:rPr>
                <w:b w:val="0"/>
                <w:sz w:val="20"/>
              </w:rPr>
            </w:pPr>
          </w:p>
        </w:tc>
        <w:tc>
          <w:tcPr>
            <w:tcW w:w="2375" w:type="dxa"/>
            <w:vAlign w:val="center"/>
          </w:tcPr>
          <w:p w:rsidR="00CA09B2" w:rsidRDefault="00386140" w:rsidP="00386140">
            <w:pPr>
              <w:pStyle w:val="T2"/>
              <w:spacing w:after="0"/>
              <w:ind w:left="0" w:right="0"/>
              <w:rPr>
                <w:b w:val="0"/>
                <w:sz w:val="16"/>
              </w:rPr>
            </w:pPr>
            <w:r>
              <w:rPr>
                <w:b w:val="0"/>
                <w:sz w:val="16"/>
              </w:rPr>
              <w:t>Jianhan.liu</w:t>
            </w:r>
            <w:r w:rsidR="00A0234F">
              <w:rPr>
                <w:b w:val="0"/>
                <w:sz w:val="16"/>
              </w:rPr>
              <w:t>@</w:t>
            </w:r>
            <w:r>
              <w:rPr>
                <w:b w:val="0"/>
                <w:sz w:val="16"/>
              </w:rPr>
              <w:t>mediatek</w:t>
            </w:r>
            <w:r w:rsidR="00A0234F">
              <w:rPr>
                <w:b w:val="0"/>
                <w:sz w:val="16"/>
              </w:rPr>
              <w:t>.com</w:t>
            </w:r>
          </w:p>
        </w:tc>
      </w:tr>
      <w:tr w:rsidR="00CA09B2" w:rsidTr="00A0234F">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1406" w:type="dxa"/>
            <w:vAlign w:val="center"/>
          </w:tcPr>
          <w:p w:rsidR="00CA09B2" w:rsidRDefault="00CA09B2">
            <w:pPr>
              <w:pStyle w:val="T2"/>
              <w:spacing w:after="0"/>
              <w:ind w:left="0" w:right="0"/>
              <w:rPr>
                <w:b w:val="0"/>
                <w:sz w:val="20"/>
              </w:rPr>
            </w:pPr>
          </w:p>
        </w:tc>
        <w:tc>
          <w:tcPr>
            <w:tcW w:w="1530" w:type="dxa"/>
            <w:vAlign w:val="center"/>
          </w:tcPr>
          <w:p w:rsidR="00CA09B2" w:rsidRDefault="00CA09B2">
            <w:pPr>
              <w:pStyle w:val="T2"/>
              <w:spacing w:after="0"/>
              <w:ind w:left="0" w:right="0"/>
              <w:rPr>
                <w:b w:val="0"/>
                <w:sz w:val="20"/>
              </w:rPr>
            </w:pPr>
          </w:p>
        </w:tc>
        <w:tc>
          <w:tcPr>
            <w:tcW w:w="2375" w:type="dxa"/>
            <w:vAlign w:val="center"/>
          </w:tcPr>
          <w:p w:rsidR="00CA09B2" w:rsidRDefault="00CA09B2">
            <w:pPr>
              <w:pStyle w:val="T2"/>
              <w:spacing w:after="0"/>
              <w:ind w:left="0" w:right="0"/>
              <w:rPr>
                <w:b w:val="0"/>
                <w:sz w:val="16"/>
              </w:rPr>
            </w:pPr>
          </w:p>
        </w:tc>
      </w:tr>
    </w:tbl>
    <w:p w:rsidR="00CA09B2" w:rsidRDefault="004050C0">
      <w:pPr>
        <w:pStyle w:val="T1"/>
        <w:spacing w:after="120"/>
        <w:rPr>
          <w:sz w:val="22"/>
        </w:rPr>
      </w:pPr>
      <w:r w:rsidRPr="004050C0">
        <w:rPr>
          <w:noProof/>
          <w:lang w:val="en-US" w:eastAsia="ko-KR"/>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736CE" w:rsidRDefault="00C736CE">
                  <w:pPr>
                    <w:pStyle w:val="T1"/>
                    <w:spacing w:after="120"/>
                  </w:pPr>
                  <w:r>
                    <w:t>Abstract</w:t>
                  </w:r>
                </w:p>
                <w:p w:rsidR="006A3706" w:rsidRDefault="00C736CE" w:rsidP="006A3706">
                  <w:pPr>
                    <w:jc w:val="both"/>
                  </w:pPr>
                  <w:r>
                    <w:t>This document provides resolutions for CIDs</w:t>
                  </w:r>
                  <w:r w:rsidR="006A3706">
                    <w:t xml:space="preserve"> in </w:t>
                  </w:r>
                  <w:proofErr w:type="spellStart"/>
                  <w:r w:rsidR="006A3706">
                    <w:t>subclause</w:t>
                  </w:r>
                  <w:proofErr w:type="spellEnd"/>
                  <w:r w:rsidR="006A3706">
                    <w:t xml:space="preserve"> </w:t>
                  </w:r>
                  <w:r w:rsidR="00CA6BD3">
                    <w:rPr>
                      <w:rFonts w:ascii="Arial-BoldMT" w:hAnsi="Arial-BoldMT" w:cs="Arial-BoldMT"/>
                      <w:b/>
                      <w:bCs/>
                      <w:sz w:val="20"/>
                      <w:lang w:val="en-US" w:eastAsia="ko-KR"/>
                    </w:rPr>
                    <w:t>8.4.2.170a</w:t>
                  </w:r>
                  <w:r>
                    <w:t xml:space="preserve">: </w:t>
                  </w:r>
                </w:p>
                <w:p w:rsidR="006A3706" w:rsidRDefault="00205684" w:rsidP="006A3706">
                  <w:pPr>
                    <w:pStyle w:val="ListParagraph"/>
                    <w:numPr>
                      <w:ilvl w:val="0"/>
                      <w:numId w:val="9"/>
                    </w:numPr>
                    <w:jc w:val="both"/>
                  </w:pPr>
                  <w:r>
                    <w:t>CID418, CID903</w:t>
                  </w:r>
                </w:p>
                <w:p w:rsidR="00D26EF1" w:rsidRDefault="00D26EF1" w:rsidP="00205684">
                  <w:pPr>
                    <w:jc w:val="both"/>
                  </w:pPr>
                </w:p>
                <w:p w:rsidR="006A3706" w:rsidRDefault="006A3706" w:rsidP="00D13B35">
                  <w:pPr>
                    <w:jc w:val="both"/>
                  </w:pPr>
                </w:p>
              </w:txbxContent>
            </v:textbox>
          </v:shape>
        </w:pict>
      </w:r>
    </w:p>
    <w:p w:rsidR="00CA09B2" w:rsidRDefault="00CA09B2" w:rsidP="001D7B22">
      <w:r>
        <w:br w:type="page"/>
      </w:r>
    </w:p>
    <w:p w:rsidR="00AA26E5" w:rsidRDefault="00AA26E5"/>
    <w:p w:rsidR="00AA26E5" w:rsidRDefault="00AA26E5"/>
    <w:tbl>
      <w:tblPr>
        <w:tblStyle w:val="TableGrid"/>
        <w:tblW w:w="9213" w:type="dxa"/>
        <w:tblLayout w:type="fixed"/>
        <w:tblLook w:val="04A0"/>
      </w:tblPr>
      <w:tblGrid>
        <w:gridCol w:w="561"/>
        <w:gridCol w:w="717"/>
        <w:gridCol w:w="628"/>
        <w:gridCol w:w="812"/>
        <w:gridCol w:w="1880"/>
        <w:gridCol w:w="2530"/>
        <w:gridCol w:w="2085"/>
      </w:tblGrid>
      <w:tr w:rsidR="007349B0" w:rsidRPr="002B361D" w:rsidTr="0086211B">
        <w:trPr>
          <w:trHeight w:val="20"/>
        </w:trPr>
        <w:tc>
          <w:tcPr>
            <w:tcW w:w="561" w:type="dxa"/>
            <w:shd w:val="clear" w:color="auto" w:fill="D9D9D9" w:themeFill="background1" w:themeFillShade="D9"/>
            <w:hideMark/>
          </w:tcPr>
          <w:p w:rsidR="007349B0" w:rsidRPr="002B361D" w:rsidRDefault="007349B0" w:rsidP="006538D2">
            <w:pPr>
              <w:rPr>
                <w:rFonts w:ascii="Arial" w:hAnsi="Arial" w:cs="Arial"/>
                <w:b/>
                <w:bCs/>
                <w:sz w:val="20"/>
                <w:lang w:val="en-US" w:eastAsia="ko-KR"/>
              </w:rPr>
            </w:pPr>
            <w:r w:rsidRPr="002B361D">
              <w:rPr>
                <w:rFonts w:ascii="Arial" w:hAnsi="Arial" w:cs="Arial"/>
                <w:b/>
                <w:bCs/>
                <w:sz w:val="20"/>
                <w:lang w:val="en-US" w:eastAsia="ko-KR"/>
              </w:rPr>
              <w:t>CID</w:t>
            </w:r>
          </w:p>
        </w:tc>
        <w:tc>
          <w:tcPr>
            <w:tcW w:w="717" w:type="dxa"/>
            <w:shd w:val="clear" w:color="auto" w:fill="D9D9D9" w:themeFill="background1" w:themeFillShade="D9"/>
            <w:hideMark/>
          </w:tcPr>
          <w:p w:rsidR="007349B0" w:rsidRPr="002B361D" w:rsidRDefault="007349B0" w:rsidP="006538D2">
            <w:pPr>
              <w:rPr>
                <w:rFonts w:ascii="Arial" w:hAnsi="Arial" w:cs="Arial"/>
                <w:b/>
                <w:bCs/>
                <w:sz w:val="20"/>
                <w:lang w:val="en-US" w:eastAsia="ko-KR"/>
              </w:rPr>
            </w:pPr>
            <w:r>
              <w:rPr>
                <w:rFonts w:ascii="Arial" w:hAnsi="Arial" w:cs="Arial"/>
                <w:b/>
                <w:bCs/>
                <w:sz w:val="20"/>
                <w:lang w:val="en-US" w:eastAsia="ko-KR"/>
              </w:rPr>
              <w:t>Page</w:t>
            </w:r>
            <w:r w:rsidRPr="002B361D">
              <w:rPr>
                <w:rFonts w:ascii="Arial" w:hAnsi="Arial" w:cs="Arial"/>
                <w:b/>
                <w:bCs/>
                <w:sz w:val="20"/>
                <w:lang w:val="en-US" w:eastAsia="ko-KR"/>
              </w:rPr>
              <w:t xml:space="preserve"> </w:t>
            </w:r>
          </w:p>
        </w:tc>
        <w:tc>
          <w:tcPr>
            <w:tcW w:w="628" w:type="dxa"/>
            <w:shd w:val="clear" w:color="auto" w:fill="D9D9D9" w:themeFill="background1" w:themeFillShade="D9"/>
            <w:hideMark/>
          </w:tcPr>
          <w:p w:rsidR="007349B0" w:rsidRPr="002B361D" w:rsidRDefault="007349B0" w:rsidP="006538D2">
            <w:pPr>
              <w:rPr>
                <w:rFonts w:ascii="Arial" w:hAnsi="Arial" w:cs="Arial"/>
                <w:b/>
                <w:bCs/>
                <w:sz w:val="20"/>
                <w:lang w:val="en-US" w:eastAsia="ko-KR"/>
              </w:rPr>
            </w:pPr>
            <w:r>
              <w:rPr>
                <w:rFonts w:ascii="Arial" w:hAnsi="Arial" w:cs="Arial"/>
                <w:b/>
                <w:bCs/>
                <w:sz w:val="20"/>
                <w:lang w:val="en-US" w:eastAsia="ko-KR"/>
              </w:rPr>
              <w:t>Line</w:t>
            </w:r>
          </w:p>
        </w:tc>
        <w:tc>
          <w:tcPr>
            <w:tcW w:w="812" w:type="dxa"/>
            <w:shd w:val="clear" w:color="auto" w:fill="D9D9D9" w:themeFill="background1" w:themeFillShade="D9"/>
            <w:hideMark/>
          </w:tcPr>
          <w:p w:rsidR="007349B0" w:rsidRPr="002B361D" w:rsidRDefault="007349B0" w:rsidP="006538D2">
            <w:pPr>
              <w:rPr>
                <w:rFonts w:ascii="Arial" w:hAnsi="Arial" w:cs="Arial"/>
                <w:b/>
                <w:bCs/>
                <w:sz w:val="20"/>
                <w:lang w:val="en-US" w:eastAsia="ko-KR"/>
              </w:rPr>
            </w:pPr>
            <w:r>
              <w:rPr>
                <w:rFonts w:ascii="Arial" w:hAnsi="Arial" w:cs="Arial"/>
                <w:b/>
                <w:bCs/>
                <w:sz w:val="20"/>
                <w:lang w:val="en-US" w:eastAsia="ko-KR"/>
              </w:rPr>
              <w:t>Clause</w:t>
            </w:r>
          </w:p>
        </w:tc>
        <w:tc>
          <w:tcPr>
            <w:tcW w:w="1880" w:type="dxa"/>
            <w:shd w:val="clear" w:color="auto" w:fill="D9D9D9" w:themeFill="background1" w:themeFillShade="D9"/>
            <w:hideMark/>
          </w:tcPr>
          <w:p w:rsidR="007349B0" w:rsidRPr="002B361D" w:rsidRDefault="007349B0" w:rsidP="006538D2">
            <w:pPr>
              <w:rPr>
                <w:rFonts w:ascii="Arial" w:hAnsi="Arial" w:cs="Arial"/>
                <w:b/>
                <w:bCs/>
                <w:sz w:val="20"/>
                <w:lang w:val="en-US" w:eastAsia="ko-KR"/>
              </w:rPr>
            </w:pPr>
            <w:r w:rsidRPr="002B361D">
              <w:rPr>
                <w:rFonts w:ascii="Arial" w:hAnsi="Arial" w:cs="Arial"/>
                <w:b/>
                <w:bCs/>
                <w:sz w:val="20"/>
                <w:lang w:val="en-US" w:eastAsia="ko-KR"/>
              </w:rPr>
              <w:t>Comment</w:t>
            </w:r>
          </w:p>
        </w:tc>
        <w:tc>
          <w:tcPr>
            <w:tcW w:w="2530" w:type="dxa"/>
            <w:shd w:val="clear" w:color="auto" w:fill="D9D9D9" w:themeFill="background1" w:themeFillShade="D9"/>
            <w:hideMark/>
          </w:tcPr>
          <w:p w:rsidR="007349B0" w:rsidRPr="002B361D" w:rsidRDefault="007349B0" w:rsidP="006538D2">
            <w:pPr>
              <w:rPr>
                <w:rFonts w:ascii="Arial" w:hAnsi="Arial" w:cs="Arial"/>
                <w:b/>
                <w:bCs/>
                <w:sz w:val="20"/>
                <w:lang w:val="en-US" w:eastAsia="ko-KR"/>
              </w:rPr>
            </w:pPr>
            <w:r w:rsidRPr="002B361D">
              <w:rPr>
                <w:rFonts w:ascii="Arial" w:hAnsi="Arial" w:cs="Arial"/>
                <w:b/>
                <w:bCs/>
                <w:sz w:val="20"/>
                <w:lang w:val="en-US" w:eastAsia="ko-KR"/>
              </w:rPr>
              <w:t>Proposed Change</w:t>
            </w:r>
          </w:p>
        </w:tc>
        <w:tc>
          <w:tcPr>
            <w:tcW w:w="2085" w:type="dxa"/>
            <w:shd w:val="clear" w:color="auto" w:fill="D9D9D9" w:themeFill="background1" w:themeFillShade="D9"/>
            <w:hideMark/>
          </w:tcPr>
          <w:p w:rsidR="007349B0" w:rsidRPr="002B361D" w:rsidRDefault="007349B0" w:rsidP="006538D2">
            <w:pPr>
              <w:rPr>
                <w:rFonts w:ascii="Arial" w:hAnsi="Arial" w:cs="Arial"/>
                <w:b/>
                <w:bCs/>
                <w:sz w:val="20"/>
                <w:lang w:val="en-US" w:eastAsia="ko-KR"/>
              </w:rPr>
            </w:pPr>
            <w:r w:rsidRPr="002B361D">
              <w:rPr>
                <w:rFonts w:ascii="Arial" w:hAnsi="Arial" w:cs="Arial"/>
                <w:b/>
                <w:bCs/>
                <w:sz w:val="20"/>
                <w:lang w:val="en-US" w:eastAsia="ko-KR"/>
              </w:rPr>
              <w:t>Resolution</w:t>
            </w:r>
          </w:p>
        </w:tc>
      </w:tr>
      <w:tr w:rsidR="007349B0" w:rsidRPr="00F9558B" w:rsidTr="0086211B">
        <w:trPr>
          <w:trHeight w:val="20"/>
        </w:trPr>
        <w:tc>
          <w:tcPr>
            <w:tcW w:w="561" w:type="dxa"/>
          </w:tcPr>
          <w:p w:rsidR="007349B0" w:rsidRPr="00ED32D0" w:rsidRDefault="007349B0" w:rsidP="00C736CE">
            <w:pPr>
              <w:jc w:val="right"/>
              <w:rPr>
                <w:rFonts w:ascii="Arial" w:hAnsi="Arial" w:cs="Arial"/>
                <w:sz w:val="20"/>
                <w:lang w:val="en-US" w:eastAsia="ko-KR"/>
              </w:rPr>
            </w:pPr>
            <w:r>
              <w:rPr>
                <w:rFonts w:ascii="Arial" w:hAnsi="Arial" w:cs="Arial"/>
                <w:sz w:val="20"/>
                <w:lang w:val="en-US" w:eastAsia="ko-KR"/>
              </w:rPr>
              <w:t>418</w:t>
            </w:r>
          </w:p>
        </w:tc>
        <w:tc>
          <w:tcPr>
            <w:tcW w:w="717" w:type="dxa"/>
          </w:tcPr>
          <w:p w:rsidR="007349B0" w:rsidRPr="00ED32D0" w:rsidRDefault="007349B0" w:rsidP="00C736CE">
            <w:pPr>
              <w:jc w:val="right"/>
              <w:rPr>
                <w:rFonts w:ascii="Arial" w:hAnsi="Arial" w:cs="Arial"/>
                <w:sz w:val="20"/>
                <w:lang w:val="en-US" w:eastAsia="ko-KR"/>
              </w:rPr>
            </w:pPr>
            <w:r>
              <w:rPr>
                <w:rFonts w:ascii="Arial" w:hAnsi="Arial" w:cs="Arial"/>
                <w:sz w:val="20"/>
                <w:lang w:val="en-US" w:eastAsia="ko-KR"/>
              </w:rPr>
              <w:t>76</w:t>
            </w:r>
          </w:p>
        </w:tc>
        <w:tc>
          <w:tcPr>
            <w:tcW w:w="628" w:type="dxa"/>
          </w:tcPr>
          <w:p w:rsidR="007349B0" w:rsidRPr="00ED32D0" w:rsidRDefault="007349B0" w:rsidP="00C736CE">
            <w:pPr>
              <w:rPr>
                <w:rFonts w:ascii="Arial" w:hAnsi="Arial" w:cs="Arial"/>
                <w:sz w:val="20"/>
                <w:lang w:val="en-US" w:eastAsia="ko-KR"/>
              </w:rPr>
            </w:pPr>
            <w:r w:rsidRPr="00E31F91">
              <w:rPr>
                <w:rFonts w:ascii="Arial" w:hAnsi="Arial" w:cs="Arial"/>
                <w:sz w:val="20"/>
                <w:lang w:val="en-US" w:eastAsia="ko-KR"/>
              </w:rPr>
              <w:t>12</w:t>
            </w:r>
          </w:p>
        </w:tc>
        <w:tc>
          <w:tcPr>
            <w:tcW w:w="812" w:type="dxa"/>
          </w:tcPr>
          <w:p w:rsidR="007349B0" w:rsidRPr="00ED32D0" w:rsidRDefault="007349B0" w:rsidP="00C736CE">
            <w:pPr>
              <w:rPr>
                <w:rFonts w:ascii="Arial" w:hAnsi="Arial" w:cs="Arial"/>
                <w:sz w:val="20"/>
                <w:lang w:val="en-US" w:eastAsia="ko-KR"/>
              </w:rPr>
            </w:pPr>
            <w:r w:rsidRPr="00ED32D0">
              <w:rPr>
                <w:rFonts w:ascii="Arial" w:hAnsi="Arial" w:cs="Arial"/>
                <w:sz w:val="20"/>
                <w:lang w:val="en-US" w:eastAsia="ko-KR"/>
              </w:rPr>
              <w:t>8.4.2.</w:t>
            </w:r>
            <w:r>
              <w:rPr>
                <w:rFonts w:ascii="Arial" w:hAnsi="Arial" w:cs="Arial"/>
                <w:sz w:val="20"/>
                <w:lang w:val="en-US" w:eastAsia="ko-KR"/>
              </w:rPr>
              <w:t>1</w:t>
            </w:r>
            <w:r w:rsidRPr="00ED32D0">
              <w:rPr>
                <w:rFonts w:ascii="Arial" w:hAnsi="Arial" w:cs="Arial"/>
                <w:sz w:val="20"/>
                <w:lang w:val="en-US" w:eastAsia="ko-KR"/>
              </w:rPr>
              <w:t>7</w:t>
            </w:r>
            <w:r>
              <w:rPr>
                <w:rFonts w:ascii="Arial" w:hAnsi="Arial" w:cs="Arial"/>
                <w:sz w:val="20"/>
                <w:lang w:val="en-US" w:eastAsia="ko-KR"/>
              </w:rPr>
              <w:t>0a</w:t>
            </w:r>
          </w:p>
        </w:tc>
        <w:tc>
          <w:tcPr>
            <w:tcW w:w="1880" w:type="dxa"/>
          </w:tcPr>
          <w:p w:rsidR="007349B0" w:rsidRPr="00ED32D0" w:rsidRDefault="007349B0" w:rsidP="00C736CE">
            <w:pPr>
              <w:rPr>
                <w:rFonts w:ascii="Arial" w:hAnsi="Arial" w:cs="Arial"/>
                <w:sz w:val="20"/>
                <w:lang w:val="en-US" w:eastAsia="ko-KR"/>
              </w:rPr>
            </w:pPr>
            <w:r w:rsidRPr="007349B0">
              <w:rPr>
                <w:rFonts w:ascii="Arial" w:hAnsi="Arial" w:cs="Arial"/>
                <w:sz w:val="20"/>
                <w:lang w:val="en-US" w:eastAsia="ko-KR"/>
              </w:rPr>
              <w:t>Open-link margin is desirable to be defined per each sub-channel because each coverage depending on the BW is also useful</w:t>
            </w:r>
          </w:p>
        </w:tc>
        <w:tc>
          <w:tcPr>
            <w:tcW w:w="2530" w:type="dxa"/>
          </w:tcPr>
          <w:p w:rsidR="007349B0" w:rsidRPr="00ED32D0" w:rsidRDefault="007349B0" w:rsidP="00C736CE">
            <w:pPr>
              <w:rPr>
                <w:rFonts w:ascii="Arial" w:hAnsi="Arial" w:cs="Arial"/>
                <w:sz w:val="20"/>
                <w:lang w:val="en-US" w:eastAsia="ko-KR"/>
              </w:rPr>
            </w:pPr>
            <w:r>
              <w:rPr>
                <w:rFonts w:ascii="Arial" w:hAnsi="Arial" w:cs="Arial"/>
                <w:sz w:val="20"/>
                <w:lang w:val="en-US" w:eastAsia="ko-KR"/>
              </w:rPr>
              <w:t>As in comments.</w:t>
            </w:r>
          </w:p>
        </w:tc>
        <w:tc>
          <w:tcPr>
            <w:tcW w:w="2085" w:type="dxa"/>
          </w:tcPr>
          <w:p w:rsidR="007349B0" w:rsidRDefault="007349B0" w:rsidP="007349B0">
            <w:pPr>
              <w:rPr>
                <w:rFonts w:ascii="Arial" w:hAnsi="Arial" w:cs="Arial"/>
                <w:sz w:val="20"/>
                <w:lang w:val="en-US" w:eastAsia="ko-KR"/>
              </w:rPr>
            </w:pPr>
            <w:r>
              <w:rPr>
                <w:rFonts w:ascii="Arial" w:hAnsi="Arial" w:cs="Arial"/>
                <w:sz w:val="20"/>
                <w:lang w:val="en-US" w:eastAsia="ko-KR"/>
              </w:rPr>
              <w:t>Reject:</w:t>
            </w:r>
          </w:p>
          <w:p w:rsidR="00A65D29" w:rsidRDefault="00A65D29" w:rsidP="007349B0">
            <w:pPr>
              <w:rPr>
                <w:rFonts w:ascii="Arial" w:hAnsi="Arial" w:cs="Arial"/>
                <w:sz w:val="20"/>
                <w:lang w:val="en-US" w:eastAsia="ko-KR"/>
              </w:rPr>
            </w:pPr>
          </w:p>
          <w:p w:rsidR="00A65D29" w:rsidRPr="00A43309" w:rsidRDefault="0075707D" w:rsidP="0075707D">
            <w:pPr>
              <w:rPr>
                <w:rFonts w:ascii="Arial" w:hAnsi="Arial" w:cs="Arial"/>
                <w:sz w:val="20"/>
                <w:lang w:val="en-US" w:eastAsia="ko-KR"/>
              </w:rPr>
            </w:pPr>
            <w:r>
              <w:rPr>
                <w:rFonts w:ascii="Arial" w:hAnsi="Arial" w:cs="Arial"/>
                <w:sz w:val="20"/>
                <w:lang w:eastAsia="ko-KR"/>
              </w:rPr>
              <w:t>Discussions</w:t>
            </w:r>
            <w:r w:rsidR="00A65D29">
              <w:rPr>
                <w:rFonts w:ascii="Arial" w:hAnsi="Arial" w:cs="Arial"/>
                <w:sz w:val="20"/>
                <w:lang w:eastAsia="ko-KR"/>
              </w:rPr>
              <w:t xml:space="preserve"> are included in the following context.</w:t>
            </w:r>
          </w:p>
        </w:tc>
      </w:tr>
      <w:tr w:rsidR="007349B0" w:rsidRPr="00F9558B" w:rsidTr="0086211B">
        <w:trPr>
          <w:trHeight w:val="20"/>
        </w:trPr>
        <w:tc>
          <w:tcPr>
            <w:tcW w:w="561" w:type="dxa"/>
          </w:tcPr>
          <w:p w:rsidR="007349B0" w:rsidRPr="00ED32D0" w:rsidRDefault="007349B0" w:rsidP="00C736CE">
            <w:pPr>
              <w:jc w:val="right"/>
              <w:rPr>
                <w:rFonts w:ascii="Arial" w:hAnsi="Arial" w:cs="Arial"/>
                <w:sz w:val="20"/>
                <w:lang w:val="en-US" w:eastAsia="ko-KR"/>
              </w:rPr>
            </w:pPr>
            <w:r>
              <w:rPr>
                <w:rFonts w:ascii="Arial" w:hAnsi="Arial" w:cs="Arial"/>
                <w:sz w:val="20"/>
                <w:lang w:val="en-US" w:eastAsia="ko-KR"/>
              </w:rPr>
              <w:t>903</w:t>
            </w:r>
          </w:p>
        </w:tc>
        <w:tc>
          <w:tcPr>
            <w:tcW w:w="717" w:type="dxa"/>
          </w:tcPr>
          <w:p w:rsidR="007349B0" w:rsidRPr="00ED32D0" w:rsidRDefault="007349B0" w:rsidP="00C736CE">
            <w:pPr>
              <w:jc w:val="right"/>
              <w:rPr>
                <w:rFonts w:ascii="Arial" w:hAnsi="Arial" w:cs="Arial"/>
                <w:sz w:val="20"/>
                <w:lang w:val="en-US" w:eastAsia="ko-KR"/>
              </w:rPr>
            </w:pPr>
            <w:r>
              <w:rPr>
                <w:rFonts w:ascii="Arial" w:hAnsi="Arial" w:cs="Arial"/>
                <w:sz w:val="20"/>
                <w:lang w:val="en-US" w:eastAsia="ko-KR"/>
              </w:rPr>
              <w:t>76</w:t>
            </w:r>
          </w:p>
        </w:tc>
        <w:tc>
          <w:tcPr>
            <w:tcW w:w="628" w:type="dxa"/>
          </w:tcPr>
          <w:p w:rsidR="007349B0" w:rsidRPr="00ED32D0" w:rsidRDefault="007349B0" w:rsidP="00C736CE">
            <w:pPr>
              <w:rPr>
                <w:rFonts w:ascii="Arial" w:hAnsi="Arial" w:cs="Arial"/>
                <w:sz w:val="20"/>
                <w:lang w:val="en-US" w:eastAsia="ko-KR"/>
              </w:rPr>
            </w:pPr>
            <w:r>
              <w:rPr>
                <w:rFonts w:ascii="Arial" w:hAnsi="Arial" w:cs="Arial"/>
                <w:sz w:val="20"/>
                <w:lang w:val="en-US" w:eastAsia="ko-KR"/>
              </w:rPr>
              <w:t>15</w:t>
            </w:r>
          </w:p>
        </w:tc>
        <w:tc>
          <w:tcPr>
            <w:tcW w:w="812" w:type="dxa"/>
          </w:tcPr>
          <w:p w:rsidR="007349B0" w:rsidRPr="00ED32D0" w:rsidRDefault="007349B0" w:rsidP="00C736CE">
            <w:pPr>
              <w:rPr>
                <w:rFonts w:ascii="Arial" w:hAnsi="Arial" w:cs="Arial"/>
                <w:sz w:val="20"/>
                <w:lang w:val="en-US" w:eastAsia="ko-KR"/>
              </w:rPr>
            </w:pPr>
            <w:r w:rsidRPr="00ED32D0">
              <w:rPr>
                <w:rFonts w:ascii="Arial" w:hAnsi="Arial" w:cs="Arial"/>
                <w:sz w:val="20"/>
                <w:lang w:val="en-US" w:eastAsia="ko-KR"/>
              </w:rPr>
              <w:t>8.4.2.</w:t>
            </w:r>
            <w:r>
              <w:rPr>
                <w:rFonts w:ascii="Arial" w:hAnsi="Arial" w:cs="Arial"/>
                <w:sz w:val="20"/>
                <w:lang w:val="en-US" w:eastAsia="ko-KR"/>
              </w:rPr>
              <w:t>1</w:t>
            </w:r>
            <w:r w:rsidRPr="00ED32D0">
              <w:rPr>
                <w:rFonts w:ascii="Arial" w:hAnsi="Arial" w:cs="Arial"/>
                <w:sz w:val="20"/>
                <w:lang w:val="en-US" w:eastAsia="ko-KR"/>
              </w:rPr>
              <w:t>7</w:t>
            </w:r>
            <w:r>
              <w:rPr>
                <w:rFonts w:ascii="Arial" w:hAnsi="Arial" w:cs="Arial"/>
                <w:sz w:val="20"/>
                <w:lang w:val="en-US" w:eastAsia="ko-KR"/>
              </w:rPr>
              <w:t>0a</w:t>
            </w:r>
          </w:p>
        </w:tc>
        <w:tc>
          <w:tcPr>
            <w:tcW w:w="1880" w:type="dxa"/>
          </w:tcPr>
          <w:p w:rsidR="007349B0" w:rsidRPr="00ED32D0" w:rsidRDefault="0086211B" w:rsidP="00C736CE">
            <w:pPr>
              <w:rPr>
                <w:rFonts w:ascii="Arial" w:hAnsi="Arial" w:cs="Arial"/>
                <w:sz w:val="20"/>
                <w:lang w:val="en-US" w:eastAsia="ko-KR"/>
              </w:rPr>
            </w:pPr>
            <w:r w:rsidRPr="0086211B">
              <w:rPr>
                <w:rFonts w:ascii="Arial" w:hAnsi="Arial" w:cs="Arial"/>
                <w:sz w:val="20"/>
                <w:lang w:val="en-US" w:eastAsia="ko-KR"/>
              </w:rPr>
              <w:t>As Open-Loop Link Margin Index element is not included in a Beacon or a Probe Response frame always, better not use "is included".</w:t>
            </w:r>
          </w:p>
        </w:tc>
        <w:tc>
          <w:tcPr>
            <w:tcW w:w="2530" w:type="dxa"/>
          </w:tcPr>
          <w:p w:rsidR="0086211B" w:rsidRPr="0086211B" w:rsidRDefault="0086211B" w:rsidP="0086211B">
            <w:pPr>
              <w:rPr>
                <w:rFonts w:ascii="Arial" w:hAnsi="Arial" w:cs="Arial"/>
                <w:sz w:val="20"/>
                <w:lang w:val="en-US" w:eastAsia="ko-KR"/>
              </w:rPr>
            </w:pPr>
            <w:proofErr w:type="spellStart"/>
            <w:r w:rsidRPr="0086211B">
              <w:rPr>
                <w:rFonts w:ascii="Arial" w:hAnsi="Arial" w:cs="Arial"/>
                <w:sz w:val="20"/>
                <w:lang w:val="en-US" w:eastAsia="ko-KR"/>
              </w:rPr>
              <w:t>Modifiy</w:t>
            </w:r>
            <w:proofErr w:type="spellEnd"/>
            <w:r w:rsidRPr="0086211B">
              <w:rPr>
                <w:rFonts w:ascii="Arial" w:hAnsi="Arial" w:cs="Arial"/>
                <w:sz w:val="20"/>
                <w:lang w:val="en-US" w:eastAsia="ko-KR"/>
              </w:rPr>
              <w:t xml:space="preserve"> the sentence from "The Open-Loop Link</w:t>
            </w:r>
            <w:r>
              <w:rPr>
                <w:rFonts w:ascii="Arial" w:hAnsi="Arial" w:cs="Arial"/>
                <w:sz w:val="20"/>
                <w:lang w:val="en-US" w:eastAsia="ko-KR"/>
              </w:rPr>
              <w:t xml:space="preserve"> </w:t>
            </w:r>
            <w:r w:rsidRPr="0086211B">
              <w:rPr>
                <w:rFonts w:ascii="Arial" w:hAnsi="Arial" w:cs="Arial"/>
                <w:sz w:val="20"/>
                <w:lang w:val="en-US" w:eastAsia="ko-KR"/>
              </w:rPr>
              <w:t>Margin Index element is included in a Beacon frame or Probe Response frame without a corresponding request." to "The Open-Loop Link</w:t>
            </w:r>
          </w:p>
          <w:p w:rsidR="007349B0" w:rsidRPr="00ED32D0" w:rsidRDefault="0086211B" w:rsidP="0086211B">
            <w:pPr>
              <w:rPr>
                <w:rFonts w:ascii="Arial" w:hAnsi="Arial" w:cs="Arial"/>
                <w:sz w:val="20"/>
                <w:lang w:val="en-US" w:eastAsia="ko-KR"/>
              </w:rPr>
            </w:pPr>
            <w:r w:rsidRPr="0086211B">
              <w:rPr>
                <w:rFonts w:ascii="Arial" w:hAnsi="Arial" w:cs="Arial"/>
                <w:sz w:val="20"/>
                <w:lang w:val="en-US" w:eastAsia="ko-KR"/>
              </w:rPr>
              <w:t>Margin Index element may be included in a Beacon frame or Probe Response frame without a corresponding request".</w:t>
            </w:r>
          </w:p>
        </w:tc>
        <w:tc>
          <w:tcPr>
            <w:tcW w:w="2085" w:type="dxa"/>
          </w:tcPr>
          <w:p w:rsidR="00BD68A8" w:rsidRDefault="00BD68A8" w:rsidP="00BD68A8">
            <w:pPr>
              <w:rPr>
                <w:rFonts w:ascii="Arial" w:hAnsi="Arial" w:cs="Arial"/>
                <w:sz w:val="20"/>
                <w:lang w:eastAsia="ko-KR"/>
              </w:rPr>
            </w:pPr>
            <w:r>
              <w:rPr>
                <w:rFonts w:ascii="Arial" w:hAnsi="Arial" w:cs="Arial"/>
                <w:sz w:val="20"/>
                <w:lang w:eastAsia="ko-KR"/>
              </w:rPr>
              <w:t>Reject:</w:t>
            </w:r>
          </w:p>
          <w:p w:rsidR="00BD68A8" w:rsidRDefault="00BD68A8" w:rsidP="00BD68A8">
            <w:pPr>
              <w:rPr>
                <w:rFonts w:ascii="Arial" w:hAnsi="Arial" w:cs="Arial"/>
                <w:sz w:val="20"/>
                <w:lang w:eastAsia="ko-KR"/>
              </w:rPr>
            </w:pPr>
          </w:p>
          <w:p w:rsidR="00BD68A8" w:rsidRPr="00BD68A8" w:rsidRDefault="0075707D" w:rsidP="0075707D">
            <w:pPr>
              <w:rPr>
                <w:rFonts w:ascii="Arial" w:hAnsi="Arial" w:cs="Arial"/>
                <w:sz w:val="20"/>
                <w:lang w:eastAsia="ko-KR"/>
              </w:rPr>
            </w:pPr>
            <w:r>
              <w:rPr>
                <w:rFonts w:ascii="Arial" w:hAnsi="Arial" w:cs="Arial"/>
                <w:sz w:val="20"/>
                <w:lang w:eastAsia="ko-KR"/>
              </w:rPr>
              <w:t>Discussions</w:t>
            </w:r>
            <w:r w:rsidR="00BD68A8">
              <w:rPr>
                <w:rFonts w:ascii="Arial" w:hAnsi="Arial" w:cs="Arial"/>
                <w:sz w:val="20"/>
                <w:lang w:eastAsia="ko-KR"/>
              </w:rPr>
              <w:t xml:space="preserve"> are included in the following context. </w:t>
            </w:r>
          </w:p>
        </w:tc>
      </w:tr>
    </w:tbl>
    <w:p w:rsidR="00217A87" w:rsidRDefault="00217A87"/>
    <w:p w:rsidR="0075707D" w:rsidRPr="0075707D" w:rsidRDefault="0075707D">
      <w:pPr>
        <w:rPr>
          <w:b/>
        </w:rPr>
      </w:pPr>
      <w:r w:rsidRPr="0075707D">
        <w:rPr>
          <w:b/>
        </w:rPr>
        <w:t>Discussions:</w:t>
      </w:r>
    </w:p>
    <w:p w:rsidR="0075707D" w:rsidRDefault="0075707D"/>
    <w:p w:rsidR="0075707D" w:rsidRDefault="00531CD8" w:rsidP="0075707D">
      <w:pPr>
        <w:rPr>
          <w:rFonts w:ascii="Arial" w:hAnsi="Arial" w:cs="Arial"/>
          <w:sz w:val="20"/>
          <w:lang w:val="en-US" w:eastAsia="ko-KR"/>
        </w:rPr>
      </w:pPr>
      <w:r>
        <w:t>CID 418</w:t>
      </w:r>
      <w:r w:rsidR="0075707D">
        <w:t>-</w:t>
      </w:r>
      <w:r w:rsidR="0075707D" w:rsidRPr="0075707D">
        <w:rPr>
          <w:rFonts w:ascii="Arial" w:hAnsi="Arial" w:cs="Arial"/>
          <w:b/>
          <w:bCs/>
          <w:sz w:val="20"/>
          <w:lang w:val="en-US" w:eastAsia="ko-KR"/>
        </w:rPr>
        <w:t xml:space="preserve"> </w:t>
      </w:r>
      <w:r w:rsidR="0075707D" w:rsidRPr="002B361D">
        <w:rPr>
          <w:rFonts w:ascii="Arial" w:hAnsi="Arial" w:cs="Arial"/>
          <w:b/>
          <w:bCs/>
          <w:sz w:val="20"/>
          <w:lang w:val="en-US" w:eastAsia="ko-KR"/>
        </w:rPr>
        <w:t>Resolution</w:t>
      </w:r>
      <w:r w:rsidR="0075707D">
        <w:rPr>
          <w:rFonts w:ascii="Arial" w:hAnsi="Arial" w:cs="Arial"/>
          <w:sz w:val="20"/>
          <w:lang w:val="en-US" w:eastAsia="ko-KR"/>
        </w:rPr>
        <w:t xml:space="preserve">: </w:t>
      </w:r>
      <w:r w:rsidR="0075707D" w:rsidRPr="00090C74">
        <w:rPr>
          <w:rFonts w:ascii="Arial" w:hAnsi="Arial" w:cs="Arial"/>
          <w:sz w:val="20"/>
          <w:lang w:val="en-US" w:eastAsia="ko-KR"/>
        </w:rPr>
        <w:t>Reject</w:t>
      </w:r>
    </w:p>
    <w:p w:rsidR="00917D00" w:rsidRDefault="00917D00" w:rsidP="00BD68A8">
      <w:pPr>
        <w:rPr>
          <w:rFonts w:ascii="Arial" w:hAnsi="Arial" w:cs="Arial"/>
          <w:sz w:val="20"/>
          <w:lang w:val="en-US" w:eastAsia="ko-KR"/>
        </w:rPr>
      </w:pPr>
    </w:p>
    <w:p w:rsidR="00917D00" w:rsidRDefault="00917D00" w:rsidP="00BD68A8">
      <w:pPr>
        <w:rPr>
          <w:rFonts w:ascii="Arial" w:hAnsi="Arial" w:cs="Arial"/>
          <w:sz w:val="20"/>
          <w:lang w:val="en-US" w:eastAsia="ko-KR"/>
        </w:rPr>
      </w:pPr>
      <w:r>
        <w:rPr>
          <w:rFonts w:ascii="Arial" w:hAnsi="Arial" w:cs="Arial"/>
          <w:sz w:val="20"/>
          <w:lang w:val="en-US" w:eastAsia="ko-KR"/>
        </w:rPr>
        <w:t xml:space="preserve">Received signal bandwidth is known to the receiver, the receiver calculates the link margin with the consideration of received signal bandwidth and its own transmit bandwidth. Since bandwidth is known information to the receiver, it is redundant information and shall be avoided. </w:t>
      </w:r>
    </w:p>
    <w:p w:rsidR="00917D00" w:rsidRDefault="00917D00" w:rsidP="00BD68A8">
      <w:pPr>
        <w:rPr>
          <w:rFonts w:ascii="Arial" w:hAnsi="Arial" w:cs="Arial"/>
          <w:sz w:val="20"/>
          <w:lang w:val="en-US" w:eastAsia="ko-KR"/>
        </w:rPr>
      </w:pPr>
    </w:p>
    <w:p w:rsidR="0075707D" w:rsidRDefault="00B91955" w:rsidP="00BD68A8">
      <w:pPr>
        <w:rPr>
          <w:rFonts w:ascii="Arial" w:hAnsi="Arial" w:cs="Arial"/>
          <w:sz w:val="20"/>
          <w:lang w:val="en-US" w:eastAsia="ko-KR"/>
        </w:rPr>
      </w:pPr>
      <w:r>
        <w:rPr>
          <w:rFonts w:ascii="Arial" w:hAnsi="Arial" w:cs="Arial"/>
          <w:sz w:val="20"/>
          <w:lang w:val="en-US" w:eastAsia="ko-KR"/>
        </w:rPr>
        <w:t xml:space="preserve">Secondly, providing link-margin index for each sub-channel significantly increases the length of the IE and hurts the intention of fast link adaptation and high efficiency. </w:t>
      </w:r>
    </w:p>
    <w:p w:rsidR="00B91955" w:rsidRDefault="00B91955" w:rsidP="00BD68A8">
      <w:pPr>
        <w:rPr>
          <w:rFonts w:ascii="Arial" w:hAnsi="Arial" w:cs="Arial"/>
          <w:sz w:val="20"/>
          <w:lang w:val="en-US" w:eastAsia="ko-KR"/>
        </w:rPr>
      </w:pPr>
    </w:p>
    <w:p w:rsidR="00BD68A8" w:rsidRDefault="00BD68A8" w:rsidP="00BD68A8">
      <w:pPr>
        <w:rPr>
          <w:rFonts w:ascii="Arial" w:hAnsi="Arial" w:cs="Arial"/>
          <w:sz w:val="20"/>
          <w:lang w:val="en-US" w:eastAsia="ko-KR"/>
        </w:rPr>
      </w:pPr>
      <w:r>
        <w:rPr>
          <w:rFonts w:ascii="Arial" w:hAnsi="Arial" w:cs="Arial"/>
          <w:sz w:val="20"/>
          <w:lang w:val="en-US" w:eastAsia="ko-KR"/>
        </w:rPr>
        <w:t>CID 903</w:t>
      </w:r>
      <w:r w:rsidR="0075707D">
        <w:rPr>
          <w:rFonts w:ascii="Arial" w:hAnsi="Arial" w:cs="Arial"/>
          <w:sz w:val="20"/>
          <w:lang w:val="en-US" w:eastAsia="ko-KR"/>
        </w:rPr>
        <w:t xml:space="preserve">- </w:t>
      </w:r>
      <w:r w:rsidR="00745D69" w:rsidRPr="002B361D">
        <w:rPr>
          <w:rFonts w:ascii="Arial" w:hAnsi="Arial" w:cs="Arial"/>
          <w:b/>
          <w:bCs/>
          <w:sz w:val="20"/>
          <w:lang w:val="en-US" w:eastAsia="ko-KR"/>
        </w:rPr>
        <w:t>Resolution</w:t>
      </w:r>
      <w:r w:rsidR="00745D69">
        <w:rPr>
          <w:rFonts w:ascii="Arial" w:hAnsi="Arial" w:cs="Arial"/>
          <w:sz w:val="20"/>
          <w:lang w:val="en-US" w:eastAsia="ko-KR"/>
        </w:rPr>
        <w:t xml:space="preserve">: </w:t>
      </w:r>
      <w:r w:rsidRPr="00090C74">
        <w:rPr>
          <w:rFonts w:ascii="Arial" w:hAnsi="Arial" w:cs="Arial"/>
          <w:sz w:val="20"/>
          <w:lang w:val="en-US" w:eastAsia="ko-KR"/>
        </w:rPr>
        <w:t>Reject</w:t>
      </w:r>
    </w:p>
    <w:p w:rsidR="00745D69" w:rsidRDefault="00745D69" w:rsidP="00BD68A8">
      <w:pPr>
        <w:rPr>
          <w:rFonts w:ascii="Arial" w:hAnsi="Arial" w:cs="Arial"/>
          <w:sz w:val="20"/>
          <w:lang w:val="en-US" w:eastAsia="ko-KR"/>
        </w:rPr>
      </w:pPr>
    </w:p>
    <w:p w:rsidR="00BD68A8" w:rsidRPr="00745D69" w:rsidRDefault="00BD68A8" w:rsidP="00BD68A8">
      <w:r>
        <w:rPr>
          <w:rFonts w:ascii="Arial" w:hAnsi="Arial" w:cs="Arial"/>
          <w:sz w:val="20"/>
          <w:lang w:val="en-US" w:eastAsia="ko-KR"/>
        </w:rPr>
        <w:t xml:space="preserve">In 802.11, for any optional IE, “is” is used. For example, in 2012 802.11rmvc, </w:t>
      </w:r>
      <w:r>
        <w:t xml:space="preserve">for example, the TPC IE, it is also not mandatory IE. The context said “The TPC Report element contains transmit power and link margin information sent in response to a TPC Request element or a Link Measurement Request frame. </w:t>
      </w:r>
      <w:r w:rsidRPr="00745D69">
        <w:t xml:space="preserve">A TPC Report element </w:t>
      </w:r>
      <w:r w:rsidRPr="00745D69">
        <w:rPr>
          <w:color w:val="C0504D" w:themeColor="accent2"/>
        </w:rPr>
        <w:t>is</w:t>
      </w:r>
      <w:r w:rsidRPr="00745D69">
        <w:t xml:space="preserve"> included in a Beacon frame or Probe Response frame without a corresponding request.”</w:t>
      </w:r>
    </w:p>
    <w:p w:rsidR="00BD68A8" w:rsidRDefault="00BD68A8"/>
    <w:p w:rsidR="00745D69" w:rsidRDefault="00745D69" w:rsidP="00745D69">
      <w:r>
        <w:t>When an IE is mandatory, “shall” is used instead of “is”. “</w:t>
      </w:r>
      <w:proofErr w:type="gramStart"/>
      <w:r>
        <w:t>is</w:t>
      </w:r>
      <w:proofErr w:type="gramEnd"/>
      <w:r>
        <w:t xml:space="preserve">” means optional. It just says a fact that where the IE is included, not saying the IE is mandatory or optional. Given the fact that almost all IEs in 11n/ac uses the same language as used in 11ah, the resolution is to keep the original language using “is” instead of changing to “may be”. </w:t>
      </w:r>
    </w:p>
    <w:p w:rsidR="00745D69" w:rsidRDefault="00745D69"/>
    <w:p w:rsidR="00745D69" w:rsidRDefault="00745D69"/>
    <w:sectPr w:rsidR="00745D69" w:rsidSect="0036011D">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2B6" w:rsidRDefault="004072B6">
      <w:r>
        <w:separator/>
      </w:r>
    </w:p>
  </w:endnote>
  <w:endnote w:type="continuationSeparator" w:id="0">
    <w:p w:rsidR="004072B6" w:rsidRDefault="004072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6CE" w:rsidRDefault="004050C0">
    <w:pPr>
      <w:pStyle w:val="Footer"/>
      <w:tabs>
        <w:tab w:val="clear" w:pos="6480"/>
        <w:tab w:val="center" w:pos="4680"/>
        <w:tab w:val="right" w:pos="9360"/>
      </w:tabs>
    </w:pPr>
    <w:fldSimple w:instr=" SUBJECT  \* MERGEFORMAT ">
      <w:r w:rsidR="00C736CE">
        <w:t>Submission</w:t>
      </w:r>
    </w:fldSimple>
    <w:r w:rsidR="00C736CE">
      <w:tab/>
      <w:t xml:space="preserve">page </w:t>
    </w:r>
    <w:r>
      <w:fldChar w:fldCharType="begin"/>
    </w:r>
    <w:r w:rsidR="00C736CE">
      <w:instrText xml:space="preserve">page </w:instrText>
    </w:r>
    <w:r>
      <w:fldChar w:fldCharType="separate"/>
    </w:r>
    <w:r w:rsidR="00A31110">
      <w:rPr>
        <w:noProof/>
      </w:rPr>
      <w:t>1</w:t>
    </w:r>
    <w:r>
      <w:fldChar w:fldCharType="end"/>
    </w:r>
    <w:r w:rsidR="00C736CE">
      <w:tab/>
    </w:r>
    <w:fldSimple w:instr=" COMMENTS  \* MERGEFORMAT ">
      <w:r w:rsidR="000D4AAB">
        <w:t>Jianhan Liu</w:t>
      </w:r>
      <w:r w:rsidR="00C736CE">
        <w:t xml:space="preserve">, </w:t>
      </w:r>
      <w:r w:rsidR="000D4AAB">
        <w:t>Mediatek Inc.</w:t>
      </w:r>
    </w:fldSimple>
  </w:p>
  <w:p w:rsidR="00C736CE" w:rsidRDefault="00C736C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2B6" w:rsidRDefault="004072B6">
      <w:r>
        <w:separator/>
      </w:r>
    </w:p>
  </w:footnote>
  <w:footnote w:type="continuationSeparator" w:id="0">
    <w:p w:rsidR="004072B6" w:rsidRDefault="004072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6CE" w:rsidRDefault="004050C0">
    <w:pPr>
      <w:pStyle w:val="Header"/>
      <w:tabs>
        <w:tab w:val="clear" w:pos="6480"/>
        <w:tab w:val="center" w:pos="4680"/>
        <w:tab w:val="right" w:pos="9360"/>
      </w:tabs>
    </w:pPr>
    <w:fldSimple w:instr=" KEYWORDS  \* MERGEFORMAT ">
      <w:r w:rsidR="00C736CE">
        <w:t>July 2013</w:t>
      </w:r>
    </w:fldSimple>
    <w:r w:rsidR="00C736CE">
      <w:tab/>
    </w:r>
    <w:r w:rsidR="00C736CE">
      <w:tab/>
    </w:r>
    <w:fldSimple w:instr=" TITLE  \* MERGEFORMAT ">
      <w:r w:rsidR="00C736CE">
        <w:t>doc.: IEEE 802.11-13/</w:t>
      </w:r>
    </w:fldSimple>
    <w:r w:rsidR="00313408">
      <w:t>1136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82703C"/>
    <w:lvl w:ilvl="0">
      <w:numFmt w:val="bullet"/>
      <w:lvlText w:val="*"/>
      <w:lvlJc w:val="left"/>
      <w:pPr>
        <w:ind w:left="0" w:firstLine="0"/>
      </w:pPr>
    </w:lvl>
  </w:abstractNum>
  <w:abstractNum w:abstractNumId="1">
    <w:nsid w:val="33812A08"/>
    <w:multiLevelType w:val="hybridMultilevel"/>
    <w:tmpl w:val="87A65C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A87624"/>
    <w:multiLevelType w:val="hybridMultilevel"/>
    <w:tmpl w:val="214E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E67B04"/>
    <w:multiLevelType w:val="hybridMultilevel"/>
    <w:tmpl w:val="37528DC0"/>
    <w:lvl w:ilvl="0" w:tplc="F452A0D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9B2A42"/>
    <w:multiLevelType w:val="hybridMultilevel"/>
    <w:tmpl w:val="7FAC6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B65139"/>
    <w:multiLevelType w:val="hybridMultilevel"/>
    <w:tmpl w:val="7C46EA80"/>
    <w:lvl w:ilvl="0" w:tplc="F452A0D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Figure 8-401d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abstractNumId w:val="0"/>
    <w:lvlOverride w:ilvl="0">
      <w:lvl w:ilvl="0">
        <w:numFmt w:val="bullet"/>
        <w:lvlText w:val="Figure 8-401d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Table 8-191d—"/>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Figure 8-401d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4"/>
  </w:num>
  <w:num w:numId="7">
    <w:abstractNumId w:val="2"/>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rsids>
    <w:rsidRoot w:val="00F349EF"/>
    <w:rsid w:val="00001052"/>
    <w:rsid w:val="000328CD"/>
    <w:rsid w:val="000450E6"/>
    <w:rsid w:val="00090C74"/>
    <w:rsid w:val="000D1689"/>
    <w:rsid w:val="000D33F6"/>
    <w:rsid w:val="000D4AAB"/>
    <w:rsid w:val="0013152A"/>
    <w:rsid w:val="00171080"/>
    <w:rsid w:val="00173B96"/>
    <w:rsid w:val="0018603B"/>
    <w:rsid w:val="001979C4"/>
    <w:rsid w:val="001B2702"/>
    <w:rsid w:val="001D723B"/>
    <w:rsid w:val="001D7B22"/>
    <w:rsid w:val="001F3BDD"/>
    <w:rsid w:val="00205684"/>
    <w:rsid w:val="00217A87"/>
    <w:rsid w:val="002753FC"/>
    <w:rsid w:val="00283AD2"/>
    <w:rsid w:val="0029020B"/>
    <w:rsid w:val="00294597"/>
    <w:rsid w:val="002A2976"/>
    <w:rsid w:val="002B00AD"/>
    <w:rsid w:val="002B361D"/>
    <w:rsid w:val="002D44BE"/>
    <w:rsid w:val="00313408"/>
    <w:rsid w:val="003139C2"/>
    <w:rsid w:val="00320F45"/>
    <w:rsid w:val="0036011D"/>
    <w:rsid w:val="00362AF2"/>
    <w:rsid w:val="00367D48"/>
    <w:rsid w:val="00386140"/>
    <w:rsid w:val="003A6A0C"/>
    <w:rsid w:val="003B59EC"/>
    <w:rsid w:val="003C3EA8"/>
    <w:rsid w:val="003C58F7"/>
    <w:rsid w:val="004050C0"/>
    <w:rsid w:val="004072B6"/>
    <w:rsid w:val="004156A7"/>
    <w:rsid w:val="00415A5D"/>
    <w:rsid w:val="00435E36"/>
    <w:rsid w:val="00442037"/>
    <w:rsid w:val="00452682"/>
    <w:rsid w:val="004905E2"/>
    <w:rsid w:val="00496071"/>
    <w:rsid w:val="004B064B"/>
    <w:rsid w:val="004E1A19"/>
    <w:rsid w:val="004F38FE"/>
    <w:rsid w:val="00522308"/>
    <w:rsid w:val="0052433D"/>
    <w:rsid w:val="00531CD8"/>
    <w:rsid w:val="005626B3"/>
    <w:rsid w:val="00597E54"/>
    <w:rsid w:val="005C6139"/>
    <w:rsid w:val="0062440B"/>
    <w:rsid w:val="00631DED"/>
    <w:rsid w:val="006415C8"/>
    <w:rsid w:val="0066429F"/>
    <w:rsid w:val="00691F8C"/>
    <w:rsid w:val="006A3706"/>
    <w:rsid w:val="006C0727"/>
    <w:rsid w:val="006E145F"/>
    <w:rsid w:val="006E6323"/>
    <w:rsid w:val="00715F67"/>
    <w:rsid w:val="007349B0"/>
    <w:rsid w:val="00743E43"/>
    <w:rsid w:val="00745D69"/>
    <w:rsid w:val="0075707D"/>
    <w:rsid w:val="00770572"/>
    <w:rsid w:val="00772B75"/>
    <w:rsid w:val="00772D7D"/>
    <w:rsid w:val="0079710C"/>
    <w:rsid w:val="007B6A35"/>
    <w:rsid w:val="0080540B"/>
    <w:rsid w:val="00840DF8"/>
    <w:rsid w:val="0086211B"/>
    <w:rsid w:val="008A1696"/>
    <w:rsid w:val="008E740B"/>
    <w:rsid w:val="00903CC5"/>
    <w:rsid w:val="00917D00"/>
    <w:rsid w:val="009217B2"/>
    <w:rsid w:val="009308A3"/>
    <w:rsid w:val="00945C3F"/>
    <w:rsid w:val="00961D55"/>
    <w:rsid w:val="00972529"/>
    <w:rsid w:val="009743CA"/>
    <w:rsid w:val="009A2A8A"/>
    <w:rsid w:val="009F2FBC"/>
    <w:rsid w:val="00A005A4"/>
    <w:rsid w:val="00A011A6"/>
    <w:rsid w:val="00A0234F"/>
    <w:rsid w:val="00A141F6"/>
    <w:rsid w:val="00A17806"/>
    <w:rsid w:val="00A31110"/>
    <w:rsid w:val="00A43309"/>
    <w:rsid w:val="00A65D29"/>
    <w:rsid w:val="00A73339"/>
    <w:rsid w:val="00AA26E5"/>
    <w:rsid w:val="00AA427C"/>
    <w:rsid w:val="00AC2493"/>
    <w:rsid w:val="00B241F0"/>
    <w:rsid w:val="00B366FF"/>
    <w:rsid w:val="00B746DF"/>
    <w:rsid w:val="00B91587"/>
    <w:rsid w:val="00B91955"/>
    <w:rsid w:val="00B9501F"/>
    <w:rsid w:val="00BC019B"/>
    <w:rsid w:val="00BD4BF1"/>
    <w:rsid w:val="00BD68A8"/>
    <w:rsid w:val="00BE68C2"/>
    <w:rsid w:val="00BF0885"/>
    <w:rsid w:val="00C202E4"/>
    <w:rsid w:val="00C736CE"/>
    <w:rsid w:val="00C833E6"/>
    <w:rsid w:val="00CA09B2"/>
    <w:rsid w:val="00CA6BD3"/>
    <w:rsid w:val="00CA7B1A"/>
    <w:rsid w:val="00CB55EC"/>
    <w:rsid w:val="00D03F3D"/>
    <w:rsid w:val="00D13B35"/>
    <w:rsid w:val="00D201DF"/>
    <w:rsid w:val="00D26EF1"/>
    <w:rsid w:val="00D4496F"/>
    <w:rsid w:val="00D505FB"/>
    <w:rsid w:val="00D741A4"/>
    <w:rsid w:val="00D97FEF"/>
    <w:rsid w:val="00DB2474"/>
    <w:rsid w:val="00DC5A7B"/>
    <w:rsid w:val="00DF466D"/>
    <w:rsid w:val="00E01F07"/>
    <w:rsid w:val="00E0359B"/>
    <w:rsid w:val="00E22753"/>
    <w:rsid w:val="00E31F91"/>
    <w:rsid w:val="00E51D2A"/>
    <w:rsid w:val="00E57C1F"/>
    <w:rsid w:val="00E72132"/>
    <w:rsid w:val="00E83A88"/>
    <w:rsid w:val="00E867E3"/>
    <w:rsid w:val="00EC526E"/>
    <w:rsid w:val="00EC544C"/>
    <w:rsid w:val="00ED32D0"/>
    <w:rsid w:val="00F06FE5"/>
    <w:rsid w:val="00F23989"/>
    <w:rsid w:val="00F349EF"/>
    <w:rsid w:val="00F456FB"/>
    <w:rsid w:val="00F45DF5"/>
    <w:rsid w:val="00F54638"/>
    <w:rsid w:val="00F9558B"/>
    <w:rsid w:val="00FB7F1E"/>
    <w:rsid w:val="00FC73B8"/>
    <w:rsid w:val="00FD067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33D"/>
    <w:rPr>
      <w:sz w:val="22"/>
      <w:lang w:val="en-GB" w:eastAsia="en-US"/>
    </w:rPr>
  </w:style>
  <w:style w:type="paragraph" w:styleId="Heading1">
    <w:name w:val="heading 1"/>
    <w:basedOn w:val="Normal"/>
    <w:next w:val="Normal"/>
    <w:qFormat/>
    <w:rsid w:val="0036011D"/>
    <w:pPr>
      <w:keepNext/>
      <w:keepLines/>
      <w:spacing w:before="320"/>
      <w:outlineLvl w:val="0"/>
    </w:pPr>
    <w:rPr>
      <w:rFonts w:ascii="Arial" w:hAnsi="Arial"/>
      <w:b/>
      <w:sz w:val="32"/>
      <w:u w:val="single"/>
    </w:rPr>
  </w:style>
  <w:style w:type="paragraph" w:styleId="Heading2">
    <w:name w:val="heading 2"/>
    <w:basedOn w:val="Normal"/>
    <w:next w:val="Normal"/>
    <w:qFormat/>
    <w:rsid w:val="0036011D"/>
    <w:pPr>
      <w:keepNext/>
      <w:keepLines/>
      <w:spacing w:before="280"/>
      <w:outlineLvl w:val="1"/>
    </w:pPr>
    <w:rPr>
      <w:rFonts w:ascii="Arial" w:hAnsi="Arial"/>
      <w:b/>
      <w:sz w:val="28"/>
      <w:u w:val="single"/>
    </w:rPr>
  </w:style>
  <w:style w:type="paragraph" w:styleId="Heading3">
    <w:name w:val="heading 3"/>
    <w:basedOn w:val="Normal"/>
    <w:next w:val="Normal"/>
    <w:qFormat/>
    <w:rsid w:val="0036011D"/>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6011D"/>
    <w:pPr>
      <w:pBdr>
        <w:top w:val="single" w:sz="6" w:space="1" w:color="auto"/>
      </w:pBdr>
      <w:tabs>
        <w:tab w:val="center" w:pos="6480"/>
        <w:tab w:val="right" w:pos="12960"/>
      </w:tabs>
    </w:pPr>
    <w:rPr>
      <w:sz w:val="24"/>
    </w:rPr>
  </w:style>
  <w:style w:type="paragraph" w:styleId="Header">
    <w:name w:val="header"/>
    <w:basedOn w:val="Normal"/>
    <w:rsid w:val="0036011D"/>
    <w:pPr>
      <w:pBdr>
        <w:bottom w:val="single" w:sz="6" w:space="2" w:color="auto"/>
      </w:pBdr>
      <w:tabs>
        <w:tab w:val="center" w:pos="6480"/>
        <w:tab w:val="right" w:pos="12960"/>
      </w:tabs>
    </w:pPr>
    <w:rPr>
      <w:b/>
      <w:sz w:val="28"/>
    </w:rPr>
  </w:style>
  <w:style w:type="paragraph" w:customStyle="1" w:styleId="T1">
    <w:name w:val="T1"/>
    <w:basedOn w:val="Normal"/>
    <w:rsid w:val="0036011D"/>
    <w:pPr>
      <w:jc w:val="center"/>
    </w:pPr>
    <w:rPr>
      <w:b/>
      <w:sz w:val="28"/>
    </w:rPr>
  </w:style>
  <w:style w:type="paragraph" w:customStyle="1" w:styleId="T2">
    <w:name w:val="T2"/>
    <w:basedOn w:val="T1"/>
    <w:rsid w:val="0036011D"/>
    <w:pPr>
      <w:spacing w:after="240"/>
      <w:ind w:left="720" w:right="720"/>
    </w:pPr>
  </w:style>
  <w:style w:type="paragraph" w:customStyle="1" w:styleId="T3">
    <w:name w:val="T3"/>
    <w:basedOn w:val="T1"/>
    <w:rsid w:val="0036011D"/>
    <w:pPr>
      <w:pBdr>
        <w:bottom w:val="single" w:sz="6" w:space="1" w:color="auto"/>
      </w:pBdr>
      <w:tabs>
        <w:tab w:val="center" w:pos="4680"/>
      </w:tabs>
      <w:spacing w:after="240"/>
      <w:jc w:val="left"/>
    </w:pPr>
    <w:rPr>
      <w:b w:val="0"/>
      <w:sz w:val="24"/>
    </w:rPr>
  </w:style>
  <w:style w:type="paragraph" w:styleId="BodyTextIndent">
    <w:name w:val="Body Text Indent"/>
    <w:basedOn w:val="Normal"/>
    <w:rsid w:val="0036011D"/>
    <w:pPr>
      <w:ind w:left="720" w:hanging="720"/>
    </w:pPr>
  </w:style>
  <w:style w:type="character" w:styleId="Hyperlink">
    <w:name w:val="Hyperlink"/>
    <w:rsid w:val="0036011D"/>
    <w:rPr>
      <w:color w:val="0000FF"/>
      <w:u w:val="single"/>
    </w:rPr>
  </w:style>
  <w:style w:type="table" w:styleId="TableGrid">
    <w:name w:val="Table Grid"/>
    <w:basedOn w:val="TableNormal"/>
    <w:rsid w:val="00A00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E5"/>
    <w:pPr>
      <w:ind w:left="720"/>
      <w:contextualSpacing/>
    </w:pPr>
  </w:style>
  <w:style w:type="paragraph" w:styleId="BalloonText">
    <w:name w:val="Balloon Text"/>
    <w:basedOn w:val="Normal"/>
    <w:link w:val="BalloonTextChar"/>
    <w:rsid w:val="00B746DF"/>
    <w:rPr>
      <w:rFonts w:ascii="Tahoma" w:hAnsi="Tahoma" w:cs="Tahoma"/>
      <w:sz w:val="16"/>
      <w:szCs w:val="16"/>
    </w:rPr>
  </w:style>
  <w:style w:type="character" w:customStyle="1" w:styleId="BalloonTextChar">
    <w:name w:val="Balloon Text Char"/>
    <w:basedOn w:val="DefaultParagraphFont"/>
    <w:link w:val="BalloonText"/>
    <w:rsid w:val="00B746DF"/>
    <w:rPr>
      <w:rFonts w:ascii="Tahoma" w:hAnsi="Tahoma" w:cs="Tahoma"/>
      <w:sz w:val="16"/>
      <w:szCs w:val="16"/>
      <w:lang w:val="en-GB" w:eastAsia="en-US"/>
    </w:rPr>
  </w:style>
  <w:style w:type="character" w:styleId="CommentReference">
    <w:name w:val="annotation reference"/>
    <w:basedOn w:val="DefaultParagraphFont"/>
    <w:rsid w:val="00BD4BF1"/>
    <w:rPr>
      <w:sz w:val="16"/>
      <w:szCs w:val="16"/>
    </w:rPr>
  </w:style>
  <w:style w:type="paragraph" w:styleId="CommentText">
    <w:name w:val="annotation text"/>
    <w:basedOn w:val="Normal"/>
    <w:link w:val="CommentTextChar"/>
    <w:rsid w:val="00BD4BF1"/>
    <w:rPr>
      <w:sz w:val="20"/>
    </w:rPr>
  </w:style>
  <w:style w:type="character" w:customStyle="1" w:styleId="CommentTextChar">
    <w:name w:val="Comment Text Char"/>
    <w:basedOn w:val="DefaultParagraphFont"/>
    <w:link w:val="CommentText"/>
    <w:rsid w:val="00BD4BF1"/>
    <w:rPr>
      <w:lang w:val="en-GB" w:eastAsia="en-US"/>
    </w:rPr>
  </w:style>
  <w:style w:type="paragraph" w:styleId="CommentSubject">
    <w:name w:val="annotation subject"/>
    <w:basedOn w:val="CommentText"/>
    <w:next w:val="CommentText"/>
    <w:link w:val="CommentSubjectChar"/>
    <w:rsid w:val="00BD4BF1"/>
    <w:rPr>
      <w:b/>
      <w:bCs/>
    </w:rPr>
  </w:style>
  <w:style w:type="character" w:customStyle="1" w:styleId="CommentSubjectChar">
    <w:name w:val="Comment Subject Char"/>
    <w:basedOn w:val="CommentTextChar"/>
    <w:link w:val="CommentSubject"/>
    <w:rsid w:val="00BD4BF1"/>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33D"/>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00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E5"/>
    <w:pPr>
      <w:ind w:left="720"/>
      <w:contextualSpacing/>
    </w:pPr>
  </w:style>
  <w:style w:type="paragraph" w:styleId="BalloonText">
    <w:name w:val="Balloon Text"/>
    <w:basedOn w:val="Normal"/>
    <w:link w:val="BalloonTextChar"/>
    <w:rsid w:val="00B746DF"/>
    <w:rPr>
      <w:rFonts w:ascii="Tahoma" w:hAnsi="Tahoma" w:cs="Tahoma"/>
      <w:sz w:val="16"/>
      <w:szCs w:val="16"/>
    </w:rPr>
  </w:style>
  <w:style w:type="character" w:customStyle="1" w:styleId="BalloonTextChar">
    <w:name w:val="Balloon Text Char"/>
    <w:basedOn w:val="DefaultParagraphFont"/>
    <w:link w:val="BalloonText"/>
    <w:rsid w:val="00B746DF"/>
    <w:rPr>
      <w:rFonts w:ascii="Tahoma" w:hAnsi="Tahoma" w:cs="Tahoma"/>
      <w:sz w:val="16"/>
      <w:szCs w:val="16"/>
      <w:lang w:val="en-GB" w:eastAsia="en-US"/>
    </w:rPr>
  </w:style>
  <w:style w:type="character" w:styleId="CommentReference">
    <w:name w:val="annotation reference"/>
    <w:basedOn w:val="DefaultParagraphFont"/>
    <w:rsid w:val="00BD4BF1"/>
    <w:rPr>
      <w:sz w:val="16"/>
      <w:szCs w:val="16"/>
    </w:rPr>
  </w:style>
  <w:style w:type="paragraph" w:styleId="CommentText">
    <w:name w:val="annotation text"/>
    <w:basedOn w:val="Normal"/>
    <w:link w:val="CommentTextChar"/>
    <w:rsid w:val="00BD4BF1"/>
    <w:rPr>
      <w:sz w:val="20"/>
    </w:rPr>
  </w:style>
  <w:style w:type="character" w:customStyle="1" w:styleId="CommentTextChar">
    <w:name w:val="Comment Text Char"/>
    <w:basedOn w:val="DefaultParagraphFont"/>
    <w:link w:val="CommentText"/>
    <w:rsid w:val="00BD4BF1"/>
    <w:rPr>
      <w:lang w:val="en-GB" w:eastAsia="en-US"/>
    </w:rPr>
  </w:style>
  <w:style w:type="paragraph" w:styleId="CommentSubject">
    <w:name w:val="annotation subject"/>
    <w:basedOn w:val="CommentText"/>
    <w:next w:val="CommentText"/>
    <w:link w:val="CommentSubjectChar"/>
    <w:rsid w:val="00BD4BF1"/>
    <w:rPr>
      <w:b/>
      <w:bCs/>
    </w:rPr>
  </w:style>
  <w:style w:type="character" w:customStyle="1" w:styleId="CommentSubjectChar">
    <w:name w:val="Comment Subject Char"/>
    <w:basedOn w:val="CommentTextChar"/>
    <w:link w:val="CommentSubject"/>
    <w:rsid w:val="00BD4BF1"/>
    <w:rPr>
      <w:b/>
      <w:bCs/>
      <w:lang w:val="en-GB" w:eastAsia="en-US"/>
    </w:rPr>
  </w:style>
</w:styles>
</file>

<file path=word/webSettings.xml><?xml version="1.0" encoding="utf-8"?>
<w:webSettings xmlns:r="http://schemas.openxmlformats.org/officeDocument/2006/relationships" xmlns:w="http://schemas.openxmlformats.org/wordprocessingml/2006/main">
  <w:divs>
    <w:div w:id="176165670">
      <w:bodyDiv w:val="1"/>
      <w:marLeft w:val="0"/>
      <w:marRight w:val="0"/>
      <w:marTop w:val="0"/>
      <w:marBottom w:val="0"/>
      <w:divBdr>
        <w:top w:val="none" w:sz="0" w:space="0" w:color="auto"/>
        <w:left w:val="none" w:sz="0" w:space="0" w:color="auto"/>
        <w:bottom w:val="none" w:sz="0" w:space="0" w:color="auto"/>
        <w:right w:val="none" w:sz="0" w:space="0" w:color="auto"/>
      </w:divBdr>
    </w:div>
    <w:div w:id="182281170">
      <w:bodyDiv w:val="1"/>
      <w:marLeft w:val="0"/>
      <w:marRight w:val="0"/>
      <w:marTop w:val="0"/>
      <w:marBottom w:val="0"/>
      <w:divBdr>
        <w:top w:val="none" w:sz="0" w:space="0" w:color="auto"/>
        <w:left w:val="none" w:sz="0" w:space="0" w:color="auto"/>
        <w:bottom w:val="none" w:sz="0" w:space="0" w:color="auto"/>
        <w:right w:val="none" w:sz="0" w:space="0" w:color="auto"/>
      </w:divBdr>
    </w:div>
    <w:div w:id="397022179">
      <w:bodyDiv w:val="1"/>
      <w:marLeft w:val="0"/>
      <w:marRight w:val="0"/>
      <w:marTop w:val="0"/>
      <w:marBottom w:val="0"/>
      <w:divBdr>
        <w:top w:val="none" w:sz="0" w:space="0" w:color="auto"/>
        <w:left w:val="none" w:sz="0" w:space="0" w:color="auto"/>
        <w:bottom w:val="none" w:sz="0" w:space="0" w:color="auto"/>
        <w:right w:val="none" w:sz="0" w:space="0" w:color="auto"/>
      </w:divBdr>
    </w:div>
    <w:div w:id="958295544">
      <w:bodyDiv w:val="1"/>
      <w:marLeft w:val="0"/>
      <w:marRight w:val="0"/>
      <w:marTop w:val="0"/>
      <w:marBottom w:val="0"/>
      <w:divBdr>
        <w:top w:val="none" w:sz="0" w:space="0" w:color="auto"/>
        <w:left w:val="none" w:sz="0" w:space="0" w:color="auto"/>
        <w:bottom w:val="none" w:sz="0" w:space="0" w:color="auto"/>
        <w:right w:val="none" w:sz="0" w:space="0" w:color="auto"/>
      </w:divBdr>
    </w:div>
    <w:div w:id="982008380">
      <w:bodyDiv w:val="1"/>
      <w:marLeft w:val="0"/>
      <w:marRight w:val="0"/>
      <w:marTop w:val="0"/>
      <w:marBottom w:val="0"/>
      <w:divBdr>
        <w:top w:val="none" w:sz="0" w:space="0" w:color="auto"/>
        <w:left w:val="none" w:sz="0" w:space="0" w:color="auto"/>
        <w:bottom w:val="none" w:sz="0" w:space="0" w:color="auto"/>
        <w:right w:val="none" w:sz="0" w:space="0" w:color="auto"/>
      </w:divBdr>
    </w:div>
    <w:div w:id="1089471673">
      <w:bodyDiv w:val="1"/>
      <w:marLeft w:val="0"/>
      <w:marRight w:val="0"/>
      <w:marTop w:val="0"/>
      <w:marBottom w:val="0"/>
      <w:divBdr>
        <w:top w:val="none" w:sz="0" w:space="0" w:color="auto"/>
        <w:left w:val="none" w:sz="0" w:space="0" w:color="auto"/>
        <w:bottom w:val="none" w:sz="0" w:space="0" w:color="auto"/>
        <w:right w:val="none" w:sz="0" w:space="0" w:color="auto"/>
      </w:divBdr>
    </w:div>
    <w:div w:id="1247616347">
      <w:bodyDiv w:val="1"/>
      <w:marLeft w:val="0"/>
      <w:marRight w:val="0"/>
      <w:marTop w:val="0"/>
      <w:marBottom w:val="0"/>
      <w:divBdr>
        <w:top w:val="none" w:sz="0" w:space="0" w:color="auto"/>
        <w:left w:val="none" w:sz="0" w:space="0" w:color="auto"/>
        <w:bottom w:val="none" w:sz="0" w:space="0" w:color="auto"/>
        <w:right w:val="none" w:sz="0" w:space="0" w:color="auto"/>
      </w:divBdr>
    </w:div>
    <w:div w:id="1252157978">
      <w:bodyDiv w:val="1"/>
      <w:marLeft w:val="0"/>
      <w:marRight w:val="0"/>
      <w:marTop w:val="0"/>
      <w:marBottom w:val="0"/>
      <w:divBdr>
        <w:top w:val="none" w:sz="0" w:space="0" w:color="auto"/>
        <w:left w:val="none" w:sz="0" w:space="0" w:color="auto"/>
        <w:bottom w:val="none" w:sz="0" w:space="0" w:color="auto"/>
        <w:right w:val="none" w:sz="0" w:space="0" w:color="auto"/>
      </w:divBdr>
    </w:div>
    <w:div w:id="1268612005">
      <w:bodyDiv w:val="1"/>
      <w:marLeft w:val="0"/>
      <w:marRight w:val="0"/>
      <w:marTop w:val="0"/>
      <w:marBottom w:val="0"/>
      <w:divBdr>
        <w:top w:val="none" w:sz="0" w:space="0" w:color="auto"/>
        <w:left w:val="none" w:sz="0" w:space="0" w:color="auto"/>
        <w:bottom w:val="none" w:sz="0" w:space="0" w:color="auto"/>
        <w:right w:val="none" w:sz="0" w:space="0" w:color="auto"/>
      </w:divBdr>
    </w:div>
    <w:div w:id="1647933077">
      <w:bodyDiv w:val="1"/>
      <w:marLeft w:val="0"/>
      <w:marRight w:val="0"/>
      <w:marTop w:val="0"/>
      <w:marBottom w:val="0"/>
      <w:divBdr>
        <w:top w:val="none" w:sz="0" w:space="0" w:color="auto"/>
        <w:left w:val="none" w:sz="0" w:space="0" w:color="auto"/>
        <w:bottom w:val="none" w:sz="0" w:space="0" w:color="auto"/>
        <w:right w:val="none" w:sz="0" w:space="0" w:color="auto"/>
      </w:divBdr>
    </w:div>
    <w:div w:id="1725717267">
      <w:bodyDiv w:val="1"/>
      <w:marLeft w:val="0"/>
      <w:marRight w:val="0"/>
      <w:marTop w:val="0"/>
      <w:marBottom w:val="0"/>
      <w:divBdr>
        <w:top w:val="none" w:sz="0" w:space="0" w:color="auto"/>
        <w:left w:val="none" w:sz="0" w:space="0" w:color="auto"/>
        <w:bottom w:val="none" w:sz="0" w:space="0" w:color="auto"/>
        <w:right w:val="none" w:sz="0" w:space="0" w:color="auto"/>
      </w:divBdr>
    </w:div>
    <w:div w:id="1885094605">
      <w:bodyDiv w:val="1"/>
      <w:marLeft w:val="0"/>
      <w:marRight w:val="0"/>
      <w:marTop w:val="0"/>
      <w:marBottom w:val="0"/>
      <w:divBdr>
        <w:top w:val="none" w:sz="0" w:space="0" w:color="auto"/>
        <w:left w:val="none" w:sz="0" w:space="0" w:color="auto"/>
        <w:bottom w:val="none" w:sz="0" w:space="0" w:color="auto"/>
        <w:right w:val="none" w:sz="0" w:space="0" w:color="auto"/>
      </w:divBdr>
    </w:div>
    <w:div w:id="198870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rk1\Documents\Low%20power%20wifi\IEEE%20802.11ah\Internal\TGah\CC09\Comment%20resol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DCC0C-960A-4F51-A972-9F6292819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27</TotalTime>
  <Pages>2</Pages>
  <Words>364</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 IEEE 802.11-13/xxxxr0</vt:lpstr>
    </vt:vector>
  </TitlesOfParts>
  <Company>Some Company</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802.11-13/xxxxr0</dc:title>
  <dc:subject>Submission</dc:subject>
  <dc:creator>mpark1</dc:creator>
  <cp:keywords>July 2013</cp:keywords>
  <dc:description>Minyoung Park, Intel Corporation</dc:description>
  <cp:lastModifiedBy>mtk30143</cp:lastModifiedBy>
  <cp:revision>22</cp:revision>
  <cp:lastPrinted>2013-07-02T22:14:00Z</cp:lastPrinted>
  <dcterms:created xsi:type="dcterms:W3CDTF">2013-08-20T22:27:00Z</dcterms:created>
  <dcterms:modified xsi:type="dcterms:W3CDTF">2013-09-16T03:05:00Z</dcterms:modified>
</cp:coreProperties>
</file>