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FC" w:rsidRDefault="00AE35FC">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198"/>
        <w:gridCol w:w="1890"/>
        <w:gridCol w:w="2088"/>
      </w:tblGrid>
      <w:tr w:rsidR="00AE35FC" w:rsidRPr="007E7DAC" w:rsidTr="009636AF">
        <w:trPr>
          <w:trHeight w:val="485"/>
          <w:jc w:val="center"/>
        </w:trPr>
        <w:tc>
          <w:tcPr>
            <w:tcW w:w="9576" w:type="dxa"/>
            <w:gridSpan w:val="5"/>
            <w:vAlign w:val="center"/>
          </w:tcPr>
          <w:p w:rsidR="00AE35FC" w:rsidRPr="007E7DAC" w:rsidRDefault="00AE35FC" w:rsidP="00AE35FC">
            <w:pPr>
              <w:pStyle w:val="T2"/>
            </w:pPr>
            <w:r>
              <w:t xml:space="preserve">Proposed Resolution for </w:t>
            </w:r>
            <w:r>
              <w:t>Some Security CIDs</w:t>
            </w:r>
          </w:p>
        </w:tc>
      </w:tr>
      <w:tr w:rsidR="00AE35FC" w:rsidRPr="007E7DAC" w:rsidTr="009636AF">
        <w:trPr>
          <w:trHeight w:val="359"/>
          <w:jc w:val="center"/>
        </w:trPr>
        <w:tc>
          <w:tcPr>
            <w:tcW w:w="9576" w:type="dxa"/>
            <w:gridSpan w:val="5"/>
            <w:vAlign w:val="center"/>
          </w:tcPr>
          <w:p w:rsidR="00AE35FC" w:rsidRPr="007E7DAC" w:rsidRDefault="00AE35FC" w:rsidP="009636AF">
            <w:pPr>
              <w:pStyle w:val="T2"/>
              <w:ind w:left="0"/>
              <w:rPr>
                <w:sz w:val="20"/>
              </w:rPr>
            </w:pPr>
            <w:r w:rsidRPr="007E7DAC">
              <w:rPr>
                <w:sz w:val="20"/>
              </w:rPr>
              <w:t>Date:</w:t>
            </w:r>
            <w:r w:rsidRPr="007E7DAC">
              <w:rPr>
                <w:b w:val="0"/>
                <w:sz w:val="20"/>
              </w:rPr>
              <w:t xml:space="preserve">  201</w:t>
            </w:r>
            <w:r>
              <w:rPr>
                <w:b w:val="0"/>
                <w:sz w:val="20"/>
              </w:rPr>
              <w:t>3-0</w:t>
            </w:r>
            <w:r>
              <w:rPr>
                <w:b w:val="0"/>
                <w:sz w:val="20"/>
              </w:rPr>
              <w:t>7-16</w:t>
            </w:r>
          </w:p>
        </w:tc>
      </w:tr>
      <w:tr w:rsidR="00AE35FC" w:rsidRPr="007E7DAC" w:rsidTr="009636AF">
        <w:trPr>
          <w:cantSplit/>
          <w:jc w:val="center"/>
        </w:trPr>
        <w:tc>
          <w:tcPr>
            <w:tcW w:w="9576" w:type="dxa"/>
            <w:gridSpan w:val="5"/>
            <w:vAlign w:val="center"/>
          </w:tcPr>
          <w:p w:rsidR="00AE35FC" w:rsidRPr="007E7DAC" w:rsidRDefault="00AE35FC" w:rsidP="009636AF">
            <w:pPr>
              <w:pStyle w:val="T2"/>
              <w:spacing w:after="0"/>
              <w:ind w:left="0" w:right="0"/>
              <w:jc w:val="left"/>
              <w:rPr>
                <w:sz w:val="20"/>
              </w:rPr>
            </w:pPr>
            <w:r w:rsidRPr="007E7DAC">
              <w:rPr>
                <w:sz w:val="20"/>
              </w:rPr>
              <w:t>Author(s):</w:t>
            </w:r>
          </w:p>
        </w:tc>
      </w:tr>
      <w:tr w:rsidR="00AE35FC" w:rsidRPr="007E7DAC" w:rsidTr="009636AF">
        <w:trPr>
          <w:jc w:val="center"/>
        </w:trPr>
        <w:tc>
          <w:tcPr>
            <w:tcW w:w="1548" w:type="dxa"/>
            <w:vAlign w:val="center"/>
          </w:tcPr>
          <w:p w:rsidR="00AE35FC" w:rsidRPr="007E7DAC" w:rsidRDefault="00AE35FC" w:rsidP="009636AF">
            <w:pPr>
              <w:pStyle w:val="T2"/>
              <w:spacing w:after="0"/>
              <w:ind w:left="0" w:right="0"/>
              <w:jc w:val="left"/>
              <w:rPr>
                <w:sz w:val="20"/>
              </w:rPr>
            </w:pPr>
            <w:r w:rsidRPr="007E7DAC">
              <w:rPr>
                <w:sz w:val="20"/>
              </w:rPr>
              <w:t>Name</w:t>
            </w:r>
          </w:p>
        </w:tc>
        <w:tc>
          <w:tcPr>
            <w:tcW w:w="1852" w:type="dxa"/>
            <w:vAlign w:val="center"/>
          </w:tcPr>
          <w:p w:rsidR="00AE35FC" w:rsidRPr="007E7DAC" w:rsidRDefault="00AE35FC" w:rsidP="009636AF">
            <w:pPr>
              <w:pStyle w:val="T2"/>
              <w:spacing w:after="0"/>
              <w:ind w:left="0" w:right="0"/>
              <w:jc w:val="left"/>
              <w:rPr>
                <w:sz w:val="20"/>
              </w:rPr>
            </w:pPr>
            <w:r w:rsidRPr="007E7DAC">
              <w:rPr>
                <w:sz w:val="20"/>
              </w:rPr>
              <w:t>Affiliation</w:t>
            </w:r>
          </w:p>
        </w:tc>
        <w:tc>
          <w:tcPr>
            <w:tcW w:w="2198" w:type="dxa"/>
            <w:vAlign w:val="center"/>
          </w:tcPr>
          <w:p w:rsidR="00AE35FC" w:rsidRPr="007E7DAC" w:rsidRDefault="00AE35FC" w:rsidP="009636AF">
            <w:pPr>
              <w:pStyle w:val="T2"/>
              <w:spacing w:after="0"/>
              <w:ind w:left="0" w:right="0"/>
              <w:jc w:val="left"/>
              <w:rPr>
                <w:sz w:val="20"/>
              </w:rPr>
            </w:pPr>
            <w:r w:rsidRPr="007E7DAC">
              <w:rPr>
                <w:sz w:val="20"/>
              </w:rPr>
              <w:t>Address</w:t>
            </w:r>
          </w:p>
        </w:tc>
        <w:tc>
          <w:tcPr>
            <w:tcW w:w="1890" w:type="dxa"/>
            <w:vAlign w:val="center"/>
          </w:tcPr>
          <w:p w:rsidR="00AE35FC" w:rsidRPr="007E7DAC" w:rsidRDefault="00AE35FC" w:rsidP="009636AF">
            <w:pPr>
              <w:pStyle w:val="T2"/>
              <w:spacing w:after="0"/>
              <w:ind w:left="0" w:right="0"/>
              <w:jc w:val="left"/>
              <w:rPr>
                <w:sz w:val="20"/>
              </w:rPr>
            </w:pPr>
            <w:r w:rsidRPr="007E7DAC">
              <w:rPr>
                <w:sz w:val="20"/>
              </w:rPr>
              <w:t>Phone</w:t>
            </w:r>
          </w:p>
        </w:tc>
        <w:tc>
          <w:tcPr>
            <w:tcW w:w="2088" w:type="dxa"/>
            <w:vAlign w:val="center"/>
          </w:tcPr>
          <w:p w:rsidR="00AE35FC" w:rsidRPr="007E7DAC" w:rsidRDefault="00AE35FC" w:rsidP="009636AF">
            <w:pPr>
              <w:pStyle w:val="T2"/>
              <w:spacing w:after="0"/>
              <w:ind w:left="0" w:right="0"/>
              <w:jc w:val="left"/>
              <w:rPr>
                <w:sz w:val="20"/>
              </w:rPr>
            </w:pPr>
            <w:r w:rsidRPr="007E7DAC">
              <w:rPr>
                <w:sz w:val="20"/>
              </w:rPr>
              <w:t>email</w:t>
            </w:r>
          </w:p>
        </w:tc>
      </w:tr>
      <w:tr w:rsidR="00AE35FC" w:rsidRPr="007E7DAC" w:rsidTr="009636AF">
        <w:trPr>
          <w:jc w:val="center"/>
        </w:trPr>
        <w:tc>
          <w:tcPr>
            <w:tcW w:w="1548" w:type="dxa"/>
            <w:vAlign w:val="center"/>
          </w:tcPr>
          <w:p w:rsidR="00AE35FC" w:rsidRPr="007E7DAC" w:rsidRDefault="00AE35FC" w:rsidP="009636AF">
            <w:pPr>
              <w:pStyle w:val="T2"/>
              <w:spacing w:after="0"/>
              <w:ind w:left="0" w:right="0"/>
              <w:rPr>
                <w:b w:val="0"/>
                <w:sz w:val="20"/>
              </w:rPr>
            </w:pPr>
            <w:r w:rsidRPr="007E7DAC">
              <w:rPr>
                <w:b w:val="0"/>
                <w:sz w:val="20"/>
              </w:rPr>
              <w:t>René Struik</w:t>
            </w:r>
          </w:p>
        </w:tc>
        <w:tc>
          <w:tcPr>
            <w:tcW w:w="1852" w:type="dxa"/>
            <w:vAlign w:val="center"/>
          </w:tcPr>
          <w:p w:rsidR="00AE35FC" w:rsidRPr="007E7DAC" w:rsidRDefault="00AE35FC" w:rsidP="009636AF">
            <w:pPr>
              <w:pStyle w:val="T2"/>
              <w:spacing w:after="0"/>
              <w:ind w:left="0" w:right="0"/>
              <w:rPr>
                <w:b w:val="0"/>
                <w:sz w:val="20"/>
              </w:rPr>
            </w:pPr>
            <w:r w:rsidRPr="007E7DAC">
              <w:rPr>
                <w:b w:val="0"/>
                <w:sz w:val="20"/>
              </w:rPr>
              <w:t>Struik Security Consultancy</w:t>
            </w:r>
          </w:p>
        </w:tc>
        <w:tc>
          <w:tcPr>
            <w:tcW w:w="2198" w:type="dxa"/>
            <w:vAlign w:val="center"/>
          </w:tcPr>
          <w:p w:rsidR="00AE35FC" w:rsidRPr="007E7DAC" w:rsidRDefault="00AE35FC" w:rsidP="009636AF">
            <w:pPr>
              <w:pStyle w:val="T2"/>
              <w:spacing w:after="0"/>
              <w:ind w:left="0" w:right="0"/>
              <w:rPr>
                <w:b w:val="0"/>
                <w:sz w:val="20"/>
              </w:rPr>
            </w:pPr>
            <w:r w:rsidRPr="007E7DAC">
              <w:rPr>
                <w:b w:val="0"/>
                <w:sz w:val="20"/>
              </w:rPr>
              <w:t>Toronto ON</w:t>
            </w:r>
          </w:p>
        </w:tc>
        <w:tc>
          <w:tcPr>
            <w:tcW w:w="1890" w:type="dxa"/>
            <w:vAlign w:val="center"/>
          </w:tcPr>
          <w:p w:rsidR="00AE35FC" w:rsidRPr="007E7DAC" w:rsidRDefault="00AE35FC" w:rsidP="009636AF">
            <w:pPr>
              <w:pStyle w:val="T2"/>
              <w:spacing w:after="0"/>
              <w:ind w:left="0" w:right="0"/>
              <w:jc w:val="left"/>
              <w:rPr>
                <w:b w:val="0"/>
                <w:sz w:val="20"/>
              </w:rPr>
            </w:pPr>
            <w:r w:rsidRPr="007E7DAC">
              <w:rPr>
                <w:b w:val="0"/>
                <w:sz w:val="20"/>
              </w:rPr>
              <w:t>+1 415 690-7363</w:t>
            </w:r>
          </w:p>
          <w:p w:rsidR="00AE35FC" w:rsidRPr="007E7DAC" w:rsidRDefault="00AE35FC" w:rsidP="009636AF">
            <w:pPr>
              <w:pStyle w:val="T2"/>
              <w:spacing w:after="0"/>
              <w:ind w:left="0" w:right="0"/>
              <w:jc w:val="left"/>
              <w:rPr>
                <w:b w:val="0"/>
                <w:sz w:val="20"/>
              </w:rPr>
            </w:pPr>
            <w:r w:rsidRPr="007E7DAC">
              <w:rPr>
                <w:b w:val="0"/>
                <w:sz w:val="20"/>
              </w:rPr>
              <w:t>+1 647 867-5658</w:t>
            </w:r>
          </w:p>
          <w:p w:rsidR="00AE35FC" w:rsidRPr="007E7DAC" w:rsidRDefault="00AE35FC" w:rsidP="009636AF">
            <w:pPr>
              <w:pStyle w:val="T2"/>
              <w:spacing w:after="0"/>
              <w:ind w:left="0" w:right="0"/>
              <w:rPr>
                <w:b w:val="0"/>
                <w:sz w:val="20"/>
              </w:rPr>
            </w:pPr>
            <w:r w:rsidRPr="007E7DAC">
              <w:rPr>
                <w:b w:val="0"/>
                <w:sz w:val="20"/>
              </w:rPr>
              <w:t xml:space="preserve">Skype: </w:t>
            </w:r>
            <w:proofErr w:type="spellStart"/>
            <w:r w:rsidRPr="007E7DAC">
              <w:rPr>
                <w:b w:val="0"/>
                <w:sz w:val="20"/>
              </w:rPr>
              <w:t>rstruik</w:t>
            </w:r>
            <w:proofErr w:type="spellEnd"/>
          </w:p>
        </w:tc>
        <w:tc>
          <w:tcPr>
            <w:tcW w:w="2088" w:type="dxa"/>
            <w:vAlign w:val="center"/>
          </w:tcPr>
          <w:p w:rsidR="00AE35FC" w:rsidRPr="007E7DAC" w:rsidRDefault="00AE35FC" w:rsidP="009636AF">
            <w:pPr>
              <w:pStyle w:val="T2"/>
              <w:spacing w:after="0"/>
              <w:ind w:left="0" w:right="0"/>
              <w:rPr>
                <w:b w:val="0"/>
                <w:sz w:val="16"/>
              </w:rPr>
            </w:pPr>
            <w:r w:rsidRPr="007E7DAC">
              <w:rPr>
                <w:b w:val="0"/>
                <w:sz w:val="20"/>
              </w:rPr>
              <w:t>rstruik.ext@gmail.com</w:t>
            </w:r>
          </w:p>
        </w:tc>
      </w:tr>
    </w:tbl>
    <w:p w:rsidR="00AE35FC" w:rsidRDefault="00AE35FC">
      <w:pPr>
        <w:rPr>
          <w:b/>
          <w:u w:val="single"/>
        </w:rPr>
      </w:pPr>
    </w:p>
    <w:p w:rsidR="00AE35FC" w:rsidRDefault="00AE35FC" w:rsidP="00AE35FC">
      <w:pPr>
        <w:pStyle w:val="T1"/>
        <w:spacing w:after="120"/>
      </w:pPr>
      <w:r>
        <w:t>Abstract</w:t>
      </w:r>
    </w:p>
    <w:p w:rsidR="00364DF0" w:rsidRDefault="00AE35FC" w:rsidP="00364DF0">
      <w:pPr>
        <w:pStyle w:val="NoSpacing"/>
      </w:pPr>
      <w:r>
        <w:t xml:space="preserve">This document </w:t>
      </w:r>
      <w:r w:rsidR="00364DF0">
        <w:t xml:space="preserve">discusses some security-related comments related to D0.5 of the </w:t>
      </w:r>
      <w:proofErr w:type="spellStart"/>
      <w:r w:rsidR="00364DF0">
        <w:t>TGai</w:t>
      </w:r>
      <w:proofErr w:type="spellEnd"/>
      <w:r w:rsidR="00364DF0">
        <w:t xml:space="preserve"> specification:</w:t>
      </w:r>
    </w:p>
    <w:p w:rsidR="00AE35FC" w:rsidRDefault="00364DF0" w:rsidP="00364DF0">
      <w:pPr>
        <w:pStyle w:val="NoSpacing"/>
        <w:numPr>
          <w:ilvl w:val="0"/>
          <w:numId w:val="8"/>
        </w:numPr>
      </w:pPr>
      <w:r>
        <w:t>Suggested resolution of comments with CID #1255, #1334, #1006, #1256, #1371, #1396;</w:t>
      </w:r>
    </w:p>
    <w:p w:rsidR="00364DF0" w:rsidRDefault="00364DF0" w:rsidP="00364DF0">
      <w:pPr>
        <w:pStyle w:val="NoSpacing"/>
        <w:numPr>
          <w:ilvl w:val="0"/>
          <w:numId w:val="8"/>
        </w:numPr>
      </w:pPr>
      <w:r>
        <w:t>Pseudo-resolution of comments with CID # 1377, 1388, 1387 (since withdrawn by commenter)</w:t>
      </w:r>
    </w:p>
    <w:p w:rsidR="00364DF0" w:rsidRDefault="00364DF0" w:rsidP="00364DF0">
      <w:pPr>
        <w:pStyle w:val="NoSpacing"/>
        <w:numPr>
          <w:ilvl w:val="0"/>
          <w:numId w:val="8"/>
        </w:numPr>
      </w:pPr>
      <w:r>
        <w:t>Suggested correction of resolution to comment CID #1384 (since seemingly mislabeled)</w:t>
      </w:r>
    </w:p>
    <w:p w:rsidR="00AE35FC" w:rsidRDefault="00AE35FC">
      <w:pPr>
        <w:rPr>
          <w:b/>
          <w:u w:val="single"/>
        </w:rPr>
      </w:pPr>
      <w:r>
        <w:rPr>
          <w:b/>
          <w:u w:val="single"/>
        </w:rPr>
        <w:br w:type="page"/>
      </w:r>
    </w:p>
    <w:p w:rsidR="00AE35FC" w:rsidRDefault="00AE35FC" w:rsidP="00055840">
      <w:pPr>
        <w:pStyle w:val="NoSpacing"/>
        <w:rPr>
          <w:b/>
          <w:u w:val="single"/>
        </w:rPr>
      </w:pPr>
      <w:r>
        <w:rPr>
          <w:b/>
          <w:u w:val="single"/>
        </w:rPr>
        <w:lastRenderedPageBreak/>
        <w:t>SUMMARY SHEET:</w:t>
      </w:r>
    </w:p>
    <w:p w:rsidR="00AE35FC" w:rsidRDefault="00AE35FC" w:rsidP="00055840">
      <w:pPr>
        <w:pStyle w:val="NoSpacing"/>
        <w:rPr>
          <w:b/>
          <w:u w:val="single"/>
        </w:rPr>
      </w:pPr>
    </w:p>
    <w:p w:rsidR="0092361A" w:rsidRDefault="008F4A67" w:rsidP="00055840">
      <w:pPr>
        <w:pStyle w:val="NoSpacing"/>
        <w:rPr>
          <w:b/>
          <w:u w:val="single"/>
        </w:rPr>
      </w:pPr>
      <w:r>
        <w:rPr>
          <w:b/>
          <w:u w:val="single"/>
        </w:rPr>
        <w:t xml:space="preserve">#1: </w:t>
      </w:r>
      <w:r w:rsidR="00E53F53">
        <w:rPr>
          <w:b/>
          <w:u w:val="single"/>
        </w:rPr>
        <w:t>Suggested resolution of comments referred to as “unresolved comments” in 13/495r15:</w:t>
      </w:r>
    </w:p>
    <w:p w:rsidR="00CC6D27" w:rsidRDefault="00CC6D27" w:rsidP="00055840">
      <w:pPr>
        <w:pStyle w:val="NoSpacing"/>
        <w:rPr>
          <w:b/>
          <w:u w:val="single"/>
        </w:rPr>
      </w:pPr>
    </w:p>
    <w:tbl>
      <w:tblPr>
        <w:tblStyle w:val="TableGrid"/>
        <w:tblW w:w="0" w:type="auto"/>
        <w:tblLook w:val="04A0"/>
      </w:tblPr>
      <w:tblGrid>
        <w:gridCol w:w="698"/>
        <w:gridCol w:w="1689"/>
        <w:gridCol w:w="7189"/>
      </w:tblGrid>
      <w:tr w:rsidR="00CC6D27" w:rsidRPr="004C4BE3" w:rsidTr="008F4A67">
        <w:tc>
          <w:tcPr>
            <w:tcW w:w="698" w:type="dxa"/>
          </w:tcPr>
          <w:p w:rsidR="00CC6D27" w:rsidRPr="004C4BE3" w:rsidRDefault="00CC6D27" w:rsidP="00C3236D">
            <w:pPr>
              <w:autoSpaceDE w:val="0"/>
              <w:autoSpaceDN w:val="0"/>
              <w:adjustRightInd w:val="0"/>
              <w:rPr>
                <w:rFonts w:cs="Consolas"/>
                <w:b/>
              </w:rPr>
            </w:pPr>
            <w:r w:rsidRPr="004C4BE3">
              <w:rPr>
                <w:rFonts w:cs="Consolas"/>
                <w:b/>
              </w:rPr>
              <w:t>CID</w:t>
            </w:r>
          </w:p>
        </w:tc>
        <w:tc>
          <w:tcPr>
            <w:tcW w:w="1689" w:type="dxa"/>
          </w:tcPr>
          <w:p w:rsidR="00CC6D27" w:rsidRPr="004C4BE3" w:rsidRDefault="00CC6D27" w:rsidP="00C3236D">
            <w:pPr>
              <w:autoSpaceDE w:val="0"/>
              <w:autoSpaceDN w:val="0"/>
              <w:adjustRightInd w:val="0"/>
              <w:rPr>
                <w:rFonts w:cs="Consolas"/>
                <w:b/>
              </w:rPr>
            </w:pPr>
            <w:r w:rsidRPr="004C4BE3">
              <w:rPr>
                <w:rFonts w:cs="Consolas"/>
                <w:b/>
              </w:rPr>
              <w:t>Resolution</w:t>
            </w:r>
          </w:p>
        </w:tc>
        <w:tc>
          <w:tcPr>
            <w:tcW w:w="7189" w:type="dxa"/>
          </w:tcPr>
          <w:p w:rsidR="00CC6D27" w:rsidRPr="004C4BE3" w:rsidRDefault="00CC6D27" w:rsidP="00C3236D">
            <w:pPr>
              <w:autoSpaceDE w:val="0"/>
              <w:autoSpaceDN w:val="0"/>
              <w:adjustRightInd w:val="0"/>
              <w:rPr>
                <w:rFonts w:cs="Consolas"/>
                <w:b/>
              </w:rPr>
            </w:pPr>
            <w:r w:rsidRPr="004C4BE3">
              <w:rPr>
                <w:rFonts w:cs="Consolas"/>
                <w:b/>
              </w:rPr>
              <w:t>Brief rationale</w:t>
            </w:r>
          </w:p>
        </w:tc>
      </w:tr>
      <w:tr w:rsidR="00CC6D27" w:rsidRPr="00AE35FC" w:rsidTr="008F4A67">
        <w:tc>
          <w:tcPr>
            <w:tcW w:w="698" w:type="dxa"/>
          </w:tcPr>
          <w:p w:rsidR="00CC6D27" w:rsidRPr="00AE35FC" w:rsidRDefault="00CC6D27" w:rsidP="00C3236D">
            <w:pPr>
              <w:autoSpaceDE w:val="0"/>
              <w:autoSpaceDN w:val="0"/>
              <w:adjustRightInd w:val="0"/>
              <w:rPr>
                <w:rFonts w:cs="Consolas"/>
              </w:rPr>
            </w:pPr>
            <w:r w:rsidRPr="00AE35FC">
              <w:rPr>
                <w:rFonts w:cs="Consolas"/>
              </w:rPr>
              <w:t>1255</w:t>
            </w:r>
          </w:p>
        </w:tc>
        <w:tc>
          <w:tcPr>
            <w:tcW w:w="1689" w:type="dxa"/>
          </w:tcPr>
          <w:p w:rsidR="00CC6D27" w:rsidRPr="00AE35FC" w:rsidRDefault="00CC6D27" w:rsidP="00C3236D">
            <w:pPr>
              <w:autoSpaceDE w:val="0"/>
              <w:autoSpaceDN w:val="0"/>
              <w:adjustRightInd w:val="0"/>
              <w:jc w:val="center"/>
              <w:rPr>
                <w:rFonts w:cs="Consolas"/>
              </w:rPr>
            </w:pPr>
            <w:r w:rsidRPr="00AE35FC">
              <w:rPr>
                <w:rFonts w:cs="Consolas"/>
              </w:rPr>
              <w:t>Accept</w:t>
            </w:r>
          </w:p>
        </w:tc>
        <w:tc>
          <w:tcPr>
            <w:tcW w:w="7189" w:type="dxa"/>
          </w:tcPr>
          <w:p w:rsidR="00CC6D27" w:rsidRPr="00AE35FC" w:rsidRDefault="00CC6D27" w:rsidP="00C3236D">
            <w:pPr>
              <w:autoSpaceDE w:val="0"/>
              <w:autoSpaceDN w:val="0"/>
              <w:adjustRightInd w:val="0"/>
              <w:rPr>
                <w:rFonts w:cs="Consolas"/>
              </w:rPr>
            </w:pPr>
            <w:r w:rsidRPr="00AE35FC">
              <w:rPr>
                <w:rFonts w:cs="Consolas"/>
              </w:rPr>
              <w:t>Add acronym AEAD mode</w:t>
            </w:r>
          </w:p>
        </w:tc>
      </w:tr>
      <w:tr w:rsidR="00CC6D27" w:rsidRPr="00AE35FC" w:rsidTr="008F4A67">
        <w:tc>
          <w:tcPr>
            <w:tcW w:w="698" w:type="dxa"/>
          </w:tcPr>
          <w:p w:rsidR="00CC6D27" w:rsidRPr="00AE35FC" w:rsidRDefault="00CC6D27" w:rsidP="00C3236D">
            <w:pPr>
              <w:autoSpaceDE w:val="0"/>
              <w:autoSpaceDN w:val="0"/>
              <w:adjustRightInd w:val="0"/>
              <w:rPr>
                <w:rFonts w:cs="Consolas"/>
              </w:rPr>
            </w:pPr>
            <w:r w:rsidRPr="00AE35FC">
              <w:rPr>
                <w:rFonts w:cs="Consolas"/>
              </w:rPr>
              <w:t>1334</w:t>
            </w:r>
          </w:p>
        </w:tc>
        <w:tc>
          <w:tcPr>
            <w:tcW w:w="1689" w:type="dxa"/>
          </w:tcPr>
          <w:p w:rsidR="00CC6D27" w:rsidRPr="00AE35FC" w:rsidRDefault="00CC6D27" w:rsidP="00C3236D">
            <w:pPr>
              <w:autoSpaceDE w:val="0"/>
              <w:autoSpaceDN w:val="0"/>
              <w:adjustRightInd w:val="0"/>
              <w:jc w:val="center"/>
              <w:rPr>
                <w:rFonts w:cs="Consolas"/>
              </w:rPr>
            </w:pPr>
            <w:r w:rsidRPr="00AE35FC">
              <w:rPr>
                <w:rFonts w:cs="Consolas"/>
              </w:rPr>
              <w:t>Reject</w:t>
            </w:r>
          </w:p>
        </w:tc>
        <w:tc>
          <w:tcPr>
            <w:tcW w:w="7189" w:type="dxa"/>
          </w:tcPr>
          <w:p w:rsidR="00CC6D27" w:rsidRPr="00AE35FC" w:rsidRDefault="00CC6D27" w:rsidP="00C3236D">
            <w:pPr>
              <w:autoSpaceDE w:val="0"/>
              <w:autoSpaceDN w:val="0"/>
              <w:adjustRightInd w:val="0"/>
              <w:rPr>
                <w:rFonts w:cs="Consolas"/>
              </w:rPr>
            </w:pPr>
            <w:r w:rsidRPr="00AE35FC">
              <w:rPr>
                <w:rFonts w:cs="Consolas"/>
              </w:rPr>
              <w:t>Comment based on technical misconception re nonce requirements</w:t>
            </w:r>
          </w:p>
        </w:tc>
      </w:tr>
      <w:tr w:rsidR="00CC6D27" w:rsidRPr="00AE35FC" w:rsidTr="008F4A67">
        <w:tc>
          <w:tcPr>
            <w:tcW w:w="698" w:type="dxa"/>
          </w:tcPr>
          <w:p w:rsidR="00CC6D27" w:rsidRPr="00AE35FC" w:rsidRDefault="00CC6D27" w:rsidP="00C3236D">
            <w:pPr>
              <w:autoSpaceDE w:val="0"/>
              <w:autoSpaceDN w:val="0"/>
              <w:adjustRightInd w:val="0"/>
              <w:rPr>
                <w:rFonts w:cs="Consolas"/>
              </w:rPr>
            </w:pPr>
            <w:r w:rsidRPr="00AE35FC">
              <w:rPr>
                <w:rFonts w:cs="Consolas"/>
              </w:rPr>
              <w:t>1006</w:t>
            </w:r>
          </w:p>
        </w:tc>
        <w:tc>
          <w:tcPr>
            <w:tcW w:w="1689" w:type="dxa"/>
          </w:tcPr>
          <w:p w:rsidR="00CC6D27" w:rsidRPr="00AE35FC" w:rsidRDefault="00CC6D27" w:rsidP="00C3236D">
            <w:pPr>
              <w:autoSpaceDE w:val="0"/>
              <w:autoSpaceDN w:val="0"/>
              <w:adjustRightInd w:val="0"/>
              <w:jc w:val="center"/>
              <w:rPr>
                <w:rFonts w:cs="Consolas"/>
              </w:rPr>
            </w:pPr>
            <w:r w:rsidRPr="00AE35FC">
              <w:rPr>
                <w:rFonts w:cs="Consolas"/>
              </w:rPr>
              <w:t>Reject</w:t>
            </w:r>
          </w:p>
        </w:tc>
        <w:tc>
          <w:tcPr>
            <w:tcW w:w="7189" w:type="dxa"/>
          </w:tcPr>
          <w:p w:rsidR="00CC6D27" w:rsidRPr="00AE35FC" w:rsidRDefault="00CC6D27" w:rsidP="00C3236D">
            <w:pPr>
              <w:autoSpaceDE w:val="0"/>
              <w:autoSpaceDN w:val="0"/>
              <w:adjustRightInd w:val="0"/>
              <w:rPr>
                <w:rFonts w:cs="Consolas"/>
              </w:rPr>
            </w:pPr>
            <w:r w:rsidRPr="00AE35FC">
              <w:rPr>
                <w:rFonts w:cs="Consolas"/>
              </w:rPr>
              <w:t>Comment based on technical misconception re nonce requirements (see #1334)</w:t>
            </w:r>
          </w:p>
        </w:tc>
      </w:tr>
      <w:tr w:rsidR="00CC6D27" w:rsidRPr="00AE35FC" w:rsidTr="008F4A67">
        <w:tc>
          <w:tcPr>
            <w:tcW w:w="698" w:type="dxa"/>
          </w:tcPr>
          <w:p w:rsidR="00CC6D27" w:rsidRPr="00AE35FC" w:rsidRDefault="00CC6D27" w:rsidP="00C3236D">
            <w:pPr>
              <w:autoSpaceDE w:val="0"/>
              <w:autoSpaceDN w:val="0"/>
              <w:adjustRightInd w:val="0"/>
              <w:rPr>
                <w:rFonts w:cs="Consolas"/>
              </w:rPr>
            </w:pPr>
            <w:r w:rsidRPr="00AE35FC">
              <w:rPr>
                <w:rFonts w:cs="Consolas"/>
              </w:rPr>
              <w:t>1256</w:t>
            </w:r>
          </w:p>
        </w:tc>
        <w:tc>
          <w:tcPr>
            <w:tcW w:w="1689" w:type="dxa"/>
          </w:tcPr>
          <w:p w:rsidR="00CC6D27" w:rsidRPr="00AE35FC" w:rsidRDefault="00CC6D27" w:rsidP="00C3236D">
            <w:pPr>
              <w:autoSpaceDE w:val="0"/>
              <w:autoSpaceDN w:val="0"/>
              <w:adjustRightInd w:val="0"/>
              <w:jc w:val="center"/>
              <w:rPr>
                <w:rFonts w:cs="Consolas"/>
              </w:rPr>
            </w:pPr>
            <w:r w:rsidRPr="00AE35FC">
              <w:rPr>
                <w:rFonts w:cs="Consolas"/>
              </w:rPr>
              <w:t>Accept</w:t>
            </w:r>
          </w:p>
        </w:tc>
        <w:tc>
          <w:tcPr>
            <w:tcW w:w="7189" w:type="dxa"/>
          </w:tcPr>
          <w:p w:rsidR="00CC6D27" w:rsidRPr="00AE35FC" w:rsidRDefault="00CC6D27" w:rsidP="00C3236D">
            <w:pPr>
              <w:autoSpaceDE w:val="0"/>
              <w:autoSpaceDN w:val="0"/>
              <w:adjustRightInd w:val="0"/>
              <w:rPr>
                <w:rFonts w:cs="Consolas"/>
              </w:rPr>
            </w:pPr>
            <w:r w:rsidRPr="00AE35FC">
              <w:rPr>
                <w:rFonts w:cs="Consolas"/>
              </w:rPr>
              <w:t>Editorial glitch (copy-paste error from §11.11.2.6 to §11.11.2.7): swap STA and AP</w:t>
            </w:r>
          </w:p>
        </w:tc>
      </w:tr>
      <w:tr w:rsidR="00CC6D27" w:rsidRPr="00AE35FC" w:rsidTr="008F4A67">
        <w:tc>
          <w:tcPr>
            <w:tcW w:w="698" w:type="dxa"/>
          </w:tcPr>
          <w:p w:rsidR="00CC6D27" w:rsidRPr="00AE35FC" w:rsidRDefault="00CC6D27" w:rsidP="00C3236D">
            <w:pPr>
              <w:autoSpaceDE w:val="0"/>
              <w:autoSpaceDN w:val="0"/>
              <w:adjustRightInd w:val="0"/>
              <w:rPr>
                <w:rFonts w:cs="Consolas"/>
              </w:rPr>
            </w:pPr>
            <w:r w:rsidRPr="00AE35FC">
              <w:rPr>
                <w:rFonts w:cs="Consolas"/>
              </w:rPr>
              <w:t>1371</w:t>
            </w:r>
          </w:p>
        </w:tc>
        <w:tc>
          <w:tcPr>
            <w:tcW w:w="1689" w:type="dxa"/>
          </w:tcPr>
          <w:p w:rsidR="00CC6D27" w:rsidRPr="00AE35FC" w:rsidRDefault="00CC6D27" w:rsidP="00C3236D">
            <w:pPr>
              <w:autoSpaceDE w:val="0"/>
              <w:autoSpaceDN w:val="0"/>
              <w:adjustRightInd w:val="0"/>
              <w:jc w:val="center"/>
              <w:rPr>
                <w:rFonts w:cs="Consolas"/>
              </w:rPr>
            </w:pPr>
            <w:r w:rsidRPr="00AE35FC">
              <w:rPr>
                <w:rFonts w:cs="Consolas"/>
              </w:rPr>
              <w:t>Accept</w:t>
            </w:r>
          </w:p>
        </w:tc>
        <w:tc>
          <w:tcPr>
            <w:tcW w:w="7189" w:type="dxa"/>
          </w:tcPr>
          <w:p w:rsidR="00CC6D27" w:rsidRPr="00AE35FC" w:rsidRDefault="00CC6D27" w:rsidP="00C3236D">
            <w:pPr>
              <w:autoSpaceDE w:val="0"/>
              <w:autoSpaceDN w:val="0"/>
              <w:adjustRightInd w:val="0"/>
              <w:rPr>
                <w:rFonts w:cs="Consolas"/>
              </w:rPr>
            </w:pPr>
            <w:r w:rsidRPr="00AE35FC">
              <w:rPr>
                <w:rFonts w:cs="Consolas"/>
              </w:rPr>
              <w:t>Delete note on Denial-of-Service risk</w:t>
            </w:r>
          </w:p>
        </w:tc>
      </w:tr>
      <w:tr w:rsidR="00E53F53" w:rsidRPr="004C4BE3" w:rsidTr="008F4A67">
        <w:tc>
          <w:tcPr>
            <w:tcW w:w="698" w:type="dxa"/>
          </w:tcPr>
          <w:p w:rsidR="00E53F53" w:rsidRPr="00AE35FC" w:rsidRDefault="00E53F53" w:rsidP="006E73FF">
            <w:pPr>
              <w:autoSpaceDE w:val="0"/>
              <w:autoSpaceDN w:val="0"/>
              <w:adjustRightInd w:val="0"/>
              <w:rPr>
                <w:rFonts w:cs="Consolas"/>
              </w:rPr>
            </w:pPr>
            <w:r w:rsidRPr="00AE35FC">
              <w:rPr>
                <w:rFonts w:cs="Consolas"/>
              </w:rPr>
              <w:t>1396</w:t>
            </w:r>
          </w:p>
        </w:tc>
        <w:tc>
          <w:tcPr>
            <w:tcW w:w="1689" w:type="dxa"/>
          </w:tcPr>
          <w:p w:rsidR="00E53F53" w:rsidRPr="00AE35FC" w:rsidRDefault="00E53F53" w:rsidP="006E73FF">
            <w:pPr>
              <w:autoSpaceDE w:val="0"/>
              <w:autoSpaceDN w:val="0"/>
              <w:adjustRightInd w:val="0"/>
              <w:jc w:val="center"/>
              <w:rPr>
                <w:rFonts w:cs="Consolas"/>
              </w:rPr>
            </w:pPr>
            <w:r w:rsidRPr="00AE35FC">
              <w:rPr>
                <w:rFonts w:cs="Consolas"/>
              </w:rPr>
              <w:t>Accept</w:t>
            </w:r>
          </w:p>
        </w:tc>
        <w:tc>
          <w:tcPr>
            <w:tcW w:w="7189" w:type="dxa"/>
          </w:tcPr>
          <w:p w:rsidR="00E53F53" w:rsidRPr="004C4BE3" w:rsidRDefault="00E53F53" w:rsidP="006E73FF">
            <w:pPr>
              <w:autoSpaceDE w:val="0"/>
              <w:autoSpaceDN w:val="0"/>
              <w:adjustRightInd w:val="0"/>
              <w:rPr>
                <w:rFonts w:cs="Consolas"/>
              </w:rPr>
            </w:pPr>
            <w:r w:rsidRPr="00AE35FC">
              <w:rPr>
                <w:rFonts w:cs="Consolas"/>
              </w:rPr>
              <w:t>Fix cross-reference</w:t>
            </w:r>
          </w:p>
        </w:tc>
      </w:tr>
    </w:tbl>
    <w:p w:rsidR="00CC6D27" w:rsidRDefault="00CC6D27" w:rsidP="00055840">
      <w:pPr>
        <w:pStyle w:val="NoSpacing"/>
        <w:rPr>
          <w:b/>
          <w:u w:val="single"/>
        </w:rPr>
      </w:pPr>
    </w:p>
    <w:p w:rsidR="0092361A" w:rsidRDefault="008F4A67" w:rsidP="00055840">
      <w:pPr>
        <w:pStyle w:val="NoSpacing"/>
        <w:rPr>
          <w:b/>
          <w:u w:val="single"/>
        </w:rPr>
      </w:pPr>
      <w:r>
        <w:rPr>
          <w:b/>
          <w:u w:val="single"/>
        </w:rPr>
        <w:t>#2: Withdrawn comments:</w:t>
      </w:r>
    </w:p>
    <w:p w:rsidR="008F4A67" w:rsidRDefault="008F4A67" w:rsidP="00055840">
      <w:pPr>
        <w:pStyle w:val="NoSpacing"/>
        <w:rPr>
          <w:b/>
          <w:u w:val="single"/>
        </w:rPr>
      </w:pPr>
    </w:p>
    <w:tbl>
      <w:tblPr>
        <w:tblStyle w:val="TableGrid"/>
        <w:tblW w:w="0" w:type="auto"/>
        <w:tblLook w:val="04A0"/>
      </w:tblPr>
      <w:tblGrid>
        <w:gridCol w:w="701"/>
        <w:gridCol w:w="1223"/>
        <w:gridCol w:w="7652"/>
      </w:tblGrid>
      <w:tr w:rsidR="008F4A67" w:rsidRPr="00E53F53" w:rsidTr="009636AF">
        <w:tc>
          <w:tcPr>
            <w:tcW w:w="701" w:type="dxa"/>
          </w:tcPr>
          <w:p w:rsidR="008F4A67" w:rsidRPr="00E53F53" w:rsidRDefault="008F4A67" w:rsidP="009636AF">
            <w:pPr>
              <w:autoSpaceDE w:val="0"/>
              <w:autoSpaceDN w:val="0"/>
              <w:adjustRightInd w:val="0"/>
              <w:rPr>
                <w:rFonts w:cs="Consolas"/>
                <w:b/>
              </w:rPr>
            </w:pPr>
            <w:r w:rsidRPr="00E53F53">
              <w:rPr>
                <w:rFonts w:cs="Consolas"/>
                <w:b/>
              </w:rPr>
              <w:t>CID</w:t>
            </w:r>
          </w:p>
        </w:tc>
        <w:tc>
          <w:tcPr>
            <w:tcW w:w="1223" w:type="dxa"/>
          </w:tcPr>
          <w:p w:rsidR="008F4A67" w:rsidRPr="00E53F53" w:rsidRDefault="008F4A67" w:rsidP="009636AF">
            <w:pPr>
              <w:autoSpaceDE w:val="0"/>
              <w:autoSpaceDN w:val="0"/>
              <w:adjustRightInd w:val="0"/>
              <w:jc w:val="center"/>
              <w:rPr>
                <w:rFonts w:cs="Consolas"/>
                <w:b/>
              </w:rPr>
            </w:pPr>
            <w:r w:rsidRPr="00E53F53">
              <w:rPr>
                <w:rFonts w:cs="Consolas"/>
                <w:b/>
              </w:rPr>
              <w:t>Resolution</w:t>
            </w:r>
          </w:p>
        </w:tc>
        <w:tc>
          <w:tcPr>
            <w:tcW w:w="7652" w:type="dxa"/>
          </w:tcPr>
          <w:p w:rsidR="008F4A67" w:rsidRPr="00E53F53" w:rsidRDefault="008F4A67" w:rsidP="009636AF">
            <w:pPr>
              <w:autoSpaceDE w:val="0"/>
              <w:autoSpaceDN w:val="0"/>
              <w:adjustRightInd w:val="0"/>
              <w:rPr>
                <w:rFonts w:cs="Consolas"/>
                <w:b/>
              </w:rPr>
            </w:pPr>
          </w:p>
        </w:tc>
      </w:tr>
      <w:tr w:rsidR="008F4A67" w:rsidRPr="000A03D0" w:rsidTr="009636AF">
        <w:tc>
          <w:tcPr>
            <w:tcW w:w="701" w:type="dxa"/>
          </w:tcPr>
          <w:p w:rsidR="008F4A67" w:rsidRPr="000A03D0" w:rsidRDefault="008F4A67" w:rsidP="009636AF">
            <w:pPr>
              <w:autoSpaceDE w:val="0"/>
              <w:autoSpaceDN w:val="0"/>
              <w:adjustRightInd w:val="0"/>
              <w:rPr>
                <w:rFonts w:cs="Consolas"/>
              </w:rPr>
            </w:pPr>
            <w:r w:rsidRPr="000A03D0">
              <w:rPr>
                <w:rFonts w:cs="Consolas"/>
              </w:rPr>
              <w:t>13</w:t>
            </w:r>
            <w:r>
              <w:rPr>
                <w:rFonts w:cs="Consolas"/>
              </w:rPr>
              <w:t>77</w:t>
            </w:r>
          </w:p>
        </w:tc>
        <w:tc>
          <w:tcPr>
            <w:tcW w:w="1223" w:type="dxa"/>
          </w:tcPr>
          <w:p w:rsidR="008F4A67" w:rsidRPr="000A03D0" w:rsidRDefault="008F4A67" w:rsidP="009636AF">
            <w:pPr>
              <w:autoSpaceDE w:val="0"/>
              <w:autoSpaceDN w:val="0"/>
              <w:adjustRightInd w:val="0"/>
              <w:jc w:val="center"/>
              <w:rPr>
                <w:rFonts w:cs="Consolas"/>
              </w:rPr>
            </w:pPr>
            <w:r>
              <w:rPr>
                <w:rFonts w:cs="Consolas"/>
              </w:rPr>
              <w:t>Withdrawn</w:t>
            </w:r>
          </w:p>
        </w:tc>
        <w:tc>
          <w:tcPr>
            <w:tcW w:w="7652" w:type="dxa"/>
          </w:tcPr>
          <w:p w:rsidR="008F4A67" w:rsidRPr="000A03D0" w:rsidRDefault="008F4A67" w:rsidP="009636AF">
            <w:pPr>
              <w:autoSpaceDE w:val="0"/>
              <w:autoSpaceDN w:val="0"/>
              <w:adjustRightInd w:val="0"/>
              <w:rPr>
                <w:rFonts w:cs="Consolas"/>
              </w:rPr>
            </w:pPr>
            <w:r>
              <w:rPr>
                <w:rFonts w:cs="Consolas"/>
              </w:rPr>
              <w:t xml:space="preserve">Exchange certificates with authentication frames, rather than association frames </w:t>
            </w:r>
          </w:p>
        </w:tc>
      </w:tr>
      <w:tr w:rsidR="008F4A67" w:rsidRPr="000A03D0" w:rsidTr="009636AF">
        <w:tc>
          <w:tcPr>
            <w:tcW w:w="701" w:type="dxa"/>
          </w:tcPr>
          <w:p w:rsidR="008F4A67" w:rsidRPr="000A03D0" w:rsidRDefault="008F4A67" w:rsidP="009636AF">
            <w:pPr>
              <w:autoSpaceDE w:val="0"/>
              <w:autoSpaceDN w:val="0"/>
              <w:adjustRightInd w:val="0"/>
              <w:rPr>
                <w:rFonts w:cs="Consolas"/>
              </w:rPr>
            </w:pPr>
            <w:r w:rsidRPr="000A03D0">
              <w:rPr>
                <w:rFonts w:cs="Consolas"/>
              </w:rPr>
              <w:t>1388</w:t>
            </w:r>
          </w:p>
        </w:tc>
        <w:tc>
          <w:tcPr>
            <w:tcW w:w="1223" w:type="dxa"/>
          </w:tcPr>
          <w:p w:rsidR="008F4A67" w:rsidRPr="000A03D0" w:rsidRDefault="008F4A67" w:rsidP="009636AF">
            <w:pPr>
              <w:autoSpaceDE w:val="0"/>
              <w:autoSpaceDN w:val="0"/>
              <w:adjustRightInd w:val="0"/>
              <w:jc w:val="center"/>
              <w:rPr>
                <w:rFonts w:cs="Consolas"/>
              </w:rPr>
            </w:pPr>
            <w:r>
              <w:rPr>
                <w:rFonts w:cs="Consolas"/>
              </w:rPr>
              <w:t>Withdrawn</w:t>
            </w:r>
          </w:p>
        </w:tc>
        <w:tc>
          <w:tcPr>
            <w:tcW w:w="7652" w:type="dxa"/>
          </w:tcPr>
          <w:p w:rsidR="008F4A67" w:rsidRPr="000A03D0" w:rsidRDefault="008F4A67" w:rsidP="009636AF">
            <w:pPr>
              <w:autoSpaceDE w:val="0"/>
              <w:autoSpaceDN w:val="0"/>
              <w:adjustRightInd w:val="0"/>
              <w:rPr>
                <w:rFonts w:cs="Consolas"/>
              </w:rPr>
            </w:pPr>
            <w:r w:rsidRPr="000A03D0">
              <w:rPr>
                <w:rFonts w:cs="Consolas"/>
              </w:rPr>
              <w:t xml:space="preserve">TBD </w:t>
            </w:r>
            <w:r>
              <w:rPr>
                <w:rFonts w:cs="Consolas"/>
              </w:rPr>
              <w:t>–</w:t>
            </w:r>
            <w:r w:rsidRPr="000A03D0">
              <w:rPr>
                <w:rFonts w:cs="Consolas"/>
              </w:rPr>
              <w:t xml:space="preserve"> Currently unclear to commenter how one arrives at </w:t>
            </w:r>
            <w:proofErr w:type="spellStart"/>
            <w:r w:rsidRPr="000A03D0">
              <w:rPr>
                <w:rFonts w:cs="Consolas"/>
              </w:rPr>
              <w:t>rMSK</w:t>
            </w:r>
            <w:proofErr w:type="spellEnd"/>
            <w:r w:rsidRPr="000A03D0">
              <w:rPr>
                <w:rFonts w:cs="Consolas"/>
              </w:rPr>
              <w:t xml:space="preserve"> key</w:t>
            </w:r>
          </w:p>
        </w:tc>
      </w:tr>
      <w:tr w:rsidR="008F4A67" w:rsidRPr="000A03D0" w:rsidTr="009636AF">
        <w:tc>
          <w:tcPr>
            <w:tcW w:w="701" w:type="dxa"/>
          </w:tcPr>
          <w:p w:rsidR="008F4A67" w:rsidRPr="000A03D0" w:rsidRDefault="008F4A67" w:rsidP="009636AF">
            <w:pPr>
              <w:autoSpaceDE w:val="0"/>
              <w:autoSpaceDN w:val="0"/>
              <w:adjustRightInd w:val="0"/>
              <w:rPr>
                <w:rFonts w:cs="Consolas"/>
              </w:rPr>
            </w:pPr>
            <w:r w:rsidRPr="000A03D0">
              <w:rPr>
                <w:rFonts w:cs="Consolas"/>
              </w:rPr>
              <w:t>1387</w:t>
            </w:r>
          </w:p>
        </w:tc>
        <w:tc>
          <w:tcPr>
            <w:tcW w:w="1223" w:type="dxa"/>
          </w:tcPr>
          <w:p w:rsidR="008F4A67" w:rsidRPr="000A03D0" w:rsidRDefault="008F4A67" w:rsidP="009636AF">
            <w:pPr>
              <w:autoSpaceDE w:val="0"/>
              <w:autoSpaceDN w:val="0"/>
              <w:adjustRightInd w:val="0"/>
              <w:jc w:val="center"/>
              <w:rPr>
                <w:rFonts w:cs="Consolas"/>
              </w:rPr>
            </w:pPr>
            <w:r>
              <w:rPr>
                <w:rFonts w:cs="Consolas"/>
              </w:rPr>
              <w:t>Withdrawn</w:t>
            </w:r>
          </w:p>
        </w:tc>
        <w:tc>
          <w:tcPr>
            <w:tcW w:w="7652" w:type="dxa"/>
          </w:tcPr>
          <w:p w:rsidR="008F4A67" w:rsidRPr="000A03D0" w:rsidRDefault="008F4A67" w:rsidP="009636AF">
            <w:pPr>
              <w:autoSpaceDE w:val="0"/>
              <w:autoSpaceDN w:val="0"/>
              <w:adjustRightInd w:val="0"/>
              <w:rPr>
                <w:rFonts w:cs="Consolas"/>
              </w:rPr>
            </w:pPr>
            <w:r w:rsidRPr="000A03D0">
              <w:rPr>
                <w:rFonts w:cs="Consolas"/>
              </w:rPr>
              <w:t>TBD – Currently unclear to commenter how this works</w:t>
            </w:r>
          </w:p>
        </w:tc>
      </w:tr>
    </w:tbl>
    <w:p w:rsidR="008F4A67" w:rsidRDefault="008F4A67" w:rsidP="00055840">
      <w:pPr>
        <w:pStyle w:val="NoSpacing"/>
        <w:rPr>
          <w:b/>
          <w:u w:val="single"/>
        </w:rPr>
      </w:pPr>
    </w:p>
    <w:p w:rsidR="008F4A67" w:rsidRDefault="008F4A67" w:rsidP="00055840">
      <w:pPr>
        <w:pStyle w:val="NoSpacing"/>
        <w:rPr>
          <w:b/>
          <w:u w:val="single"/>
        </w:rPr>
      </w:pPr>
      <w:r>
        <w:rPr>
          <w:b/>
          <w:u w:val="single"/>
        </w:rPr>
        <w:t xml:space="preserve">#3: Mislabeled resolution of comments in </w:t>
      </w:r>
      <w:r w:rsidR="00AE35FC">
        <w:rPr>
          <w:b/>
          <w:u w:val="single"/>
        </w:rPr>
        <w:t xml:space="preserve">“2013-07-Geneva-03” in </w:t>
      </w:r>
      <w:r>
        <w:rPr>
          <w:b/>
          <w:u w:val="single"/>
        </w:rPr>
        <w:t>13/495r15:</w:t>
      </w:r>
    </w:p>
    <w:p w:rsidR="008F4A67" w:rsidRDefault="008F4A67" w:rsidP="00055840">
      <w:pPr>
        <w:pStyle w:val="NoSpacing"/>
        <w:rPr>
          <w:b/>
          <w:u w:val="single"/>
        </w:rPr>
      </w:pPr>
      <w:r>
        <w:rPr>
          <w:b/>
          <w:u w:val="single"/>
        </w:rPr>
        <w:t xml:space="preserve"> </w:t>
      </w:r>
    </w:p>
    <w:tbl>
      <w:tblPr>
        <w:tblStyle w:val="TableGrid"/>
        <w:tblW w:w="0" w:type="auto"/>
        <w:tblLook w:val="04A0"/>
      </w:tblPr>
      <w:tblGrid>
        <w:gridCol w:w="698"/>
        <w:gridCol w:w="1689"/>
        <w:gridCol w:w="7189"/>
      </w:tblGrid>
      <w:tr w:rsidR="008F4A67" w:rsidRPr="000A03D0" w:rsidTr="009636AF">
        <w:tc>
          <w:tcPr>
            <w:tcW w:w="698" w:type="dxa"/>
          </w:tcPr>
          <w:p w:rsidR="008F4A67" w:rsidRPr="000A03D0" w:rsidRDefault="008F4A67" w:rsidP="009636AF">
            <w:pPr>
              <w:autoSpaceDE w:val="0"/>
              <w:autoSpaceDN w:val="0"/>
              <w:adjustRightInd w:val="0"/>
              <w:rPr>
                <w:rFonts w:cs="Consolas"/>
              </w:rPr>
            </w:pPr>
            <w:r w:rsidRPr="000A03D0">
              <w:rPr>
                <w:rFonts w:cs="Consolas"/>
              </w:rPr>
              <w:t>1384</w:t>
            </w:r>
          </w:p>
        </w:tc>
        <w:tc>
          <w:tcPr>
            <w:tcW w:w="1689" w:type="dxa"/>
          </w:tcPr>
          <w:p w:rsidR="008F4A67" w:rsidRPr="000A03D0" w:rsidRDefault="008F4A67" w:rsidP="009636AF">
            <w:pPr>
              <w:autoSpaceDE w:val="0"/>
              <w:autoSpaceDN w:val="0"/>
              <w:adjustRightInd w:val="0"/>
              <w:jc w:val="center"/>
              <w:rPr>
                <w:rFonts w:cs="Consolas"/>
              </w:rPr>
            </w:pPr>
            <w:r w:rsidRPr="000A03D0">
              <w:rPr>
                <w:rFonts w:cs="Consolas"/>
              </w:rPr>
              <w:t>A</w:t>
            </w:r>
            <w:r>
              <w:rPr>
                <w:rFonts w:cs="Consolas"/>
              </w:rPr>
              <w:t>ccept/Principle</w:t>
            </w:r>
          </w:p>
        </w:tc>
        <w:tc>
          <w:tcPr>
            <w:tcW w:w="7189" w:type="dxa"/>
          </w:tcPr>
          <w:p w:rsidR="008F4A67" w:rsidRPr="000A03D0" w:rsidRDefault="008F4A67" w:rsidP="009636AF">
            <w:pPr>
              <w:autoSpaceDE w:val="0"/>
              <w:autoSpaceDN w:val="0"/>
              <w:adjustRightInd w:val="0"/>
              <w:rPr>
                <w:rFonts w:cs="Consolas"/>
              </w:rPr>
            </w:pPr>
            <w:r w:rsidRPr="000A03D0">
              <w:rPr>
                <w:rFonts w:cs="Consolas"/>
              </w:rPr>
              <w:t xml:space="preserve">Other solution </w:t>
            </w:r>
            <w:r w:rsidR="00AE35FC">
              <w:rPr>
                <w:rFonts w:cs="Consolas"/>
              </w:rPr>
              <w:t>to identified problem</w:t>
            </w:r>
            <w:r>
              <w:rPr>
                <w:rFonts w:cs="Consolas"/>
              </w:rPr>
              <w:t xml:space="preserve"> </w:t>
            </w:r>
            <w:r w:rsidRPr="000A03D0">
              <w:rPr>
                <w:rFonts w:cs="Consolas"/>
              </w:rPr>
              <w:t>adopted in May 2013</w:t>
            </w:r>
            <w:r>
              <w:rPr>
                <w:rFonts w:cs="Consolas"/>
              </w:rPr>
              <w:t xml:space="preserve"> (viz. 13/478r2)</w:t>
            </w:r>
          </w:p>
        </w:tc>
      </w:tr>
    </w:tbl>
    <w:p w:rsidR="008F4A67" w:rsidRDefault="008F4A67" w:rsidP="00055840">
      <w:pPr>
        <w:pStyle w:val="NoSpacing"/>
        <w:rPr>
          <w:b/>
          <w:u w:val="single"/>
        </w:rPr>
      </w:pPr>
    </w:p>
    <w:p w:rsidR="008F4A67" w:rsidRDefault="008F4A67">
      <w:pPr>
        <w:rPr>
          <w:b/>
          <w:u w:val="single"/>
        </w:rPr>
      </w:pPr>
      <w:r>
        <w:rPr>
          <w:b/>
          <w:u w:val="single"/>
        </w:rPr>
        <w:br w:type="page"/>
      </w:r>
    </w:p>
    <w:p w:rsidR="008F4A67" w:rsidRDefault="008F4A67" w:rsidP="008F4A67">
      <w:pPr>
        <w:pStyle w:val="NoSpacing"/>
        <w:rPr>
          <w:b/>
          <w:u w:val="single"/>
        </w:rPr>
      </w:pPr>
      <w:r>
        <w:rPr>
          <w:b/>
          <w:u w:val="single"/>
        </w:rPr>
        <w:lastRenderedPageBreak/>
        <w:t>DETAILS #1: Suggested resolution of comments referred to as “unresolved comments” in 13/495r15</w:t>
      </w:r>
    </w:p>
    <w:p w:rsidR="008F4A67" w:rsidRDefault="008F4A67" w:rsidP="00055840">
      <w:pPr>
        <w:pStyle w:val="NoSpacing"/>
        <w:rPr>
          <w:b/>
          <w:u w:val="single"/>
        </w:rPr>
      </w:pPr>
    </w:p>
    <w:p w:rsidR="00055840" w:rsidRPr="00EF551A" w:rsidRDefault="00055840" w:rsidP="00055840">
      <w:pPr>
        <w:pStyle w:val="NoSpacing"/>
        <w:rPr>
          <w:b/>
          <w:u w:val="single"/>
        </w:rPr>
      </w:pPr>
      <w:r w:rsidRPr="00EF551A">
        <w:rPr>
          <w:b/>
          <w:u w:val="single"/>
        </w:rPr>
        <w:t>CID #1255:</w:t>
      </w:r>
      <w:r w:rsidRPr="00EF551A">
        <w:rPr>
          <w:b/>
        </w:rPr>
        <w:t xml:space="preserve"> </w:t>
      </w:r>
      <w:r w:rsidRPr="00D1341F">
        <w:t>What does AEAD stand for?</w:t>
      </w:r>
    </w:p>
    <w:p w:rsidR="00055840" w:rsidRDefault="00055840" w:rsidP="00055840">
      <w:pPr>
        <w:pStyle w:val="NoSpacing"/>
      </w:pPr>
      <w:r w:rsidRPr="00D1341F">
        <w:t>Define "AEAD" in Section 3.</w:t>
      </w:r>
    </w:p>
    <w:p w:rsidR="0092361A" w:rsidRDefault="0092361A" w:rsidP="0092361A">
      <w:pPr>
        <w:pStyle w:val="NoSpacing"/>
      </w:pPr>
    </w:p>
    <w:p w:rsidR="00055840" w:rsidRPr="00B64B5A" w:rsidRDefault="00055840" w:rsidP="00055840">
      <w:pPr>
        <w:pStyle w:val="NoSpacing"/>
        <w:rPr>
          <w:u w:val="single"/>
        </w:rPr>
      </w:pPr>
      <w:r w:rsidRPr="00B64B5A">
        <w:rPr>
          <w:u w:val="single"/>
        </w:rPr>
        <w:t>Suggested resolution:</w:t>
      </w:r>
      <w:r w:rsidRPr="00B64B5A">
        <w:t xml:space="preserve"> Accept in principle.</w:t>
      </w:r>
    </w:p>
    <w:p w:rsidR="00055840" w:rsidRPr="00EF551A" w:rsidRDefault="00055840" w:rsidP="00055840">
      <w:pPr>
        <w:pStyle w:val="NoSpacing"/>
        <w:numPr>
          <w:ilvl w:val="0"/>
          <w:numId w:val="1"/>
        </w:numPr>
        <w:rPr>
          <w:rFonts w:cs="TimesNewRoman"/>
        </w:rPr>
      </w:pPr>
      <w:r w:rsidRPr="00EF551A">
        <w:rPr>
          <w:i/>
        </w:rPr>
        <w:t>Change 11.11.2.5, l. 1</w:t>
      </w:r>
      <w:r w:rsidRPr="00EF551A">
        <w:t xml:space="preserve"> as follows: Replace</w:t>
      </w:r>
      <w:r w:rsidRPr="00EF551A">
        <w:rPr>
          <w:rFonts w:cs="TimesNewRoman"/>
        </w:rPr>
        <w:t xml:space="preserve"> “The authenticated encryption with associated data scheme to be used” by “The authenticated encryption with associated data </w:t>
      </w:r>
      <w:r w:rsidRPr="001266EF">
        <w:rPr>
          <w:rFonts w:cs="TimesNewRoman"/>
          <w:b/>
          <w:u w:val="single"/>
        </w:rPr>
        <w:t>(AEAD)</w:t>
      </w:r>
      <w:r w:rsidRPr="00EF551A">
        <w:rPr>
          <w:rFonts w:cs="TimesNewRoman"/>
        </w:rPr>
        <w:t xml:space="preserve"> scheme to be used”</w:t>
      </w:r>
      <w:r w:rsidR="0092361A">
        <w:rPr>
          <w:rFonts w:cs="TimesNewRoman"/>
        </w:rPr>
        <w:t xml:space="preserve"> (i.e., add AEAD as acronym)</w:t>
      </w:r>
      <w:r w:rsidRPr="00EF551A">
        <w:rPr>
          <w:rFonts w:cs="TimesNewRoman"/>
        </w:rPr>
        <w:t>;</w:t>
      </w:r>
    </w:p>
    <w:p w:rsidR="00055840" w:rsidRDefault="00055840" w:rsidP="00055840">
      <w:pPr>
        <w:pStyle w:val="NoSpacing"/>
        <w:numPr>
          <w:ilvl w:val="0"/>
          <w:numId w:val="1"/>
        </w:numPr>
      </w:pPr>
      <w:r w:rsidRPr="00EF551A">
        <w:rPr>
          <w:rFonts w:cs="TimesNewRoman"/>
          <w:i/>
        </w:rPr>
        <w:t>Add the following acronym to Clause 3.2</w:t>
      </w:r>
      <w:r w:rsidRPr="00EF551A">
        <w:rPr>
          <w:rFonts w:cs="TimesNewRoman"/>
        </w:rPr>
        <w:t>: AEAD – Authenticated Encryption with Associated Data.</w:t>
      </w:r>
    </w:p>
    <w:p w:rsidR="00055840" w:rsidRPr="00EF551A" w:rsidRDefault="00055840" w:rsidP="00055840">
      <w:pPr>
        <w:pStyle w:val="NoSpacing"/>
      </w:pPr>
    </w:p>
    <w:p w:rsidR="006C5629" w:rsidRDefault="00F8640F" w:rsidP="006C5629">
      <w:pPr>
        <w:pStyle w:val="NoSpacing"/>
      </w:pPr>
      <w:r w:rsidRPr="00EF551A">
        <w:rPr>
          <w:b/>
          <w:u w:val="single"/>
        </w:rPr>
        <w:t>CID #1334:</w:t>
      </w:r>
      <w:r>
        <w:t xml:space="preserve"> CCM should NOT be used with static </w:t>
      </w:r>
      <w:proofErr w:type="spellStart"/>
      <w:r>
        <w:t>nonces</w:t>
      </w:r>
      <w:proofErr w:type="spellEnd"/>
      <w:r>
        <w:t xml:space="preserve">. </w:t>
      </w:r>
    </w:p>
    <w:p w:rsidR="00055840" w:rsidRDefault="006C5629" w:rsidP="00B64B5A">
      <w:pPr>
        <w:pStyle w:val="NoSpacing"/>
      </w:pPr>
      <w:r w:rsidRPr="006C5629">
        <w:t xml:space="preserve">Suggest using SAE algorithm - or change specification to use random </w:t>
      </w:r>
      <w:proofErr w:type="spellStart"/>
      <w:r w:rsidRPr="006C5629">
        <w:t>nonces</w:t>
      </w:r>
      <w:proofErr w:type="spellEnd"/>
      <w:r w:rsidRPr="006C5629">
        <w:t>.</w:t>
      </w:r>
    </w:p>
    <w:p w:rsidR="00B64B5A" w:rsidRDefault="00B64B5A" w:rsidP="00B64B5A">
      <w:pPr>
        <w:pStyle w:val="NoSpacing"/>
      </w:pPr>
    </w:p>
    <w:p w:rsidR="0080260F" w:rsidRDefault="00F8640F">
      <w:r w:rsidRPr="00B64B5A">
        <w:rPr>
          <w:u w:val="single"/>
        </w:rPr>
        <w:t>Suggested resolution:</w:t>
      </w:r>
      <w:r w:rsidRPr="00B64B5A">
        <w:t xml:space="preserve"> Reject.</w:t>
      </w:r>
      <w:r w:rsidRPr="00B64B5A">
        <w:rPr>
          <w:u w:val="single"/>
        </w:rPr>
        <w:t xml:space="preserve"> </w:t>
      </w:r>
      <w:r w:rsidRPr="00B64B5A">
        <w:br/>
      </w:r>
      <w:r>
        <w:t xml:space="preserve">Motivation: The security of the CCM mode of operation requires that </w:t>
      </w:r>
      <w:proofErr w:type="spellStart"/>
      <w:r>
        <w:t>nonces</w:t>
      </w:r>
      <w:proofErr w:type="spellEnd"/>
      <w:r>
        <w:t xml:space="preserve"> are not reused with the same key. This is indeed the case with Draft D0.5. </w:t>
      </w:r>
      <w:r w:rsidRPr="00ED4CA0">
        <w:t>This also fully conforms to the referenced NIST specification (see Section 5.3 of NIST SP 800-38C).</w:t>
      </w:r>
      <w:r w:rsidRPr="00ED4CA0">
        <w:br/>
      </w:r>
      <w:r>
        <w:t xml:space="preserve">Further explanation for the commenter: Draft D0.5 only introduces one new use of the CCM mode of operation (in Clause 11.11.2.5) and this mode is invoked precisely once in each direction during key confirmation (Clause 11.11.2.4): once from STA to AP (Association Request) and once from AP to STA (Association Response). Since the two key confirmation messages use different </w:t>
      </w:r>
      <w:proofErr w:type="spellStart"/>
      <w:r>
        <w:t>nonces</w:t>
      </w:r>
      <w:proofErr w:type="spellEnd"/>
      <w:r>
        <w:t xml:space="preserve"> and the key KEK2 is only used during key confirmation and "freshly" generated at each invocation of the FILS protocol (in Clause 11.11.2.3), nonce reuse does not occur.</w:t>
      </w:r>
      <w:r w:rsidR="00CF5B03">
        <w:t xml:space="preserve"> </w:t>
      </w:r>
      <w:r w:rsidR="00ED4CA0">
        <w:t xml:space="preserve">As a final note, key confirmation messages remain unsecured frames in the sense of 802.11-2012, so </w:t>
      </w:r>
      <w:r w:rsidR="006C5629">
        <w:t>are</w:t>
      </w:r>
      <w:r w:rsidR="00ED4CA0">
        <w:t xml:space="preserve"> not impacted by </w:t>
      </w:r>
      <w:r w:rsidR="0066500F">
        <w:t xml:space="preserve">802.11-2012 </w:t>
      </w:r>
      <w:r w:rsidR="00ED4CA0">
        <w:t xml:space="preserve">frame fragmentation (as defined </w:t>
      </w:r>
      <w:r w:rsidR="0066500F">
        <w:t>in Clause 9.2.7 hereof).</w:t>
      </w:r>
    </w:p>
    <w:p w:rsidR="006C5629" w:rsidRPr="00EF551A" w:rsidRDefault="006C5629" w:rsidP="006C5629">
      <w:pPr>
        <w:pStyle w:val="NoSpacing"/>
        <w:rPr>
          <w:b/>
          <w:u w:val="single"/>
        </w:rPr>
      </w:pPr>
      <w:r w:rsidRPr="00EF551A">
        <w:rPr>
          <w:b/>
          <w:u w:val="single"/>
        </w:rPr>
        <w:t>CID #1006:</w:t>
      </w:r>
      <w:r w:rsidR="00EF551A">
        <w:t xml:space="preserve"> </w:t>
      </w:r>
      <w:r w:rsidRPr="006C5629">
        <w:t xml:space="preserve">Choose a different AEAD scheme. Using CCM with static </w:t>
      </w:r>
      <w:proofErr w:type="spellStart"/>
      <w:r w:rsidRPr="006C5629">
        <w:t>nonces</w:t>
      </w:r>
      <w:proofErr w:type="spellEnd"/>
      <w:r w:rsidRPr="006C5629">
        <w:t xml:space="preserve"> is non-standard, and fragile (i.e. not robust).</w:t>
      </w:r>
    </w:p>
    <w:p w:rsidR="006C5629" w:rsidRDefault="006C5629" w:rsidP="006C5629">
      <w:pPr>
        <w:pStyle w:val="NoSpacing"/>
      </w:pPr>
      <w:r>
        <w:t xml:space="preserve">Suggest using a scheme that does not need a nonce, such as SIV mode or using a scheme that is not reliant on nonce uniqueness for its security, like AES-CBC plus HMAC-SHA. Pages are 85-89 and the lines are basically the entirety of 11.11.2.4 and 11.11.2.5 but the web form would not let me enter multiple pages, or </w:t>
      </w:r>
      <w:proofErr w:type="spellStart"/>
      <w:r>
        <w:t>subclauses</w:t>
      </w:r>
      <w:proofErr w:type="spellEnd"/>
      <w:r>
        <w:t xml:space="preserve"> :-(</w:t>
      </w:r>
    </w:p>
    <w:p w:rsidR="00055840" w:rsidRDefault="00055840" w:rsidP="006C5629">
      <w:pPr>
        <w:pStyle w:val="NoSpacing"/>
      </w:pPr>
    </w:p>
    <w:p w:rsidR="006C5629" w:rsidRPr="00B64B5A" w:rsidRDefault="006C5629" w:rsidP="006C5629">
      <w:pPr>
        <w:pStyle w:val="NoSpacing"/>
        <w:rPr>
          <w:u w:val="single"/>
        </w:rPr>
      </w:pPr>
      <w:r w:rsidRPr="00B64B5A">
        <w:rPr>
          <w:u w:val="single"/>
        </w:rPr>
        <w:t>Suggested resolution:</w:t>
      </w:r>
      <w:r w:rsidRPr="00B64B5A">
        <w:t xml:space="preserve"> Reject.</w:t>
      </w:r>
    </w:p>
    <w:p w:rsidR="00B64B5A" w:rsidRDefault="0066500F" w:rsidP="00E53F53">
      <w:pPr>
        <w:pStyle w:val="NoSpacing"/>
      </w:pPr>
      <w:r>
        <w:t xml:space="preserve">Motivation: See </w:t>
      </w:r>
      <w:r w:rsidR="006C5629">
        <w:t>CID #1334.</w:t>
      </w:r>
    </w:p>
    <w:p w:rsidR="00E53F53" w:rsidRPr="00E53F53" w:rsidRDefault="00E53F53" w:rsidP="00E53F53">
      <w:pPr>
        <w:pStyle w:val="NoSpacing"/>
      </w:pPr>
    </w:p>
    <w:p w:rsidR="001266EF" w:rsidRDefault="001266EF" w:rsidP="001266EF">
      <w:pPr>
        <w:autoSpaceDE w:val="0"/>
        <w:autoSpaceDN w:val="0"/>
        <w:adjustRightInd w:val="0"/>
        <w:spacing w:after="0" w:line="240" w:lineRule="auto"/>
      </w:pPr>
      <w:r w:rsidRPr="001266EF">
        <w:rPr>
          <w:b/>
          <w:u w:val="single"/>
        </w:rPr>
        <w:t>CID #1256:</w:t>
      </w:r>
      <w:r>
        <w:t xml:space="preserve"> </w:t>
      </w:r>
      <w:r w:rsidRPr="001266EF">
        <w:t>The association request frame should be received and deciphered by AP, not STA.</w:t>
      </w:r>
    </w:p>
    <w:p w:rsidR="001266EF" w:rsidRDefault="001266EF" w:rsidP="001266EF">
      <w:pPr>
        <w:autoSpaceDE w:val="0"/>
        <w:autoSpaceDN w:val="0"/>
        <w:adjustRightInd w:val="0"/>
        <w:spacing w:after="0" w:line="240" w:lineRule="auto"/>
      </w:pPr>
      <w:r>
        <w:t xml:space="preserve">Change the sentence in line 3 on page 89 to the following: </w:t>
      </w:r>
      <w:r w:rsidR="00764D01">
        <w:t>“</w:t>
      </w:r>
      <w:r>
        <w:t>The AEAD scheme of 11.11.2.5 shall be used with the 802.11 Association Request frame (for deciphering by AP) or with the 802.11 Association Response frame (for deciphering by STA), with the following instantiation</w:t>
      </w:r>
      <w:r w:rsidR="00764D01">
        <w:t>”.</w:t>
      </w:r>
    </w:p>
    <w:p w:rsidR="0092361A" w:rsidRDefault="0092361A" w:rsidP="001266EF">
      <w:pPr>
        <w:autoSpaceDE w:val="0"/>
        <w:autoSpaceDN w:val="0"/>
        <w:adjustRightInd w:val="0"/>
        <w:spacing w:after="0" w:line="240" w:lineRule="auto"/>
      </w:pPr>
    </w:p>
    <w:p w:rsidR="0092361A" w:rsidRDefault="0092361A" w:rsidP="0092361A">
      <w:pPr>
        <w:autoSpaceDE w:val="0"/>
        <w:autoSpaceDN w:val="0"/>
        <w:adjustRightInd w:val="0"/>
        <w:spacing w:after="0" w:line="240" w:lineRule="auto"/>
      </w:pPr>
      <w:r w:rsidRPr="00B64B5A">
        <w:rPr>
          <w:u w:val="single"/>
        </w:rPr>
        <w:t>Suggested resolution:</w:t>
      </w:r>
      <w:r>
        <w:t xml:space="preserve"> Accept.</w:t>
      </w:r>
    </w:p>
    <w:p w:rsidR="006751CE" w:rsidRDefault="006751CE" w:rsidP="006751CE">
      <w:pPr>
        <w:autoSpaceDE w:val="0"/>
        <w:autoSpaceDN w:val="0"/>
        <w:adjustRightInd w:val="0"/>
        <w:spacing w:after="0" w:line="240" w:lineRule="auto"/>
      </w:pPr>
    </w:p>
    <w:p w:rsidR="006751CE" w:rsidRDefault="006751CE" w:rsidP="006751CE">
      <w:pPr>
        <w:autoSpaceDE w:val="0"/>
        <w:autoSpaceDN w:val="0"/>
        <w:adjustRightInd w:val="0"/>
        <w:spacing w:after="0" w:line="240" w:lineRule="auto"/>
      </w:pPr>
      <w:r w:rsidRPr="006751CE">
        <w:rPr>
          <w:b/>
          <w:u w:val="single"/>
        </w:rPr>
        <w:t xml:space="preserve">CID #1371: </w:t>
      </w:r>
      <w:r w:rsidRPr="006751CE">
        <w:t xml:space="preserve">(T) Clause 4.10.3.7, p. 8, l. 24-28: While fragmentation of FILS messages </w:t>
      </w:r>
      <w:proofErr w:type="gramStart"/>
      <w:r w:rsidRPr="006751CE">
        <w:t>may</w:t>
      </w:r>
      <w:proofErr w:type="gramEnd"/>
      <w:r w:rsidRPr="006751CE">
        <w:t xml:space="preserve"> result in mild prospect of denial-of-service attacks, this effect is, in fact, marginal at best. See also the analysis on </w:t>
      </w:r>
      <w:r w:rsidRPr="006751CE">
        <w:lastRenderedPageBreak/>
        <w:t xml:space="preserve">Slides 8-10 of 13/201r6). Moreover, even if one uses X509 certificates with a certificate chain of, say, length three, this would normally (with prudent pick of certificate fields) not lead to a field of size ~2kB, unless one picks enormous ordinary DLP groups. While it is okay to have some cautionary language into the specification, the current language seems to </w:t>
      </w:r>
      <w:proofErr w:type="spellStart"/>
      <w:r w:rsidRPr="006751CE">
        <w:t>overblow</w:t>
      </w:r>
      <w:proofErr w:type="spellEnd"/>
      <w:r w:rsidRPr="006751CE">
        <w:t xml:space="preserve"> the effect of supersized FILS flows. Suggested remedy: Either </w:t>
      </w:r>
      <w:proofErr w:type="gramStart"/>
      <w:r w:rsidRPr="006751CE">
        <w:t>quantify</w:t>
      </w:r>
      <w:proofErr w:type="gramEnd"/>
      <w:r w:rsidRPr="006751CE">
        <w:t xml:space="preserve"> the fragmentation attack risk compared to </w:t>
      </w:r>
      <w:proofErr w:type="spellStart"/>
      <w:r w:rsidRPr="006751CE">
        <w:t>DoS</w:t>
      </w:r>
      <w:proofErr w:type="spellEnd"/>
      <w:r w:rsidRPr="006751CE">
        <w:t xml:space="preserve"> attacks if frame would not require fragmentation, thereby justifying the statement, or retract this statement from the draft specification.</w:t>
      </w:r>
    </w:p>
    <w:p w:rsidR="006751CE" w:rsidRDefault="006751CE" w:rsidP="006751CE">
      <w:pPr>
        <w:autoSpaceDE w:val="0"/>
        <w:autoSpaceDN w:val="0"/>
        <w:adjustRightInd w:val="0"/>
        <w:spacing w:after="0" w:line="240" w:lineRule="auto"/>
      </w:pPr>
      <w:r w:rsidRPr="006751CE">
        <w:t xml:space="preserve">Suggested remedy: Either </w:t>
      </w:r>
      <w:proofErr w:type="gramStart"/>
      <w:r w:rsidRPr="006751CE">
        <w:t>quantify</w:t>
      </w:r>
      <w:proofErr w:type="gramEnd"/>
      <w:r w:rsidRPr="006751CE">
        <w:t xml:space="preserve"> the fragmentation attack risk compared to </w:t>
      </w:r>
      <w:proofErr w:type="spellStart"/>
      <w:r w:rsidRPr="006751CE">
        <w:t>DoS</w:t>
      </w:r>
      <w:proofErr w:type="spellEnd"/>
      <w:r w:rsidRPr="006751CE">
        <w:t xml:space="preserve"> attacks if frame would not require fragmentation, thereby justifying the statement, or retract this statement from the draft specification.</w:t>
      </w:r>
    </w:p>
    <w:p w:rsidR="0092361A" w:rsidRDefault="0092361A" w:rsidP="00290BAA">
      <w:pPr>
        <w:autoSpaceDE w:val="0"/>
        <w:autoSpaceDN w:val="0"/>
        <w:adjustRightInd w:val="0"/>
        <w:spacing w:after="0" w:line="240" w:lineRule="auto"/>
      </w:pPr>
    </w:p>
    <w:p w:rsidR="0092361A" w:rsidRDefault="0092361A" w:rsidP="0092361A">
      <w:pPr>
        <w:autoSpaceDE w:val="0"/>
        <w:autoSpaceDN w:val="0"/>
        <w:adjustRightInd w:val="0"/>
        <w:spacing w:after="0" w:line="240" w:lineRule="auto"/>
      </w:pPr>
      <w:r>
        <w:t>Suggested resolution: Accept in Principle.</w:t>
      </w:r>
    </w:p>
    <w:p w:rsidR="0092361A" w:rsidRDefault="0092361A" w:rsidP="0092361A">
      <w:pPr>
        <w:pStyle w:val="ListParagraph"/>
        <w:numPr>
          <w:ilvl w:val="0"/>
          <w:numId w:val="6"/>
        </w:numPr>
        <w:autoSpaceDE w:val="0"/>
        <w:autoSpaceDN w:val="0"/>
        <w:adjustRightInd w:val="0"/>
        <w:spacing w:after="0" w:line="240" w:lineRule="auto"/>
      </w:pPr>
      <w:r>
        <w:t>Delete the Note.</w:t>
      </w:r>
    </w:p>
    <w:p w:rsidR="00D35890" w:rsidRDefault="00D35890" w:rsidP="00290BAA">
      <w:pPr>
        <w:autoSpaceDE w:val="0"/>
        <w:autoSpaceDN w:val="0"/>
        <w:adjustRightInd w:val="0"/>
        <w:spacing w:after="0" w:line="240" w:lineRule="auto"/>
      </w:pPr>
    </w:p>
    <w:p w:rsidR="00324D3A" w:rsidRDefault="00324D3A" w:rsidP="00290BAA">
      <w:pPr>
        <w:autoSpaceDE w:val="0"/>
        <w:autoSpaceDN w:val="0"/>
        <w:adjustRightInd w:val="0"/>
        <w:spacing w:after="0" w:line="240" w:lineRule="auto"/>
      </w:pPr>
      <w:r w:rsidRPr="00324D3A">
        <w:rPr>
          <w:b/>
          <w:u w:val="single"/>
        </w:rPr>
        <w:t>CID #1396</w:t>
      </w:r>
      <w:r>
        <w:rPr>
          <w:b/>
          <w:u w:val="single"/>
        </w:rPr>
        <w:t>:</w:t>
      </w:r>
      <w:r w:rsidRPr="00324D3A">
        <w:t xml:space="preserve"> (T) Clause 11.11.2.4, p. 85, l. 23-24: The cross-references are incorrect. Suggested remedy: Replace these by 11.11.2.6 and 11.11.2.7, respectively.</w:t>
      </w:r>
    </w:p>
    <w:p w:rsidR="00324D3A" w:rsidRDefault="00324D3A" w:rsidP="00290BAA">
      <w:pPr>
        <w:autoSpaceDE w:val="0"/>
        <w:autoSpaceDN w:val="0"/>
        <w:adjustRightInd w:val="0"/>
        <w:spacing w:after="0" w:line="240" w:lineRule="auto"/>
      </w:pPr>
    </w:p>
    <w:p w:rsidR="00324D3A" w:rsidRDefault="00B64B5A" w:rsidP="00290BAA">
      <w:pPr>
        <w:autoSpaceDE w:val="0"/>
        <w:autoSpaceDN w:val="0"/>
        <w:adjustRightInd w:val="0"/>
        <w:spacing w:after="0" w:line="240" w:lineRule="auto"/>
      </w:pPr>
      <w:r w:rsidRPr="00B64B5A">
        <w:rPr>
          <w:u w:val="single"/>
        </w:rPr>
        <w:t>Suggested resolution:</w:t>
      </w:r>
      <w:r w:rsidRPr="00B64B5A">
        <w:t xml:space="preserve"> </w:t>
      </w:r>
      <w:r>
        <w:t>Accept.</w:t>
      </w:r>
    </w:p>
    <w:p w:rsidR="008F4A67" w:rsidRDefault="008F4A67" w:rsidP="00290BAA">
      <w:pPr>
        <w:autoSpaceDE w:val="0"/>
        <w:autoSpaceDN w:val="0"/>
        <w:adjustRightInd w:val="0"/>
        <w:spacing w:after="0" w:line="240" w:lineRule="auto"/>
      </w:pPr>
    </w:p>
    <w:p w:rsidR="008F4A67" w:rsidRPr="00AE35FC" w:rsidRDefault="008F4A67">
      <w:r>
        <w:rPr>
          <w:b/>
          <w:u w:val="single"/>
        </w:rPr>
        <w:br w:type="page"/>
      </w:r>
    </w:p>
    <w:p w:rsidR="00E53F53" w:rsidRPr="008F4A67" w:rsidRDefault="008F4A67" w:rsidP="008F4A67">
      <w:pPr>
        <w:rPr>
          <w:b/>
          <w:u w:val="single"/>
        </w:rPr>
      </w:pPr>
      <w:r>
        <w:rPr>
          <w:b/>
          <w:u w:val="single"/>
        </w:rPr>
        <w:lastRenderedPageBreak/>
        <w:t>DETAILS</w:t>
      </w:r>
      <w:r w:rsidRPr="008F4A67">
        <w:rPr>
          <w:b/>
          <w:u w:val="single"/>
        </w:rPr>
        <w:t xml:space="preserve"> #2: </w:t>
      </w:r>
      <w:r>
        <w:rPr>
          <w:b/>
          <w:u w:val="single"/>
        </w:rPr>
        <w:t>Withdrawn comments</w:t>
      </w:r>
    </w:p>
    <w:p w:rsidR="00E53F53" w:rsidRDefault="00E53F53" w:rsidP="00E53F53">
      <w:pPr>
        <w:autoSpaceDE w:val="0"/>
        <w:autoSpaceDN w:val="0"/>
        <w:adjustRightInd w:val="0"/>
        <w:spacing w:after="0" w:line="240" w:lineRule="auto"/>
        <w:rPr>
          <w:b/>
          <w:u w:val="single"/>
        </w:rPr>
      </w:pPr>
    </w:p>
    <w:p w:rsidR="00E53F53" w:rsidRDefault="00E53F53" w:rsidP="00E53F53">
      <w:pPr>
        <w:autoSpaceDE w:val="0"/>
        <w:autoSpaceDN w:val="0"/>
        <w:adjustRightInd w:val="0"/>
        <w:spacing w:after="0" w:line="240" w:lineRule="auto"/>
      </w:pPr>
      <w:r>
        <w:rPr>
          <w:b/>
          <w:u w:val="single"/>
        </w:rPr>
        <w:t>CID#137</w:t>
      </w:r>
      <w:r w:rsidRPr="00B50BFC">
        <w:rPr>
          <w:b/>
          <w:u w:val="single"/>
        </w:rPr>
        <w:t>7</w:t>
      </w:r>
      <w:r w:rsidRPr="00B50BFC">
        <w:rPr>
          <w:u w:val="single"/>
        </w:rPr>
        <w:t>:</w:t>
      </w:r>
      <w:r w:rsidRPr="00B50BFC">
        <w:t xml:space="preserve"> (TR) Clause 8.3.3.5, p. 22, Table 8-22: Certificates should be exchanged during key establishment (exchange of Authentication frames) and *not* during key confirmation (exchange of Association frames), for two reasons: (a) exchanging large objects, such as certificates, during key establishment has a very limited impact on potential fragmentation attacks; (b) exchanging certificates early allows implementation of certification to happen in parallel to wait cycles while the other device is computing a key, rather than forcing a serialized implementation, thus potentially resulting in shortened time latency of the entire FILS protocol; (c) exchanging certificates during key establishment allows computational tricks, whereby key computation and signature verification is carried out at the same time, thereby potentially significantly reducing the computational cost of public-key operations. With the current flows, this is not possible. </w:t>
      </w:r>
      <w:proofErr w:type="gramStart"/>
      <w:r w:rsidRPr="00B50BFC">
        <w:t>Suggested remedy: Exchange certificates during key establishment, rather than key confirmation.</w:t>
      </w:r>
      <w:proofErr w:type="gramEnd"/>
      <w:r w:rsidRPr="00B50BFC">
        <w:t xml:space="preserve"> To do so, the corresponding data elements have to be specified with the Authentication frame, rather than with Association frames.</w:t>
      </w:r>
    </w:p>
    <w:p w:rsidR="00E53F53" w:rsidRPr="00B64B5A" w:rsidRDefault="00E53F53" w:rsidP="00E53F53">
      <w:pPr>
        <w:autoSpaceDE w:val="0"/>
        <w:autoSpaceDN w:val="0"/>
        <w:adjustRightInd w:val="0"/>
        <w:spacing w:after="0" w:line="240" w:lineRule="auto"/>
        <w:rPr>
          <w:u w:val="single"/>
        </w:rPr>
      </w:pPr>
    </w:p>
    <w:p w:rsidR="00E53F53" w:rsidRDefault="00E53F53" w:rsidP="00E53F53">
      <w:pPr>
        <w:autoSpaceDE w:val="0"/>
        <w:autoSpaceDN w:val="0"/>
        <w:adjustRightInd w:val="0"/>
        <w:spacing w:after="0" w:line="240" w:lineRule="auto"/>
      </w:pPr>
      <w:r w:rsidRPr="00B64B5A">
        <w:rPr>
          <w:u w:val="single"/>
        </w:rPr>
        <w:t>Suggested resolution:</w:t>
      </w:r>
      <w:r>
        <w:t xml:space="preserve"> Withdrawn by commenter (see e-mail Tue July 16, 2013, 4:20pm EDT).</w:t>
      </w:r>
    </w:p>
    <w:p w:rsidR="00E53F53" w:rsidRDefault="00E53F53" w:rsidP="00E53F53">
      <w:pPr>
        <w:autoSpaceDE w:val="0"/>
        <w:autoSpaceDN w:val="0"/>
        <w:adjustRightInd w:val="0"/>
        <w:spacing w:after="0" w:line="240" w:lineRule="auto"/>
        <w:rPr>
          <w:b/>
          <w:u w:val="single"/>
        </w:rPr>
      </w:pPr>
    </w:p>
    <w:p w:rsidR="00E53F53" w:rsidRDefault="00E53F53" w:rsidP="00E53F53">
      <w:pPr>
        <w:autoSpaceDE w:val="0"/>
        <w:autoSpaceDN w:val="0"/>
        <w:adjustRightInd w:val="0"/>
        <w:spacing w:after="0" w:line="240" w:lineRule="auto"/>
      </w:pPr>
      <w:r w:rsidRPr="00324D3A">
        <w:rPr>
          <w:b/>
          <w:u w:val="single"/>
        </w:rPr>
        <w:t>CID #1388:</w:t>
      </w:r>
      <w:r>
        <w:t xml:space="preserve"> </w:t>
      </w:r>
      <w:r w:rsidRPr="00324D3A">
        <w:t xml:space="preserve">(T) Clause 11.11.2.2.1, p. 82, l. 60: One should add some text that explains how the AP computes the </w:t>
      </w:r>
      <w:proofErr w:type="spellStart"/>
      <w:r w:rsidRPr="00324D3A">
        <w:t>rMSK</w:t>
      </w:r>
      <w:proofErr w:type="spellEnd"/>
      <w:r w:rsidRPr="00324D3A">
        <w:t xml:space="preserve"> key from the EAP-Finish/Re-Auth packet: after all, this key is used by both STA and AP for mutual "authentication". Suggested remedy: Elaborate on this.</w:t>
      </w:r>
    </w:p>
    <w:p w:rsidR="00E53F53" w:rsidRDefault="00E53F53" w:rsidP="00E53F53">
      <w:pPr>
        <w:autoSpaceDE w:val="0"/>
        <w:autoSpaceDN w:val="0"/>
        <w:adjustRightInd w:val="0"/>
        <w:spacing w:after="0" w:line="240" w:lineRule="auto"/>
      </w:pPr>
    </w:p>
    <w:p w:rsidR="00E53F53" w:rsidRDefault="00E53F53" w:rsidP="00E53F53">
      <w:pPr>
        <w:autoSpaceDE w:val="0"/>
        <w:autoSpaceDN w:val="0"/>
        <w:adjustRightInd w:val="0"/>
        <w:spacing w:after="0" w:line="240" w:lineRule="auto"/>
      </w:pPr>
      <w:r w:rsidRPr="00B64B5A">
        <w:rPr>
          <w:u w:val="single"/>
        </w:rPr>
        <w:t>Suggested resolution:</w:t>
      </w:r>
      <w:r>
        <w:t xml:space="preserve"> Withdrawn by commenter (see e-mail Tue July 16, 2013, 4:20pm EDT).</w:t>
      </w:r>
    </w:p>
    <w:p w:rsidR="00E53F53" w:rsidRDefault="00E53F53" w:rsidP="00E53F53">
      <w:pPr>
        <w:autoSpaceDE w:val="0"/>
        <w:autoSpaceDN w:val="0"/>
        <w:adjustRightInd w:val="0"/>
        <w:spacing w:after="0" w:line="240" w:lineRule="auto"/>
      </w:pPr>
    </w:p>
    <w:p w:rsidR="00E53F53" w:rsidRDefault="00E53F53" w:rsidP="00E53F53">
      <w:pPr>
        <w:autoSpaceDE w:val="0"/>
        <w:autoSpaceDN w:val="0"/>
        <w:adjustRightInd w:val="0"/>
        <w:spacing w:after="0" w:line="240" w:lineRule="auto"/>
      </w:pPr>
      <w:r w:rsidRPr="00324D3A">
        <w:rPr>
          <w:b/>
          <w:u w:val="single"/>
        </w:rPr>
        <w:t>CID #1387:</w:t>
      </w:r>
      <w:r>
        <w:t xml:space="preserve"> </w:t>
      </w:r>
      <w:r w:rsidRPr="00324D3A">
        <w:t>(T) Clause 11.11.2.2.1, p. 82, l. 24: The FILS Identity element does not seem to be used with the FILS protocol option in question, since it is not forwarded to the TTP, nor used in the key derivation function. Suggested remedy: Explain the rationale of the FILS Identity element.</w:t>
      </w:r>
    </w:p>
    <w:p w:rsidR="00E53F53" w:rsidRDefault="00E53F53" w:rsidP="00E53F53">
      <w:pPr>
        <w:autoSpaceDE w:val="0"/>
        <w:autoSpaceDN w:val="0"/>
        <w:adjustRightInd w:val="0"/>
        <w:spacing w:after="0" w:line="240" w:lineRule="auto"/>
      </w:pPr>
    </w:p>
    <w:p w:rsidR="00E53F53" w:rsidRDefault="00E53F53" w:rsidP="00E53F53">
      <w:pPr>
        <w:autoSpaceDE w:val="0"/>
        <w:autoSpaceDN w:val="0"/>
        <w:adjustRightInd w:val="0"/>
        <w:spacing w:after="0" w:line="240" w:lineRule="auto"/>
      </w:pPr>
      <w:r w:rsidRPr="00B64B5A">
        <w:rPr>
          <w:u w:val="single"/>
        </w:rPr>
        <w:t>Suggested resolution:</w:t>
      </w:r>
      <w:r>
        <w:t xml:space="preserve"> Withdrawn by commenter (see e-mail Tue July 16, 2013, 4:20pm EDT).</w:t>
      </w:r>
    </w:p>
    <w:p w:rsidR="00AE35FC" w:rsidRDefault="00AE35FC">
      <w:r>
        <w:br w:type="page"/>
      </w:r>
    </w:p>
    <w:p w:rsidR="00AE35FC" w:rsidRDefault="00AE35FC" w:rsidP="00AE35FC">
      <w:pPr>
        <w:pStyle w:val="NoSpacing"/>
        <w:rPr>
          <w:b/>
          <w:u w:val="single"/>
        </w:rPr>
      </w:pPr>
      <w:r>
        <w:rPr>
          <w:b/>
          <w:u w:val="single"/>
        </w:rPr>
        <w:lastRenderedPageBreak/>
        <w:t>DETAILS #3: Mislabeled resolution of comments in “2013-07-Geneva-03” in 13/495r15:</w:t>
      </w:r>
    </w:p>
    <w:p w:rsidR="00AE35FC" w:rsidRDefault="00AE35FC" w:rsidP="00AE35FC">
      <w:pPr>
        <w:pStyle w:val="NoSpacing"/>
        <w:rPr>
          <w:b/>
          <w:u w:val="single"/>
        </w:rPr>
      </w:pPr>
    </w:p>
    <w:p w:rsidR="00AE35FC" w:rsidRDefault="00AE35FC" w:rsidP="00AE35FC">
      <w:pPr>
        <w:autoSpaceDE w:val="0"/>
        <w:autoSpaceDN w:val="0"/>
        <w:adjustRightInd w:val="0"/>
        <w:spacing w:after="0" w:line="240" w:lineRule="auto"/>
      </w:pPr>
      <w:r>
        <w:rPr>
          <w:b/>
          <w:u w:val="single"/>
        </w:rPr>
        <w:t>CID #1384:</w:t>
      </w:r>
      <w:r w:rsidRPr="008F4A67">
        <w:t xml:space="preserve"> (TR) Clause 11.11.2.4, p. 86, l. 4-5: The mechanism by which key confirmation messages are encrypted-and-authenticated is highly inflexible, since one always encrypts all information </w:t>
      </w:r>
      <w:proofErr w:type="gramStart"/>
      <w:r w:rsidRPr="008F4A67">
        <w:t>element</w:t>
      </w:r>
      <w:proofErr w:type="gramEnd"/>
      <w:r w:rsidRPr="008F4A67">
        <w:t xml:space="preserve"> in the Association Request and Response payloads, rather than allowing some flexibility in terms of which information elements are to be encrypted and authenticated, resp. only authenticated. In the January 2013 session, Qualcomm and Aruba Networks people made the argument that the vendor-specific element might need to be visible in some deployment scenarios, e.g., for network monitoring and management purposes. Thus, in that case enciphering should happen as an OFF-ON-OFF pattern that is currently not provided. Suggested remedy: Implement the authenticated encryption scheme in a more flexible fashion, along the lines of 13/311r1.</w:t>
      </w:r>
    </w:p>
    <w:p w:rsidR="00AE35FC" w:rsidRDefault="00AE35FC" w:rsidP="00AE35FC">
      <w:pPr>
        <w:autoSpaceDE w:val="0"/>
        <w:autoSpaceDN w:val="0"/>
        <w:adjustRightInd w:val="0"/>
        <w:spacing w:after="0" w:line="240" w:lineRule="auto"/>
      </w:pPr>
    </w:p>
    <w:p w:rsidR="00AE35FC" w:rsidRDefault="00AE35FC" w:rsidP="00AE35FC">
      <w:pPr>
        <w:autoSpaceDE w:val="0"/>
        <w:autoSpaceDN w:val="0"/>
        <w:adjustRightInd w:val="0"/>
        <w:spacing w:after="0" w:line="240" w:lineRule="auto"/>
        <w:rPr>
          <w:u w:val="single"/>
        </w:rPr>
      </w:pPr>
      <w:r>
        <w:rPr>
          <w:u w:val="single"/>
        </w:rPr>
        <w:t>Record in 13/495r15:</w:t>
      </w:r>
    </w:p>
    <w:p w:rsidR="00AE35FC" w:rsidRDefault="00AE35FC" w:rsidP="00AE35FC">
      <w:pPr>
        <w:autoSpaceDE w:val="0"/>
        <w:autoSpaceDN w:val="0"/>
        <w:adjustRightInd w:val="0"/>
        <w:spacing w:after="0" w:line="240" w:lineRule="auto"/>
      </w:pPr>
      <w:r w:rsidRPr="00AE35FC">
        <w:t>REJECTED (</w:t>
      </w:r>
      <w:proofErr w:type="spellStart"/>
      <w:r w:rsidRPr="00AE35FC">
        <w:t>TGai</w:t>
      </w:r>
      <w:proofErr w:type="spellEnd"/>
      <w:r w:rsidRPr="00AE35FC">
        <w:t xml:space="preserve"> General: 2013-07-16 09:30:58Z) - 13/311r1 was discussed by </w:t>
      </w:r>
      <w:proofErr w:type="spellStart"/>
      <w:r w:rsidRPr="00AE35FC">
        <w:t>Tgai</w:t>
      </w:r>
      <w:proofErr w:type="spellEnd"/>
      <w:r w:rsidRPr="00AE35FC">
        <w:t xml:space="preserve"> and did not get sufficient support as it contains several technical changes that go beyond purely addressing the issue raised in this comment.  A straw poll indicated that the group requested a condensed specific text with detailed proposed changes for further discussion.  Such detailed text is not available.</w:t>
      </w:r>
    </w:p>
    <w:p w:rsidR="00AE35FC" w:rsidRDefault="00AE35FC" w:rsidP="00AE35FC">
      <w:pPr>
        <w:autoSpaceDE w:val="0"/>
        <w:autoSpaceDN w:val="0"/>
        <w:adjustRightInd w:val="0"/>
        <w:spacing w:after="0" w:line="240" w:lineRule="auto"/>
      </w:pPr>
    </w:p>
    <w:p w:rsidR="00AE35FC" w:rsidRDefault="00AE35FC" w:rsidP="00AE35FC">
      <w:pPr>
        <w:autoSpaceDE w:val="0"/>
        <w:autoSpaceDN w:val="0"/>
        <w:adjustRightInd w:val="0"/>
        <w:spacing w:after="0" w:line="240" w:lineRule="auto"/>
      </w:pPr>
      <w:r>
        <w:t>Shouldn’</w:t>
      </w:r>
      <w:r w:rsidR="00364DF0">
        <w:t>t this be something else? (</w:t>
      </w:r>
      <w:proofErr w:type="gramStart"/>
      <w:r w:rsidR="00364DF0">
        <w:t>if</w:t>
      </w:r>
      <w:proofErr w:type="gramEnd"/>
      <w:r w:rsidR="00364DF0">
        <w:t xml:space="preserve"> not, it seems we have spent a lot of time discussing this topic, without positive outcome)</w:t>
      </w:r>
    </w:p>
    <w:p w:rsidR="00AE35FC" w:rsidRDefault="00AE35FC" w:rsidP="00AE35FC">
      <w:pPr>
        <w:autoSpaceDE w:val="0"/>
        <w:autoSpaceDN w:val="0"/>
        <w:adjustRightInd w:val="0"/>
        <w:spacing w:after="0" w:line="240" w:lineRule="auto"/>
      </w:pPr>
    </w:p>
    <w:p w:rsidR="00AE35FC" w:rsidRDefault="00AE35FC" w:rsidP="00AE35FC">
      <w:pPr>
        <w:autoSpaceDE w:val="0"/>
        <w:autoSpaceDN w:val="0"/>
        <w:adjustRightInd w:val="0"/>
        <w:spacing w:after="0" w:line="240" w:lineRule="auto"/>
      </w:pPr>
      <w:r>
        <w:rPr>
          <w:u w:val="single"/>
        </w:rPr>
        <w:t>Suggested resolution:</w:t>
      </w:r>
      <w:r>
        <w:t xml:space="preserve"> Accept in Principle.</w:t>
      </w:r>
    </w:p>
    <w:p w:rsidR="004C4BE3" w:rsidRPr="00290BAA" w:rsidRDefault="00AE35FC" w:rsidP="004C4BE3">
      <w:pPr>
        <w:autoSpaceDE w:val="0"/>
        <w:autoSpaceDN w:val="0"/>
        <w:adjustRightInd w:val="0"/>
        <w:spacing w:after="0" w:line="240" w:lineRule="auto"/>
      </w:pPr>
      <w:r>
        <w:t>Motivation: Various solutions to the identified problem were discussed, where the solution documented in 13/478r2 was adopted during the May 2013 meeting.</w:t>
      </w:r>
    </w:p>
    <w:sectPr w:rsidR="004C4BE3" w:rsidRPr="00290BAA" w:rsidSect="00DB70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CC0"/>
    <w:multiLevelType w:val="hybridMultilevel"/>
    <w:tmpl w:val="AEE61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23964"/>
    <w:multiLevelType w:val="hybridMultilevel"/>
    <w:tmpl w:val="C69E5806"/>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10CBA"/>
    <w:multiLevelType w:val="hybridMultilevel"/>
    <w:tmpl w:val="3912C0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725C87"/>
    <w:multiLevelType w:val="hybridMultilevel"/>
    <w:tmpl w:val="059A21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2C4977"/>
    <w:multiLevelType w:val="hybridMultilevel"/>
    <w:tmpl w:val="2EDAB5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443DD5"/>
    <w:multiLevelType w:val="hybridMultilevel"/>
    <w:tmpl w:val="B792CBDC"/>
    <w:lvl w:ilvl="0" w:tplc="18C49E76">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51B01BA1"/>
    <w:multiLevelType w:val="hybridMultilevel"/>
    <w:tmpl w:val="534851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E0791A"/>
    <w:multiLevelType w:val="hybridMultilevel"/>
    <w:tmpl w:val="55200D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8640F"/>
    <w:rsid w:val="00016492"/>
    <w:rsid w:val="00055840"/>
    <w:rsid w:val="000A03D0"/>
    <w:rsid w:val="001266EF"/>
    <w:rsid w:val="00290BAA"/>
    <w:rsid w:val="00324D3A"/>
    <w:rsid w:val="00364DF0"/>
    <w:rsid w:val="004243F4"/>
    <w:rsid w:val="004C4BE3"/>
    <w:rsid w:val="00627267"/>
    <w:rsid w:val="0066500F"/>
    <w:rsid w:val="006751CE"/>
    <w:rsid w:val="006C5629"/>
    <w:rsid w:val="006C5726"/>
    <w:rsid w:val="0070026E"/>
    <w:rsid w:val="00764D01"/>
    <w:rsid w:val="007951A4"/>
    <w:rsid w:val="007A542E"/>
    <w:rsid w:val="0080260F"/>
    <w:rsid w:val="008E5434"/>
    <w:rsid w:val="008F4A67"/>
    <w:rsid w:val="0092361A"/>
    <w:rsid w:val="00AE35FC"/>
    <w:rsid w:val="00B47D18"/>
    <w:rsid w:val="00B50BFC"/>
    <w:rsid w:val="00B64B5A"/>
    <w:rsid w:val="00B9515E"/>
    <w:rsid w:val="00C03036"/>
    <w:rsid w:val="00C97BFB"/>
    <w:rsid w:val="00CC6D27"/>
    <w:rsid w:val="00CF5B03"/>
    <w:rsid w:val="00D1341F"/>
    <w:rsid w:val="00D35890"/>
    <w:rsid w:val="00DB707E"/>
    <w:rsid w:val="00E53F53"/>
    <w:rsid w:val="00ED4CA0"/>
    <w:rsid w:val="00EF551A"/>
    <w:rsid w:val="00F86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7E"/>
  </w:style>
  <w:style w:type="paragraph" w:styleId="Heading1">
    <w:name w:val="heading 1"/>
    <w:basedOn w:val="Normal"/>
    <w:next w:val="Normal"/>
    <w:link w:val="Heading1Char"/>
    <w:uiPriority w:val="9"/>
    <w:qFormat/>
    <w:rsid w:val="00E53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629"/>
    <w:pPr>
      <w:spacing w:after="0" w:line="240" w:lineRule="auto"/>
    </w:pPr>
  </w:style>
  <w:style w:type="paragraph" w:styleId="ListParagraph">
    <w:name w:val="List Paragraph"/>
    <w:basedOn w:val="Normal"/>
    <w:uiPriority w:val="34"/>
    <w:qFormat/>
    <w:rsid w:val="001266EF"/>
    <w:pPr>
      <w:ind w:left="720"/>
      <w:contextualSpacing/>
    </w:pPr>
  </w:style>
  <w:style w:type="paragraph" w:styleId="BalloonText">
    <w:name w:val="Balloon Text"/>
    <w:basedOn w:val="Normal"/>
    <w:link w:val="BalloonTextChar"/>
    <w:uiPriority w:val="99"/>
    <w:semiHidden/>
    <w:unhideWhenUsed/>
    <w:rsid w:val="00126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6EF"/>
    <w:rPr>
      <w:rFonts w:ascii="Tahoma" w:hAnsi="Tahoma" w:cs="Tahoma"/>
      <w:sz w:val="16"/>
      <w:szCs w:val="16"/>
    </w:rPr>
  </w:style>
  <w:style w:type="table" w:styleId="TableGrid">
    <w:name w:val="Table Grid"/>
    <w:basedOn w:val="TableNormal"/>
    <w:uiPriority w:val="59"/>
    <w:rsid w:val="004C4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3F53"/>
    <w:rPr>
      <w:rFonts w:asciiTheme="majorHAnsi" w:eastAsiaTheme="majorEastAsia" w:hAnsiTheme="majorHAnsi" w:cstheme="majorBidi"/>
      <w:b/>
      <w:bCs/>
      <w:color w:val="365F91" w:themeColor="accent1" w:themeShade="BF"/>
      <w:sz w:val="28"/>
      <w:szCs w:val="28"/>
    </w:rPr>
  </w:style>
  <w:style w:type="paragraph" w:customStyle="1" w:styleId="T2">
    <w:name w:val="T2"/>
    <w:basedOn w:val="Normal"/>
    <w:rsid w:val="00AE35FC"/>
    <w:pPr>
      <w:spacing w:after="240" w:line="240" w:lineRule="auto"/>
      <w:ind w:left="720" w:right="720"/>
      <w:jc w:val="center"/>
    </w:pPr>
    <w:rPr>
      <w:rFonts w:ascii="Times New Roman" w:eastAsia="Times New Roman" w:hAnsi="Times New Roman" w:cs="Times New Roman"/>
      <w:b/>
      <w:sz w:val="28"/>
      <w:szCs w:val="20"/>
      <w:lang w:val="en-GB"/>
    </w:rPr>
  </w:style>
  <w:style w:type="paragraph" w:customStyle="1" w:styleId="T1">
    <w:name w:val="T1"/>
    <w:basedOn w:val="Normal"/>
    <w:rsid w:val="00AE35FC"/>
    <w:pPr>
      <w:spacing w:after="0" w:line="240" w:lineRule="auto"/>
      <w:jc w:val="center"/>
    </w:pPr>
    <w:rPr>
      <w:rFonts w:ascii="Times New Roman" w:eastAsia="Times New Roman" w:hAnsi="Times New Roman" w:cs="Times New Roman"/>
      <w:b/>
      <w:sz w:val="2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Struik</dc:creator>
  <cp:lastModifiedBy>Rene Struik</cp:lastModifiedBy>
  <cp:revision>2</cp:revision>
  <cp:lastPrinted>2013-07-16T18:08:00Z</cp:lastPrinted>
  <dcterms:created xsi:type="dcterms:W3CDTF">2013-07-16T21:42:00Z</dcterms:created>
  <dcterms:modified xsi:type="dcterms:W3CDTF">2013-07-16T21:42:00Z</dcterms:modified>
</cp:coreProperties>
</file>