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378AB">
            <w:pPr>
              <w:pStyle w:val="T2"/>
            </w:pPr>
            <w:r>
              <w:t xml:space="preserve">Normative text for </w:t>
            </w:r>
            <w:r w:rsidR="005378AB">
              <w:rPr>
                <w:lang w:eastAsia="zh-CN"/>
              </w:rPr>
              <w:t>Differentiated Initial Link Setup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BB6B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5493D">
              <w:rPr>
                <w:b w:val="0"/>
                <w:sz w:val="20"/>
              </w:rPr>
              <w:t>**</w:t>
            </w:r>
            <w:r w:rsidR="005378AB">
              <w:rPr>
                <w:b w:val="0"/>
                <w:sz w:val="20"/>
              </w:rPr>
              <w:t>-</w:t>
            </w:r>
            <w:r w:rsidR="0005493D">
              <w:rPr>
                <w:b w:val="0"/>
                <w:sz w:val="20"/>
              </w:rPr>
              <w:t>**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Phillip Barber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C56ADD" w:rsidP="00107C9E">
      <w:pPr>
        <w:pStyle w:val="T1"/>
        <w:spacing w:after="120"/>
        <w:rPr>
          <w:sz w:val="22"/>
          <w:lang w:val="fi-FI"/>
        </w:rPr>
      </w:pPr>
      <w:r w:rsidRPr="00C56AD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7C9E" w:rsidRDefault="00107C9E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5378AB">
                    <w:rPr>
                      <w:lang w:eastAsia="zh-CN"/>
                    </w:rPr>
                    <w:t xml:space="preserve">differentiated initial link setup as identified in </w:t>
                  </w:r>
                  <w:r>
                    <w:rPr>
                      <w:lang w:eastAsia="zh-CN"/>
                    </w:rPr>
                    <w:t>6.</w:t>
                  </w:r>
                  <w:r w:rsidR="005378AB">
                    <w:rPr>
                      <w:lang w:eastAsia="zh-CN"/>
                    </w:rPr>
                    <w:t xml:space="preserve">1.1 </w:t>
                  </w:r>
                  <w:r>
                    <w:rPr>
                      <w:lang w:eastAsia="zh-CN"/>
                    </w:rPr>
                    <w:t>of the SFD (</w:t>
                  </w:r>
                  <w:hyperlink r:id="rId8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5378AB" w:rsidRPr="00B53AD4" w:rsidRDefault="005378AB" w:rsidP="005378AB">
                  <w:pPr>
                    <w:pStyle w:val="Heading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6.1.1 Link setup</w:t>
                  </w:r>
                </w:p>
                <w:p w:rsidR="005378AB" w:rsidRDefault="005378AB" w:rsidP="005378AB">
                  <w:pPr>
                    <w:rPr>
                      <w:lang w:val="fi-FI"/>
                    </w:rPr>
                  </w:pPr>
                  <w:r w:rsidRPr="008328E6">
                    <w:t>FILS devices shall support di</w:t>
                  </w:r>
                  <w:r w:rsidR="000C0F54">
                    <w:t xml:space="preserve">fferentiated initial link setup </w:t>
                  </w:r>
                  <w:r>
                    <w:t>(11-12/0909r10)</w:t>
                  </w:r>
                  <w:r w:rsidR="000C0F54">
                    <w:t>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EE4A0C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3.1 Definitions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0D5807" w:rsidRPr="00564199" w:rsidRDefault="000D5807" w:rsidP="000D5807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3.1</w:t>
      </w:r>
      <w:r w:rsidRPr="006D0ED6">
        <w:rPr>
          <w:i/>
          <w:highlight w:val="yellow"/>
        </w:rPr>
        <w:t xml:space="preserve"> with the following text:</w:t>
      </w:r>
    </w:p>
    <w:p w:rsidR="000D5807" w:rsidRPr="000D5807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E4A0C" w:rsidRPr="000D5807" w:rsidRDefault="000D5807" w:rsidP="00EE4A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val="en-US"/>
        </w:rPr>
      </w:pPr>
      <w:proofErr w:type="gramStart"/>
      <w:r w:rsidRPr="000D5807">
        <w:rPr>
          <w:b/>
          <w:bCs/>
          <w:sz w:val="20"/>
          <w:u w:val="single"/>
          <w:lang w:val="en-US"/>
        </w:rPr>
        <w:t>a</w:t>
      </w:r>
      <w:r w:rsidR="00EE4A0C" w:rsidRPr="000D5807">
        <w:rPr>
          <w:b/>
          <w:bCs/>
          <w:sz w:val="20"/>
          <w:u w:val="single"/>
          <w:lang w:val="en-US"/>
        </w:rPr>
        <w:t>ssociation</w:t>
      </w:r>
      <w:proofErr w:type="gramEnd"/>
      <w:r w:rsidR="00EE4A0C" w:rsidRPr="000D5807">
        <w:rPr>
          <w:b/>
          <w:bCs/>
          <w:sz w:val="20"/>
          <w:u w:val="single"/>
          <w:lang w:val="en-US"/>
        </w:rPr>
        <w:t xml:space="preserve"> c</w:t>
      </w:r>
      <w:r w:rsidRPr="000D5807">
        <w:rPr>
          <w:b/>
          <w:bCs/>
          <w:sz w:val="20"/>
          <w:u w:val="single"/>
          <w:lang w:val="en-US"/>
        </w:rPr>
        <w:t>ategory</w:t>
      </w:r>
      <w:r w:rsidR="00EE4A0C" w:rsidRPr="000D5807">
        <w:rPr>
          <w:b/>
          <w:bCs/>
          <w:sz w:val="20"/>
          <w:u w:val="single"/>
          <w:lang w:val="en-US"/>
        </w:rPr>
        <w:t xml:space="preserve"> (A</w:t>
      </w:r>
      <w:r w:rsidRPr="000D5807">
        <w:rPr>
          <w:b/>
          <w:bCs/>
          <w:sz w:val="20"/>
          <w:u w:val="single"/>
          <w:lang w:val="en-US"/>
        </w:rPr>
        <w:t>S</w:t>
      </w:r>
      <w:r w:rsidR="00EE4A0C" w:rsidRPr="000D5807">
        <w:rPr>
          <w:b/>
          <w:bCs/>
          <w:sz w:val="20"/>
          <w:u w:val="single"/>
          <w:lang w:val="en-US"/>
        </w:rPr>
        <w:t xml:space="preserve">C): 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 xml:space="preserve">A label used by </w:t>
      </w:r>
      <w:r w:rsidRPr="000D5807">
        <w:rPr>
          <w:rFonts w:ascii="TimesNewRoman" w:hAnsi="TimesNewRoman" w:cs="TimesNewRoman"/>
          <w:sz w:val="20"/>
          <w:u w:val="single"/>
          <w:lang w:val="en-US"/>
        </w:rPr>
        <w:t>associating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 xml:space="preserve"> station (STA) to </w:t>
      </w:r>
      <w:r w:rsidRPr="000D5807">
        <w:rPr>
          <w:rFonts w:ascii="TimesNewRoman" w:hAnsi="TimesNewRoman" w:cs="TimesNewRoman"/>
          <w:sz w:val="20"/>
          <w:u w:val="single"/>
          <w:lang w:val="en-US"/>
        </w:rPr>
        <w:t>associate with an access point (AP) with c</w:t>
      </w:r>
      <w:r w:rsidR="00EE4A0C" w:rsidRPr="000D5807">
        <w:rPr>
          <w:rFonts w:ascii="TimesNewRoman" w:hAnsi="TimesNewRoman" w:cs="TimesNewRoman"/>
          <w:sz w:val="20"/>
          <w:u w:val="single"/>
          <w:lang w:val="en-US"/>
        </w:rPr>
        <w:t>ertain priorities.</w:t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6.3.3.3.2 Semantics of the service primitive</w:t>
      </w:r>
    </w:p>
    <w:p w:rsidR="00474B3E" w:rsidRDefault="00474B3E" w:rsidP="00474B3E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</w:t>
      </w:r>
      <w:r w:rsidRPr="001E7EA9">
        <w:rPr>
          <w:i/>
          <w:highlight w:val="yellow"/>
        </w:rPr>
        <w:t>nsert new rows in the corresponding tables as the following: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E22FFD" w:rsidRDefault="00E22FFD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Each </w:t>
      </w:r>
      <w:proofErr w:type="spellStart"/>
      <w:r>
        <w:rPr>
          <w:rFonts w:ascii="TimesNewRoman" w:hAnsi="TimesNewRoman" w:cs="TimesNewRoman"/>
          <w:sz w:val="20"/>
          <w:lang w:val="en-US"/>
        </w:rPr>
        <w:t>BSSDescriptionFromFDSet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consists of the following information items:</w:t>
      </w:r>
    </w:p>
    <w:tbl>
      <w:tblPr>
        <w:tblStyle w:val="TableGrid"/>
        <w:tblW w:w="0" w:type="auto"/>
        <w:tblLook w:val="04A0"/>
      </w:tblPr>
      <w:tblGrid>
        <w:gridCol w:w="2228"/>
        <w:gridCol w:w="2229"/>
        <w:gridCol w:w="2170"/>
        <w:gridCol w:w="2229"/>
      </w:tblGrid>
      <w:tr w:rsidR="00474B3E" w:rsidTr="00474B3E">
        <w:tc>
          <w:tcPr>
            <w:tcW w:w="2394" w:type="dxa"/>
          </w:tcPr>
          <w:p w:rsidR="00474B3E" w:rsidRDefault="00474B3E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2394" w:type="dxa"/>
          </w:tcPr>
          <w:p w:rsidR="00474B3E" w:rsidRPr="00E22FFD" w:rsidRDefault="00474B3E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 xml:space="preserve">Type </w:t>
            </w:r>
          </w:p>
        </w:tc>
        <w:tc>
          <w:tcPr>
            <w:tcW w:w="2394" w:type="dxa"/>
          </w:tcPr>
          <w:p w:rsidR="00474B3E" w:rsidRDefault="00474B3E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Valid range</w:t>
            </w:r>
          </w:p>
        </w:tc>
        <w:tc>
          <w:tcPr>
            <w:tcW w:w="2394" w:type="dxa"/>
          </w:tcPr>
          <w:p w:rsidR="00474B3E" w:rsidRDefault="00474B3E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Description</w:t>
            </w:r>
          </w:p>
        </w:tc>
      </w:tr>
      <w:tr w:rsidR="00474B3E" w:rsidTr="00474B3E">
        <w:tc>
          <w:tcPr>
            <w:tcW w:w="2394" w:type="dxa"/>
          </w:tcPr>
          <w:p w:rsidR="00474B3E" w:rsidRPr="00E314B4" w:rsidRDefault="000E7B87" w:rsidP="002617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>Differentiated initial link setup information</w:t>
            </w:r>
          </w:p>
        </w:tc>
        <w:tc>
          <w:tcPr>
            <w:tcW w:w="2394" w:type="dxa"/>
          </w:tcPr>
          <w:p w:rsidR="00474B3E" w:rsidRPr="00E314B4" w:rsidRDefault="000E7B87" w:rsidP="000E7B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>Differentiated initial link setup information includes ASC bitmap field and time duration field</w:t>
            </w:r>
          </w:p>
        </w:tc>
        <w:tc>
          <w:tcPr>
            <w:tcW w:w="2394" w:type="dxa"/>
          </w:tcPr>
          <w:p w:rsidR="00E22FFD" w:rsidRPr="00E314B4" w:rsidRDefault="00E22FFD" w:rsidP="00E22F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u w:val="single"/>
                <w:lang w:val="en-US"/>
              </w:rPr>
            </w:pPr>
            <w:r w:rsidRPr="00E314B4">
              <w:rPr>
                <w:rFonts w:ascii="TimesNewRoman" w:hAnsi="TimesNewRoman" w:cs="TimesNewRoman"/>
                <w:sz w:val="20"/>
                <w:u w:val="single"/>
                <w:lang w:val="en-US"/>
              </w:rPr>
              <w:t>As defined in</w:t>
            </w:r>
          </w:p>
          <w:p w:rsidR="00474B3E" w:rsidRPr="00E314B4" w:rsidRDefault="00E22FFD" w:rsidP="00E22FF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r w:rsidRPr="00E314B4">
              <w:rPr>
                <w:rFonts w:ascii="TimesNewRoman" w:hAnsi="TimesNewRoman" w:cs="TimesNewRoman"/>
                <w:sz w:val="20"/>
                <w:u w:val="single"/>
                <w:lang w:val="en-US"/>
              </w:rPr>
              <w:t>8.4.2.122</w:t>
            </w:r>
          </w:p>
        </w:tc>
        <w:tc>
          <w:tcPr>
            <w:tcW w:w="2394" w:type="dxa"/>
          </w:tcPr>
          <w:p w:rsidR="000E7B87" w:rsidRDefault="000E7B87" w:rsidP="00E314B4">
            <w:pPr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/>
              </w:rPr>
            </w:pPr>
            <w:r>
              <w:rPr>
                <w:bCs/>
                <w:sz w:val="20"/>
                <w:u w:val="single"/>
                <w:lang w:val="en-US"/>
              </w:rPr>
              <w:t>Differentiated initial link setup information includes ASC bitmap field and time duration field;</w:t>
            </w:r>
            <w:r w:rsidRPr="00E314B4">
              <w:rPr>
                <w:bCs/>
                <w:sz w:val="20"/>
                <w:u w:val="single"/>
                <w:lang w:val="en-US"/>
              </w:rPr>
              <w:t xml:space="preserve"> </w:t>
            </w:r>
          </w:p>
          <w:p w:rsidR="00474B3E" w:rsidRPr="00E314B4" w:rsidRDefault="002617D9" w:rsidP="00E314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u w:val="single"/>
                <w:lang w:val="en-US"/>
              </w:rPr>
            </w:pPr>
            <w:r w:rsidRPr="00E314B4">
              <w:rPr>
                <w:bCs/>
                <w:sz w:val="20"/>
                <w:u w:val="single"/>
                <w:lang w:val="en-US"/>
              </w:rPr>
              <w:t>This parameter is optional</w:t>
            </w:r>
          </w:p>
        </w:tc>
      </w:tr>
    </w:tbl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85696A" w:rsidRDefault="0085696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8.3.3.2 Beacon frame body</w:t>
      </w:r>
    </w:p>
    <w:p w:rsidR="001E7EA9" w:rsidRDefault="0085696A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 new rows in the corresponding tables as the following:</w:t>
      </w:r>
    </w:p>
    <w:p w:rsidR="0085696A" w:rsidRPr="00474B3E" w:rsidRDefault="0085696A" w:rsidP="001E7EA9">
      <w:pPr>
        <w:rPr>
          <w:rFonts w:ascii="Arial" w:hAnsi="Arial" w:cs="Arial"/>
          <w:b/>
          <w:bCs/>
          <w:sz w:val="20"/>
        </w:rPr>
      </w:pPr>
    </w:p>
    <w:p w:rsidR="008F61A8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 Beacon frame body</w:t>
      </w:r>
    </w:p>
    <w:p w:rsidR="00D86C9B" w:rsidRDefault="00D86C9B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8"/>
        <w:gridCol w:w="2206"/>
        <w:gridCol w:w="4726"/>
      </w:tblGrid>
      <w:tr w:rsidR="0085696A" w:rsidTr="00D770B8">
        <w:tc>
          <w:tcPr>
            <w:tcW w:w="628" w:type="dxa"/>
          </w:tcPr>
          <w:p w:rsidR="0085696A" w:rsidRPr="0085696A" w:rsidRDefault="0005493D" w:rsidP="00856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u w:val="single"/>
                <w:lang w:val="en-US"/>
              </w:rPr>
              <w:t>ANA</w:t>
            </w:r>
          </w:p>
        </w:tc>
        <w:tc>
          <w:tcPr>
            <w:tcW w:w="2206" w:type="dxa"/>
          </w:tcPr>
          <w:p w:rsidR="0085696A" w:rsidRPr="0085696A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</w:p>
          <w:p w:rsidR="0085696A" w:rsidRPr="0085696A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  <w:tc>
          <w:tcPr>
            <w:tcW w:w="4726" w:type="dxa"/>
          </w:tcPr>
          <w:p w:rsidR="0085696A" w:rsidRPr="0085696A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The 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  <w:r w:rsidR="00DC3D7F">
              <w:rPr>
                <w:color w:val="000000" w:themeColor="text1"/>
                <w:u w:val="single"/>
                <w:lang w:eastAsia="zh-CN"/>
              </w:rPr>
              <w:t>should</w:t>
            </w:r>
            <w:r w:rsidR="004E686A">
              <w:rPr>
                <w:color w:val="000000" w:themeColor="text1"/>
                <w:u w:val="single"/>
                <w:lang w:eastAsia="zh-CN"/>
              </w:rPr>
              <w:t xml:space="preserve"> be 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present when </w:t>
            </w:r>
            <w:r w:rsidRPr="0085696A">
              <w:rPr>
                <w:rFonts w:hint="eastAsia"/>
                <w:color w:val="000000" w:themeColor="text1"/>
                <w:u w:val="single"/>
                <w:lang w:eastAsia="zh-CN"/>
              </w:rPr>
              <w:t>dot11FILSActiveated is true</w:t>
            </w:r>
            <w:r w:rsidRPr="0085696A">
              <w:rPr>
                <w:color w:val="000000" w:themeColor="text1"/>
                <w:u w:val="single"/>
                <w:lang w:eastAsia="zh-CN"/>
              </w:rPr>
              <w:t>.</w:t>
            </w:r>
          </w:p>
          <w:p w:rsidR="0085696A" w:rsidRPr="0085696A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</w:tr>
    </w:tbl>
    <w:p w:rsidR="004D37CE" w:rsidRDefault="004D37CE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D86C9B" w:rsidRPr="004D37CE" w:rsidRDefault="00D86C9B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85696A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</w:t>
      </w:r>
      <w:r w:rsidR="00D86C9B">
        <w:rPr>
          <w:rFonts w:ascii="Arial" w:hAnsi="Arial" w:cs="Arial"/>
          <w:b/>
          <w:bCs/>
          <w:sz w:val="20"/>
          <w:lang w:val="en-US"/>
        </w:rPr>
        <w:t>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D86C9B">
        <w:rPr>
          <w:rFonts w:ascii="Arial" w:hAnsi="Arial" w:cs="Arial"/>
          <w:b/>
          <w:bCs/>
          <w:sz w:val="20"/>
          <w:lang w:val="en-US"/>
        </w:rPr>
        <w:t>Probe response frame</w:t>
      </w:r>
      <w:r>
        <w:rPr>
          <w:rFonts w:ascii="Arial" w:hAnsi="Arial" w:cs="Arial"/>
          <w:b/>
          <w:bCs/>
          <w:sz w:val="20"/>
          <w:lang w:val="en-US"/>
        </w:rPr>
        <w:t xml:space="preserve"> body</w:t>
      </w:r>
    </w:p>
    <w:tbl>
      <w:tblPr>
        <w:tblStyle w:val="TableGrid"/>
        <w:tblW w:w="7560" w:type="dxa"/>
        <w:tblInd w:w="108" w:type="dxa"/>
        <w:tblLook w:val="04A0"/>
      </w:tblPr>
      <w:tblGrid>
        <w:gridCol w:w="628"/>
        <w:gridCol w:w="2326"/>
        <w:gridCol w:w="4606"/>
      </w:tblGrid>
      <w:tr w:rsidR="002355DC" w:rsidTr="00D770B8">
        <w:tc>
          <w:tcPr>
            <w:tcW w:w="628" w:type="dxa"/>
          </w:tcPr>
          <w:p w:rsidR="002355DC" w:rsidRPr="0085696A" w:rsidRDefault="002355DC" w:rsidP="00B043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u w:val="single"/>
                <w:lang w:val="en-US"/>
              </w:rPr>
              <w:t>ANA</w:t>
            </w:r>
          </w:p>
        </w:tc>
        <w:tc>
          <w:tcPr>
            <w:tcW w:w="2326" w:type="dxa"/>
          </w:tcPr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</w:p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  <w:tc>
          <w:tcPr>
            <w:tcW w:w="4606" w:type="dxa"/>
          </w:tcPr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 xml:space="preserve">The Differentiated Initial Link Setup </w:t>
            </w:r>
            <w:r w:rsidR="00AC4DD3">
              <w:rPr>
                <w:color w:val="000000" w:themeColor="text1"/>
                <w:u w:val="single"/>
                <w:lang w:eastAsia="zh-CN"/>
              </w:rPr>
              <w:t>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lement </w:t>
            </w:r>
            <w:r w:rsidR="00DC3D7F">
              <w:rPr>
                <w:color w:val="000000" w:themeColor="text1"/>
                <w:u w:val="single"/>
                <w:lang w:eastAsia="zh-CN"/>
              </w:rPr>
              <w:t>should be</w:t>
            </w:r>
            <w:r w:rsidRPr="0085696A">
              <w:rPr>
                <w:color w:val="000000" w:themeColor="text1"/>
                <w:u w:val="single"/>
                <w:lang w:eastAsia="zh-CN"/>
              </w:rPr>
              <w:t xml:space="preserve"> present when </w:t>
            </w:r>
            <w:r w:rsidRPr="0085696A">
              <w:rPr>
                <w:rFonts w:hint="eastAsia"/>
                <w:color w:val="000000" w:themeColor="text1"/>
                <w:u w:val="single"/>
                <w:lang w:eastAsia="zh-CN"/>
              </w:rPr>
              <w:t>dot11FILSActiveated is true</w:t>
            </w:r>
            <w:r w:rsidRPr="0085696A">
              <w:rPr>
                <w:color w:val="000000" w:themeColor="text1"/>
                <w:u w:val="single"/>
                <w:lang w:eastAsia="zh-CN"/>
              </w:rPr>
              <w:t>.</w:t>
            </w:r>
          </w:p>
          <w:p w:rsidR="002355DC" w:rsidRPr="0085696A" w:rsidRDefault="002355DC" w:rsidP="003470F9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</w:p>
        </w:tc>
      </w:tr>
    </w:tbl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1686D" w:rsidRDefault="00C1686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82446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8.4.2.1 General </w:t>
      </w:r>
    </w:p>
    <w:p w:rsidR="001E7EA9" w:rsidRDefault="005343E1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 new rows in the corresponding tables as the following:</w:t>
      </w: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E7B87" w:rsidRDefault="000E7B8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E7B87" w:rsidRPr="005343E1" w:rsidRDefault="000E7B8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1E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Table 8-54—Element IDs</w:t>
      </w:r>
    </w:p>
    <w:tbl>
      <w:tblPr>
        <w:tblStyle w:val="TableGrid"/>
        <w:tblW w:w="7349" w:type="dxa"/>
        <w:jc w:val="center"/>
        <w:tblInd w:w="-1467" w:type="dxa"/>
        <w:tblLook w:val="04A0"/>
      </w:tblPr>
      <w:tblGrid>
        <w:gridCol w:w="1575"/>
        <w:gridCol w:w="2250"/>
        <w:gridCol w:w="1880"/>
        <w:gridCol w:w="1644"/>
      </w:tblGrid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5343E1" w:rsidP="005343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Element </w:t>
            </w:r>
          </w:p>
        </w:tc>
        <w:tc>
          <w:tcPr>
            <w:tcW w:w="2250" w:type="dxa"/>
          </w:tcPr>
          <w:p w:rsidR="005343E1" w:rsidRPr="00191EE1" w:rsidRDefault="005343E1" w:rsidP="009627FC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Element ID</w:t>
            </w:r>
          </w:p>
        </w:tc>
        <w:tc>
          <w:tcPr>
            <w:tcW w:w="1880" w:type="dxa"/>
          </w:tcPr>
          <w:p w:rsidR="005343E1" w:rsidRPr="00191EE1" w:rsidRDefault="005343E1" w:rsidP="005343E1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Length of indicated element (in octets) </w:t>
            </w:r>
          </w:p>
        </w:tc>
        <w:tc>
          <w:tcPr>
            <w:tcW w:w="1644" w:type="dxa"/>
          </w:tcPr>
          <w:p w:rsidR="005343E1" w:rsidRPr="00191EE1" w:rsidRDefault="005343E1" w:rsidP="009627FC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Extensible</w:t>
            </w:r>
          </w:p>
        </w:tc>
      </w:tr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2355DC" w:rsidP="002355DC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>Differentiated Initial Link Setup Element</w:t>
            </w:r>
            <w:r>
              <w:rPr>
                <w:color w:val="000000" w:themeColor="text1"/>
                <w:u w:val="single"/>
                <w:lang w:eastAsia="zh-CN"/>
              </w:rPr>
              <w:t xml:space="preserve"> ( see 8.4.2.122)</w:t>
            </w:r>
          </w:p>
        </w:tc>
        <w:tc>
          <w:tcPr>
            <w:tcW w:w="2250" w:type="dxa"/>
          </w:tcPr>
          <w:p w:rsidR="005343E1" w:rsidRPr="00191EE1" w:rsidRDefault="002355DC" w:rsidP="009627FC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ANA</w:t>
            </w:r>
          </w:p>
        </w:tc>
        <w:tc>
          <w:tcPr>
            <w:tcW w:w="1880" w:type="dxa"/>
          </w:tcPr>
          <w:p w:rsidR="005343E1" w:rsidRPr="00191EE1" w:rsidRDefault="002355DC" w:rsidP="005343E1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4</w:t>
            </w:r>
          </w:p>
        </w:tc>
        <w:tc>
          <w:tcPr>
            <w:tcW w:w="1644" w:type="dxa"/>
          </w:tcPr>
          <w:p w:rsidR="005343E1" w:rsidRPr="00524EFA" w:rsidRDefault="00C30EC5" w:rsidP="009627F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Yes</w:t>
            </w:r>
          </w:p>
        </w:tc>
      </w:tr>
    </w:tbl>
    <w:p w:rsidR="005343E1" w:rsidRP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86C9B" w:rsidRDefault="00D86C9B" w:rsidP="00D86C9B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 w:rsidRPr="00D86C9B">
        <w:rPr>
          <w:rFonts w:ascii="Arial" w:hAnsi="Arial" w:cs="Arial"/>
          <w:b/>
          <w:bCs/>
          <w:sz w:val="20"/>
          <w:u w:val="single"/>
          <w:lang w:val="en-US"/>
        </w:rPr>
        <w:t xml:space="preserve">8.4.2.122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 xml:space="preserve">lement </w:t>
      </w:r>
    </w:p>
    <w:p w:rsidR="00DB4E55" w:rsidRPr="0085696A" w:rsidRDefault="00DB4E55" w:rsidP="00D86C9B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</w:p>
    <w:p w:rsidR="00DB4E55" w:rsidRPr="0085696A" w:rsidRDefault="00DB4E55" w:rsidP="00DB4E55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 w:rsidRPr="00DB4E55">
        <w:rPr>
          <w:rFonts w:ascii="Arial" w:hAnsi="Arial" w:cs="Arial"/>
          <w:bCs/>
          <w:sz w:val="20"/>
          <w:u w:val="single"/>
          <w:lang w:val="en-US"/>
        </w:rPr>
        <w:t xml:space="preserve">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>lement</w:t>
      </w:r>
      <w:r w:rsidR="00C422E1">
        <w:rPr>
          <w:color w:val="000000" w:themeColor="text1"/>
          <w:u w:val="single"/>
          <w:lang w:eastAsia="zh-CN"/>
        </w:rPr>
        <w:t xml:space="preserve"> </w:t>
      </w:r>
      <w:r>
        <w:rPr>
          <w:color w:val="000000" w:themeColor="text1"/>
          <w:u w:val="single"/>
          <w:lang w:eastAsia="zh-CN"/>
        </w:rPr>
        <w:t xml:space="preserve">contains a number of </w:t>
      </w:r>
      <w:r w:rsidR="00C422E1">
        <w:rPr>
          <w:color w:val="000000" w:themeColor="text1"/>
          <w:u w:val="single"/>
          <w:lang w:eastAsia="zh-CN"/>
        </w:rPr>
        <w:t xml:space="preserve">fields </w:t>
      </w:r>
      <w:r>
        <w:rPr>
          <w:color w:val="000000" w:themeColor="text1"/>
          <w:u w:val="single"/>
          <w:lang w:eastAsia="zh-CN"/>
        </w:rPr>
        <w:t xml:space="preserve">that are used to advertise which </w:t>
      </w:r>
      <w:r w:rsidR="00191EE1">
        <w:rPr>
          <w:color w:val="000000" w:themeColor="text1"/>
          <w:u w:val="single"/>
          <w:lang w:eastAsia="zh-CN"/>
        </w:rPr>
        <w:t>category</w:t>
      </w:r>
      <w:r>
        <w:rPr>
          <w:color w:val="000000" w:themeColor="text1"/>
          <w:u w:val="single"/>
          <w:lang w:eastAsia="zh-CN"/>
        </w:rPr>
        <w:t xml:space="preserve"> of STAs that can associate with the AP in the following time duration. 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C422E1">
        <w:rPr>
          <w:color w:val="000000" w:themeColor="text1"/>
          <w:u w:val="single"/>
          <w:lang w:eastAsia="zh-CN"/>
        </w:rPr>
        <w:t>e</w:t>
      </w:r>
      <w:r w:rsidR="00C422E1" w:rsidRPr="0085696A">
        <w:rPr>
          <w:color w:val="000000" w:themeColor="text1"/>
          <w:u w:val="single"/>
          <w:lang w:eastAsia="zh-CN"/>
        </w:rPr>
        <w:t xml:space="preserve">lement </w:t>
      </w:r>
      <w:r w:rsidR="004E686A">
        <w:rPr>
          <w:color w:val="000000" w:themeColor="text1"/>
          <w:u w:val="single"/>
          <w:lang w:eastAsia="zh-CN"/>
        </w:rPr>
        <w:t xml:space="preserve">should be </w:t>
      </w:r>
      <w:r>
        <w:rPr>
          <w:color w:val="000000" w:themeColor="text1"/>
          <w:u w:val="single"/>
          <w:lang w:eastAsia="zh-CN"/>
        </w:rPr>
        <w:t>present in Beacon frames</w:t>
      </w:r>
      <w:r w:rsidR="005343E1">
        <w:rPr>
          <w:color w:val="000000" w:themeColor="text1"/>
          <w:u w:val="single"/>
          <w:lang w:eastAsia="zh-CN"/>
        </w:rPr>
        <w:t>,</w:t>
      </w:r>
      <w:r>
        <w:rPr>
          <w:color w:val="000000" w:themeColor="text1"/>
          <w:u w:val="single"/>
          <w:lang w:eastAsia="zh-CN"/>
        </w:rPr>
        <w:t xml:space="preserve"> probe</w:t>
      </w:r>
      <w:r w:rsidR="005343E1">
        <w:rPr>
          <w:color w:val="000000" w:themeColor="text1"/>
          <w:u w:val="single"/>
          <w:lang w:eastAsia="zh-CN"/>
        </w:rPr>
        <w:t xml:space="preserve"> response frames, and</w:t>
      </w:r>
      <w:r w:rsidR="005343E1" w:rsidRPr="004E686A">
        <w:rPr>
          <w:color w:val="000000" w:themeColor="text1"/>
          <w:u w:val="single"/>
          <w:lang w:eastAsia="zh-CN"/>
        </w:rPr>
        <w:t xml:space="preserve"> </w:t>
      </w:r>
      <w:r w:rsidR="004E686A" w:rsidRPr="004E686A">
        <w:rPr>
          <w:color w:val="000000" w:themeColor="text1"/>
          <w:u w:val="single"/>
          <w:lang w:eastAsia="zh-CN"/>
        </w:rPr>
        <w:t xml:space="preserve">FILS Discovery (FD) frames. </w:t>
      </w:r>
      <w:r>
        <w:rPr>
          <w:color w:val="000000" w:themeColor="text1"/>
          <w:u w:val="single"/>
          <w:lang w:eastAsia="zh-CN"/>
        </w:rPr>
        <w:t xml:space="preserve">The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 w:rsidR="008D4D2E">
        <w:rPr>
          <w:color w:val="000000" w:themeColor="text1"/>
          <w:u w:val="single"/>
          <w:lang w:eastAsia="zh-CN"/>
        </w:rPr>
        <w:t>e</w:t>
      </w:r>
      <w:r w:rsidR="008D4D2E" w:rsidRPr="0085696A">
        <w:rPr>
          <w:color w:val="000000" w:themeColor="text1"/>
          <w:u w:val="single"/>
          <w:lang w:eastAsia="zh-CN"/>
        </w:rPr>
        <w:t xml:space="preserve">lement </w:t>
      </w:r>
      <w:r>
        <w:rPr>
          <w:color w:val="000000" w:themeColor="text1"/>
          <w:u w:val="single"/>
          <w:lang w:eastAsia="zh-CN"/>
        </w:rPr>
        <w:t>is defined in Fig. 8-**</w:t>
      </w:r>
      <w:r w:rsidR="00C30EC5">
        <w:rPr>
          <w:color w:val="000000" w:themeColor="text1"/>
          <w:u w:val="single"/>
          <w:lang w:eastAsia="zh-CN"/>
        </w:rPr>
        <w:t>01.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61A8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                                                         Figure 8-*</w:t>
      </w:r>
      <w:r w:rsidR="00C30EC5">
        <w:rPr>
          <w:rFonts w:ascii="Arial" w:hAnsi="Arial" w:cs="Arial"/>
          <w:b/>
          <w:bCs/>
          <w:sz w:val="20"/>
          <w:lang w:val="en-US"/>
        </w:rPr>
        <w:t>*01</w:t>
      </w:r>
    </w:p>
    <w:tbl>
      <w:tblPr>
        <w:tblStyle w:val="TableGrid"/>
        <w:tblW w:w="5760" w:type="dxa"/>
        <w:tblInd w:w="918" w:type="dxa"/>
        <w:tblLook w:val="04A0"/>
      </w:tblPr>
      <w:tblGrid>
        <w:gridCol w:w="1350"/>
        <w:gridCol w:w="990"/>
        <w:gridCol w:w="1710"/>
        <w:gridCol w:w="1710"/>
      </w:tblGrid>
      <w:tr w:rsidR="00DB4E55" w:rsidTr="00DB4E55">
        <w:tc>
          <w:tcPr>
            <w:tcW w:w="1350" w:type="dxa"/>
          </w:tcPr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90" w:type="dxa"/>
          </w:tcPr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DB4E55" w:rsidRDefault="00DB4E55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10" w:type="dxa"/>
          </w:tcPr>
          <w:p w:rsidR="00DB4E55" w:rsidRDefault="00DB4E55" w:rsidP="0019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</w:t>
            </w:r>
            <w:r w:rsidR="00A23359">
              <w:rPr>
                <w:rFonts w:ascii="Arial" w:hAnsi="Arial" w:cs="Arial"/>
                <w:b/>
                <w:bCs/>
                <w:sz w:val="20"/>
                <w:lang w:val="en-US"/>
              </w:rPr>
              <w:t>ssociation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191EE1">
              <w:rPr>
                <w:rFonts w:ascii="Arial" w:hAnsi="Arial" w:cs="Arial"/>
                <w:b/>
                <w:bCs/>
                <w:sz w:val="20"/>
                <w:lang w:val="en-US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bitmap</w:t>
            </w:r>
          </w:p>
        </w:tc>
        <w:tc>
          <w:tcPr>
            <w:tcW w:w="1710" w:type="dxa"/>
          </w:tcPr>
          <w:p w:rsidR="00DB4E55" w:rsidRDefault="00DB4E55" w:rsidP="00540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Time</w:t>
            </w:r>
            <w:r w:rsidR="0054061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Duration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>
        <w:rPr>
          <w:rFonts w:ascii="Arial" w:hAnsi="Arial" w:cs="Arial"/>
          <w:b/>
          <w:bCs/>
          <w:sz w:val="20"/>
          <w:lang w:val="en-US"/>
        </w:rPr>
        <w:t xml:space="preserve">:           </w:t>
      </w:r>
      <w:r w:rsidR="00C30EC5">
        <w:rPr>
          <w:rFonts w:ascii="Arial" w:hAnsi="Arial" w:cs="Arial"/>
          <w:b/>
          <w:bCs/>
          <w:sz w:val="20"/>
          <w:lang w:val="en-US"/>
        </w:rPr>
        <w:t xml:space="preserve">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     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261873">
        <w:rPr>
          <w:rFonts w:ascii="Arial" w:hAnsi="Arial" w:cs="Arial"/>
          <w:b/>
          <w:bCs/>
          <w:sz w:val="20"/>
          <w:lang w:val="en-US"/>
        </w:rPr>
        <w:t xml:space="preserve">                   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261873">
        <w:rPr>
          <w:rFonts w:ascii="Arial" w:hAnsi="Arial" w:cs="Arial"/>
          <w:b/>
          <w:bCs/>
          <w:sz w:val="20"/>
          <w:lang w:val="en-US"/>
        </w:rPr>
        <w:tab/>
      </w:r>
      <w:r w:rsidR="00261873">
        <w:rPr>
          <w:rFonts w:ascii="Arial" w:hAnsi="Arial" w:cs="Arial"/>
          <w:b/>
          <w:bCs/>
          <w:sz w:val="20"/>
          <w:lang w:val="en-US"/>
        </w:rPr>
        <w:tab/>
        <w:t xml:space="preserve">         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</w:p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Default="00C422E1" w:rsidP="00E314B4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>The Element ID field is equal to the</w:t>
      </w:r>
      <w:r w:rsidR="00E314B4" w:rsidRPr="00E314B4">
        <w:rPr>
          <w:color w:val="000000" w:themeColor="text1"/>
          <w:u w:val="single"/>
          <w:lang w:eastAsia="zh-CN"/>
        </w:rPr>
        <w:t xml:space="preserve"> </w:t>
      </w:r>
      <w:r w:rsidR="00E314B4" w:rsidRPr="0085696A">
        <w:rPr>
          <w:color w:val="000000" w:themeColor="text1"/>
          <w:u w:val="single"/>
          <w:lang w:eastAsia="zh-CN"/>
        </w:rPr>
        <w:t xml:space="preserve">Differentiated Initial Link Setup </w:t>
      </w:r>
      <w:r>
        <w:rPr>
          <w:color w:val="000000" w:themeColor="text1"/>
          <w:u w:val="single"/>
          <w:lang w:eastAsia="zh-CN"/>
        </w:rPr>
        <w:t>element value in Table 8-54.</w:t>
      </w:r>
    </w:p>
    <w:p w:rsidR="00C422E1" w:rsidRDefault="00C422E1" w:rsidP="00E314B4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 xml:space="preserve">The Length field is 1 octet long and set to </w:t>
      </w:r>
      <w:r w:rsidR="00940CD0">
        <w:rPr>
          <w:color w:val="000000" w:themeColor="text1"/>
          <w:u w:val="single"/>
          <w:lang w:eastAsia="zh-CN"/>
        </w:rPr>
        <w:t>value 2.</w:t>
      </w:r>
    </w:p>
    <w:p w:rsidR="00193C14" w:rsidRDefault="00193C14" w:rsidP="00E314B4">
      <w:pPr>
        <w:ind w:right="720"/>
        <w:rPr>
          <w:color w:val="000000" w:themeColor="text1"/>
          <w:u w:val="single"/>
          <w:lang w:eastAsia="zh-CN"/>
        </w:rPr>
      </w:pPr>
      <w:r w:rsidRPr="00A23359">
        <w:rPr>
          <w:color w:val="000000" w:themeColor="text1"/>
          <w:u w:val="single"/>
          <w:lang w:eastAsia="zh-CN"/>
        </w:rPr>
        <w:t xml:space="preserve">The </w:t>
      </w:r>
      <w:r w:rsidR="00A23359">
        <w:rPr>
          <w:color w:val="000000" w:themeColor="text1"/>
          <w:u w:val="single"/>
          <w:lang w:eastAsia="zh-CN"/>
        </w:rPr>
        <w:t xml:space="preserve">association </w:t>
      </w:r>
      <w:r w:rsidR="00191EE1">
        <w:rPr>
          <w:color w:val="000000" w:themeColor="text1"/>
          <w:u w:val="single"/>
          <w:lang w:eastAsia="zh-CN"/>
        </w:rPr>
        <w:t>category</w:t>
      </w:r>
      <w:r w:rsidR="00DB4E55" w:rsidRPr="00A23359">
        <w:rPr>
          <w:color w:val="000000" w:themeColor="text1"/>
          <w:u w:val="single"/>
          <w:lang w:eastAsia="zh-CN"/>
        </w:rPr>
        <w:t xml:space="preserve"> bitmap </w:t>
      </w:r>
      <w:r w:rsidR="006B34E1" w:rsidRPr="00A23359">
        <w:rPr>
          <w:color w:val="000000" w:themeColor="text1"/>
          <w:u w:val="single"/>
          <w:lang w:eastAsia="zh-CN"/>
        </w:rPr>
        <w:t xml:space="preserve">field is one octet in length and </w:t>
      </w:r>
      <w:r w:rsidR="00DB4E55" w:rsidRPr="00A23359">
        <w:rPr>
          <w:color w:val="000000" w:themeColor="text1"/>
          <w:u w:val="single"/>
          <w:lang w:eastAsia="zh-CN"/>
        </w:rPr>
        <w:t xml:space="preserve">is </w:t>
      </w:r>
      <w:r w:rsidR="006B34E1" w:rsidRPr="00A23359">
        <w:rPr>
          <w:color w:val="000000" w:themeColor="text1"/>
          <w:u w:val="single"/>
          <w:lang w:eastAsia="zh-CN"/>
        </w:rPr>
        <w:t xml:space="preserve">used to indicate </w:t>
      </w:r>
      <w:r w:rsidR="00CA6E5C">
        <w:rPr>
          <w:color w:val="000000" w:themeColor="text1"/>
          <w:u w:val="single"/>
          <w:lang w:eastAsia="zh-CN"/>
        </w:rPr>
        <w:t xml:space="preserve">one or more </w:t>
      </w:r>
      <w:r w:rsidR="006B34E1" w:rsidRPr="00A23359">
        <w:rPr>
          <w:color w:val="000000" w:themeColor="text1"/>
          <w:u w:val="single"/>
          <w:lang w:eastAsia="zh-CN"/>
        </w:rPr>
        <w:t xml:space="preserve">classes of STAs that can associate with the AP in the following time duration. If the bit position n of the bitmap equal to 1, STAs of </w:t>
      </w:r>
      <w:r w:rsidR="00DD328F">
        <w:rPr>
          <w:color w:val="000000" w:themeColor="text1"/>
          <w:u w:val="single"/>
          <w:lang w:eastAsia="zh-CN"/>
        </w:rPr>
        <w:t>association category</w:t>
      </w:r>
      <w:r w:rsidR="006B34E1" w:rsidRPr="00A23359">
        <w:rPr>
          <w:color w:val="000000" w:themeColor="text1"/>
          <w:u w:val="single"/>
          <w:lang w:eastAsia="zh-CN"/>
        </w:rPr>
        <w:t xml:space="preserve"> n can associate with the AP before the following </w:t>
      </w:r>
      <w:r w:rsidR="004E686A">
        <w:rPr>
          <w:color w:val="000000" w:themeColor="text1"/>
          <w:u w:val="single"/>
          <w:lang w:eastAsia="zh-CN"/>
        </w:rPr>
        <w:t>t</w:t>
      </w:r>
      <w:r w:rsidR="004E686A" w:rsidRPr="00A23359">
        <w:rPr>
          <w:color w:val="000000" w:themeColor="text1"/>
          <w:u w:val="single"/>
          <w:lang w:eastAsia="zh-CN"/>
        </w:rPr>
        <w:t xml:space="preserve">ime </w:t>
      </w:r>
      <w:r w:rsidR="00F4600D">
        <w:rPr>
          <w:color w:val="000000" w:themeColor="text1"/>
          <w:u w:val="single"/>
          <w:lang w:eastAsia="zh-CN"/>
        </w:rPr>
        <w:t>d</w:t>
      </w:r>
      <w:r w:rsidR="004E686A" w:rsidRPr="00A23359">
        <w:rPr>
          <w:color w:val="000000" w:themeColor="text1"/>
          <w:u w:val="single"/>
          <w:lang w:eastAsia="zh-CN"/>
        </w:rPr>
        <w:t xml:space="preserve">uration </w:t>
      </w:r>
      <w:r w:rsidR="006B34E1" w:rsidRPr="00A23359">
        <w:rPr>
          <w:color w:val="000000" w:themeColor="text1"/>
          <w:u w:val="single"/>
          <w:lang w:eastAsia="zh-CN"/>
        </w:rPr>
        <w:t xml:space="preserve">expires. </w:t>
      </w:r>
      <w:r w:rsidR="00C44F32">
        <w:rPr>
          <w:color w:val="000000" w:themeColor="text1"/>
          <w:u w:val="single"/>
          <w:lang w:eastAsia="zh-CN"/>
        </w:rPr>
        <w:t xml:space="preserve">The </w:t>
      </w:r>
      <w:r w:rsidR="005E518C">
        <w:rPr>
          <w:color w:val="000000" w:themeColor="text1"/>
          <w:u w:val="single"/>
          <w:lang w:eastAsia="zh-CN"/>
        </w:rPr>
        <w:t xml:space="preserve">bitmap </w:t>
      </w:r>
      <w:r w:rsidR="00C44F32">
        <w:rPr>
          <w:color w:val="000000" w:themeColor="text1"/>
          <w:u w:val="single"/>
          <w:lang w:eastAsia="zh-CN"/>
        </w:rPr>
        <w:t xml:space="preserve">value of </w:t>
      </w:r>
      <w:r w:rsidR="005E518C">
        <w:rPr>
          <w:color w:val="000000" w:themeColor="text1"/>
          <w:u w:val="single"/>
          <w:lang w:eastAsia="zh-CN"/>
        </w:rPr>
        <w:t>zero</w:t>
      </w:r>
      <w:r w:rsidR="00C44F32">
        <w:rPr>
          <w:color w:val="000000" w:themeColor="text1"/>
          <w:u w:val="single"/>
          <w:lang w:eastAsia="zh-CN"/>
        </w:rPr>
        <w:t xml:space="preserve"> indicates that no STA </w:t>
      </w:r>
      <w:r w:rsidR="003A2105">
        <w:rPr>
          <w:color w:val="000000" w:themeColor="text1"/>
          <w:u w:val="single"/>
          <w:lang w:eastAsia="zh-CN"/>
        </w:rPr>
        <w:t xml:space="preserve">of that corresponding ASC </w:t>
      </w:r>
      <w:r w:rsidR="00C44F32">
        <w:rPr>
          <w:color w:val="000000" w:themeColor="text1"/>
          <w:u w:val="single"/>
          <w:lang w:eastAsia="zh-CN"/>
        </w:rPr>
        <w:t xml:space="preserve">should </w:t>
      </w:r>
      <w:r w:rsidR="004E686A">
        <w:rPr>
          <w:color w:val="000000" w:themeColor="text1"/>
          <w:u w:val="single"/>
          <w:lang w:eastAsia="zh-CN"/>
        </w:rPr>
        <w:t>attempt</w:t>
      </w:r>
      <w:ins w:id="0" w:author="Yang Yunsong 73640" w:date="2012-12-21T16:35:00Z">
        <w:r w:rsidR="003A2105">
          <w:rPr>
            <w:color w:val="000000" w:themeColor="text1"/>
            <w:u w:val="single"/>
            <w:lang w:eastAsia="zh-CN"/>
          </w:rPr>
          <w:t xml:space="preserve"> </w:t>
        </w:r>
      </w:ins>
      <w:r w:rsidR="00F4600D">
        <w:rPr>
          <w:color w:val="000000" w:themeColor="text1"/>
          <w:u w:val="single"/>
          <w:lang w:eastAsia="zh-CN"/>
        </w:rPr>
        <w:t>to</w:t>
      </w:r>
      <w:ins w:id="1" w:author="Yang Yunsong 73640" w:date="2012-12-21T16:35:00Z">
        <w:r w:rsidR="003A2105">
          <w:rPr>
            <w:color w:val="000000" w:themeColor="text1"/>
            <w:u w:val="single"/>
            <w:lang w:eastAsia="zh-CN"/>
          </w:rPr>
          <w:t xml:space="preserve"> </w:t>
        </w:r>
      </w:ins>
      <w:r w:rsidR="00C44F32">
        <w:rPr>
          <w:color w:val="000000" w:themeColor="text1"/>
          <w:u w:val="single"/>
          <w:lang w:eastAsia="zh-CN"/>
        </w:rPr>
        <w:t xml:space="preserve">associate with the AP. </w:t>
      </w:r>
    </w:p>
    <w:p w:rsidR="004E686A" w:rsidRDefault="004E686A" w:rsidP="00E314B4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 xml:space="preserve">The Time Duration filed is one octet in length and is used by the AP to indicate the time duration </w:t>
      </w:r>
      <w:r w:rsidR="00D141ED">
        <w:rPr>
          <w:color w:val="000000" w:themeColor="text1"/>
          <w:u w:val="single"/>
          <w:lang w:eastAsia="zh-CN"/>
        </w:rPr>
        <w:t>during which</w:t>
      </w:r>
      <w:r>
        <w:rPr>
          <w:color w:val="000000" w:themeColor="text1"/>
          <w:u w:val="single"/>
          <w:lang w:eastAsia="zh-CN"/>
        </w:rPr>
        <w:t xml:space="preserve"> the STAs </w:t>
      </w:r>
      <w:r w:rsidR="00D141ED">
        <w:rPr>
          <w:color w:val="000000" w:themeColor="text1"/>
          <w:u w:val="single"/>
          <w:lang w:eastAsia="zh-CN"/>
        </w:rPr>
        <w:t xml:space="preserve">with ASC bit </w:t>
      </w:r>
      <w:r w:rsidR="00E314B4">
        <w:rPr>
          <w:color w:val="000000" w:themeColor="text1"/>
          <w:u w:val="single"/>
          <w:lang w:eastAsia="zh-CN"/>
        </w:rPr>
        <w:t>0</w:t>
      </w:r>
      <w:r w:rsidR="00D141ED">
        <w:rPr>
          <w:color w:val="000000" w:themeColor="text1"/>
          <w:u w:val="single"/>
          <w:lang w:eastAsia="zh-CN"/>
        </w:rPr>
        <w:t xml:space="preserve"> </w:t>
      </w:r>
      <w:r w:rsidR="00E314B4">
        <w:rPr>
          <w:color w:val="000000" w:themeColor="text1"/>
          <w:u w:val="single"/>
          <w:lang w:eastAsia="zh-CN"/>
        </w:rPr>
        <w:t>should not associate with the AP; all classes can associate with the AP</w:t>
      </w:r>
      <w:r w:rsidR="00DC3D7F">
        <w:rPr>
          <w:color w:val="000000" w:themeColor="text1"/>
          <w:u w:val="single"/>
          <w:lang w:eastAsia="zh-CN"/>
        </w:rPr>
        <w:t xml:space="preserve"> after the time expires. </w:t>
      </w:r>
    </w:p>
    <w:p w:rsidR="00191EE1" w:rsidRDefault="00191EE1" w:rsidP="00E314B4">
      <w:pPr>
        <w:ind w:right="720"/>
        <w:rPr>
          <w:color w:val="000000" w:themeColor="text1"/>
          <w:u w:val="single"/>
          <w:lang w:eastAsia="zh-CN"/>
        </w:rPr>
      </w:pPr>
    </w:p>
    <w:p w:rsidR="001E4DCB" w:rsidRDefault="00191EE1" w:rsidP="00E314B4">
      <w:pPr>
        <w:ind w:right="720"/>
        <w:rPr>
          <w:rFonts w:ascii="TimesNewRoman" w:hAnsi="TimesNewRoman" w:cs="TimesNewRoman"/>
          <w:sz w:val="20"/>
          <w:lang w:val="en-US"/>
        </w:rPr>
      </w:pPr>
      <w:r>
        <w:rPr>
          <w:color w:val="000000" w:themeColor="text1"/>
          <w:u w:val="single"/>
          <w:lang w:eastAsia="zh-CN"/>
        </w:rPr>
        <w:t>The association categor</w:t>
      </w:r>
      <w:r w:rsidR="00C30EC5">
        <w:rPr>
          <w:color w:val="000000" w:themeColor="text1"/>
          <w:u w:val="single"/>
          <w:lang w:eastAsia="zh-CN"/>
        </w:rPr>
        <w:t>ies</w:t>
      </w:r>
      <w:r>
        <w:rPr>
          <w:color w:val="000000" w:themeColor="text1"/>
          <w:u w:val="single"/>
          <w:lang w:eastAsia="zh-CN"/>
        </w:rPr>
        <w:t xml:space="preserve"> </w:t>
      </w:r>
      <w:r w:rsidR="00C30EC5">
        <w:rPr>
          <w:color w:val="000000" w:themeColor="text1"/>
          <w:u w:val="single"/>
          <w:lang w:eastAsia="zh-CN"/>
        </w:rPr>
        <w:t xml:space="preserve">are defined </w:t>
      </w:r>
      <w:r w:rsidR="003A2105">
        <w:rPr>
          <w:color w:val="000000" w:themeColor="text1"/>
          <w:u w:val="single"/>
          <w:lang w:eastAsia="zh-CN"/>
        </w:rPr>
        <w:t xml:space="preserve">as </w:t>
      </w:r>
      <w:r w:rsidR="00C30EC5">
        <w:rPr>
          <w:color w:val="000000" w:themeColor="text1"/>
          <w:u w:val="single"/>
          <w:lang w:eastAsia="zh-CN"/>
        </w:rPr>
        <w:t xml:space="preserve">in Table 8-*02. </w:t>
      </w:r>
    </w:p>
    <w:p w:rsidR="00C30EC5" w:rsidRDefault="00C30EC5" w:rsidP="00C30E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                                                         Table 8-**02</w:t>
      </w:r>
    </w:p>
    <w:tbl>
      <w:tblPr>
        <w:tblStyle w:val="TableGrid"/>
        <w:tblW w:w="0" w:type="auto"/>
        <w:tblLook w:val="04A0"/>
      </w:tblPr>
      <w:tblGrid>
        <w:gridCol w:w="2448"/>
        <w:gridCol w:w="3780"/>
      </w:tblGrid>
      <w:tr w:rsidR="00DD328F" w:rsidTr="00DC3D7F">
        <w:tc>
          <w:tcPr>
            <w:tcW w:w="2448" w:type="dxa"/>
          </w:tcPr>
          <w:p w:rsidR="00DD328F" w:rsidRPr="00C30EC5" w:rsidRDefault="00DD328F" w:rsidP="00193C14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Association Category (ASC)</w:t>
            </w:r>
          </w:p>
        </w:tc>
        <w:tc>
          <w:tcPr>
            <w:tcW w:w="3780" w:type="dxa"/>
          </w:tcPr>
          <w:p w:rsidR="00DD328F" w:rsidRPr="00C30EC5" w:rsidRDefault="00DD328F" w:rsidP="00193C14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ASC description</w:t>
            </w:r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</w:p>
        </w:tc>
        <w:tc>
          <w:tcPr>
            <w:tcW w:w="3780" w:type="dxa"/>
          </w:tcPr>
          <w:p w:rsidR="00DD328F" w:rsidRPr="00C30EC5" w:rsidRDefault="00DD328F" w:rsidP="00D141ED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Realtime</w:t>
            </w:r>
            <w:proofErr w:type="spellEnd"/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traffic</w:t>
            </w:r>
            <w:r w:rsidR="00D141ED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including AC_VO and AC_VI</w:t>
            </w:r>
            <w:del w:id="2" w:author="Lin Cai" w:date="2012-12-24T14:50:00Z">
              <w:r w:rsidDel="00D141E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</w:del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1</w:t>
            </w:r>
          </w:p>
        </w:tc>
        <w:tc>
          <w:tcPr>
            <w:tcW w:w="3780" w:type="dxa"/>
          </w:tcPr>
          <w:p w:rsidR="00DD328F" w:rsidRPr="00C30EC5" w:rsidRDefault="00D141ED" w:rsidP="00D141ED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Non-</w:t>
            </w:r>
            <w:proofErr w:type="spellStart"/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realtime</w:t>
            </w:r>
            <w:proofErr w:type="spellEnd"/>
            <w:r w:rsidR="00DD328F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traffic</w:t>
            </w: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including AC_BK and AC_BE</w:t>
            </w:r>
            <w:del w:id="3" w:author="Lin Cai" w:date="2012-12-24T14:50:00Z">
              <w:r w:rsidR="00DD328F" w:rsidDel="00D141ED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</w:del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No traffic</w:t>
            </w:r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3-7</w:t>
            </w:r>
          </w:p>
        </w:tc>
        <w:tc>
          <w:tcPr>
            <w:tcW w:w="3780" w:type="dxa"/>
          </w:tcPr>
          <w:p w:rsidR="00DD328F" w:rsidRPr="00C30EC5" w:rsidRDefault="00DD328F" w:rsidP="00DD0C1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Reserved</w:t>
            </w:r>
          </w:p>
        </w:tc>
      </w:tr>
      <w:tr w:rsidR="00DD328F" w:rsidTr="00DC3D7F">
        <w:tc>
          <w:tcPr>
            <w:tcW w:w="2448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</w:p>
        </w:tc>
        <w:tc>
          <w:tcPr>
            <w:tcW w:w="3780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</w:p>
        </w:tc>
      </w:tr>
      <w:tr w:rsidR="00DD328F" w:rsidTr="00DC3D7F">
        <w:tc>
          <w:tcPr>
            <w:tcW w:w="2448" w:type="dxa"/>
          </w:tcPr>
          <w:p w:rsidR="00DD328F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</w:p>
        </w:tc>
        <w:tc>
          <w:tcPr>
            <w:tcW w:w="3780" w:type="dxa"/>
          </w:tcPr>
          <w:p w:rsidR="00DD328F" w:rsidRPr="00C30EC5" w:rsidRDefault="00DD328F" w:rsidP="006A614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</w:p>
        </w:tc>
      </w:tr>
    </w:tbl>
    <w:p w:rsidR="00191EE1" w:rsidRDefault="00191EE1" w:rsidP="006A6141">
      <w:pPr>
        <w:rPr>
          <w:rFonts w:ascii="TimesNewRoman" w:hAnsi="TimesNewRoman" w:cs="TimesNewRoman"/>
          <w:sz w:val="20"/>
          <w:lang w:val="en-US"/>
        </w:rPr>
      </w:pPr>
    </w:p>
    <w:p w:rsidR="00562B60" w:rsidRDefault="00562B60" w:rsidP="00562B60">
      <w:pPr>
        <w:rPr>
          <w:rFonts w:ascii="TimesNewRoman" w:hAnsi="TimesNewRoman" w:cs="TimesNewRoman"/>
          <w:sz w:val="20"/>
          <w:lang w:val="en-US"/>
        </w:rPr>
      </w:pPr>
    </w:p>
    <w:p w:rsidR="00562B60" w:rsidRDefault="00562B60" w:rsidP="00562B60">
      <w:pPr>
        <w:autoSpaceDE w:val="0"/>
        <w:autoSpaceDN w:val="0"/>
        <w:adjustRightInd w:val="0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10.25.4 </w:t>
      </w:r>
      <w:r w:rsidRPr="0085696A">
        <w:rPr>
          <w:color w:val="000000" w:themeColor="text1"/>
          <w:u w:val="single"/>
          <w:lang w:eastAsia="zh-CN"/>
        </w:rPr>
        <w:t xml:space="preserve">Differentiated Initial Link Setup </w:t>
      </w:r>
    </w:p>
    <w:p w:rsidR="00562B60" w:rsidRPr="00564199" w:rsidRDefault="00562B60" w:rsidP="00562B60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562B60" w:rsidRDefault="00562B60" w:rsidP="00562B60">
      <w:pPr>
        <w:autoSpaceDE w:val="0"/>
        <w:autoSpaceDN w:val="0"/>
        <w:adjustRightInd w:val="0"/>
        <w:ind w:left="720"/>
        <w:rPr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t xml:space="preserve">In Beacon, </w:t>
      </w:r>
      <w:r w:rsidRPr="000E7B87">
        <w:rPr>
          <w:color w:val="000000" w:themeColor="text1"/>
          <w:u w:val="single"/>
          <w:lang w:eastAsia="zh-CN"/>
        </w:rPr>
        <w:t>Probe Response</w:t>
      </w:r>
      <w:r>
        <w:rPr>
          <w:color w:val="000000" w:themeColor="text1"/>
          <w:u w:val="single"/>
          <w:lang w:eastAsia="zh-CN"/>
        </w:rPr>
        <w:t>, and FD</w:t>
      </w:r>
      <w:r w:rsidRPr="000E7B87">
        <w:rPr>
          <w:color w:val="000000" w:themeColor="text1"/>
          <w:u w:val="single"/>
          <w:lang w:eastAsia="zh-CN"/>
        </w:rPr>
        <w:t xml:space="preserve"> frames, a Differentiated Initial Link Setup element is optionally sent by an AP with</w:t>
      </w:r>
      <w:r>
        <w:rPr>
          <w:color w:val="000000" w:themeColor="text1"/>
          <w:u w:val="single"/>
          <w:lang w:eastAsia="zh-CN"/>
        </w:rPr>
        <w:t xml:space="preserve"> </w:t>
      </w:r>
      <w:r w:rsidRPr="000E7B87">
        <w:rPr>
          <w:color w:val="000000" w:themeColor="text1"/>
          <w:u w:val="single"/>
          <w:lang w:eastAsia="zh-CN"/>
        </w:rPr>
        <w:t xml:space="preserve">dot11FILSActivated set to true. </w:t>
      </w:r>
    </w:p>
    <w:p w:rsidR="00562B60" w:rsidRPr="000E7B87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D05C57" w:rsidRDefault="00562B60" w:rsidP="00562B60">
      <w:pPr>
        <w:ind w:right="720"/>
        <w:rPr>
          <w:color w:val="000000" w:themeColor="text1"/>
          <w:u w:val="single"/>
          <w:lang w:eastAsia="zh-CN"/>
        </w:rPr>
      </w:pPr>
      <w:r w:rsidRPr="000E7B87">
        <w:rPr>
          <w:color w:val="000000" w:themeColor="text1"/>
          <w:u w:val="single"/>
          <w:lang w:eastAsia="zh-CN"/>
        </w:rPr>
        <w:t xml:space="preserve">The Differentiated Initial Link Setup element contains an ASC </w:t>
      </w:r>
      <w:r>
        <w:rPr>
          <w:color w:val="000000" w:themeColor="text1"/>
          <w:u w:val="single"/>
          <w:lang w:eastAsia="zh-CN"/>
        </w:rPr>
        <w:t>b</w:t>
      </w:r>
      <w:r w:rsidRPr="000E7B87">
        <w:rPr>
          <w:color w:val="000000" w:themeColor="text1"/>
          <w:u w:val="single"/>
          <w:lang w:eastAsia="zh-CN"/>
        </w:rPr>
        <w:t xml:space="preserve">itmap </w:t>
      </w:r>
      <w:r>
        <w:rPr>
          <w:color w:val="000000" w:themeColor="text1"/>
          <w:u w:val="single"/>
          <w:lang w:eastAsia="zh-CN"/>
        </w:rPr>
        <w:t xml:space="preserve">field </w:t>
      </w:r>
      <w:r w:rsidRPr="000E7B87">
        <w:rPr>
          <w:color w:val="000000" w:themeColor="text1"/>
          <w:u w:val="single"/>
          <w:lang w:eastAsia="zh-CN"/>
        </w:rPr>
        <w:t xml:space="preserve">and </w:t>
      </w:r>
      <w:r>
        <w:rPr>
          <w:color w:val="000000" w:themeColor="text1"/>
          <w:u w:val="single"/>
          <w:lang w:eastAsia="zh-CN"/>
        </w:rPr>
        <w:t xml:space="preserve">a </w:t>
      </w:r>
      <w:r w:rsidRPr="000E7B87">
        <w:rPr>
          <w:color w:val="000000" w:themeColor="text1"/>
          <w:u w:val="single"/>
          <w:lang w:eastAsia="zh-CN"/>
        </w:rPr>
        <w:t>Time Duration field</w:t>
      </w:r>
      <w:r>
        <w:rPr>
          <w:color w:val="000000" w:themeColor="text1"/>
          <w:u w:val="single"/>
          <w:lang w:eastAsia="zh-CN"/>
        </w:rPr>
        <w:t xml:space="preserve">. After receiving the differentiated Initial link Setup element, a STA checks its corresponding ASC bitmap. The STA shall defer its association if its corresponding ASC bit is 0 until the time duration expires. </w:t>
      </w: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915139" w:rsidRDefault="00915139">
      <w:pPr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  <w:lang w:eastAsia="zh-CN"/>
        </w:rPr>
        <w:br w:type="page"/>
      </w:r>
    </w:p>
    <w:p w:rsidR="00562B60" w:rsidRDefault="00562B60" w:rsidP="00562B60">
      <w:pPr>
        <w:ind w:right="720"/>
        <w:rPr>
          <w:color w:val="000000" w:themeColor="text1"/>
          <w:u w:val="single"/>
          <w:lang w:eastAsia="zh-CN"/>
        </w:rPr>
      </w:pPr>
    </w:p>
    <w:p w:rsidR="00562B60" w:rsidRDefault="00562B60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A23359">
        <w:rPr>
          <w:sz w:val="24"/>
          <w:szCs w:val="24"/>
        </w:rPr>
        <w:t>1</w:t>
      </w:r>
      <w:r w:rsidR="00AE1CD2">
        <w:rPr>
          <w:sz w:val="24"/>
          <w:szCs w:val="24"/>
        </w:rPr>
        <w:t>1</w:t>
      </w:r>
      <w:r w:rsidR="00A23359">
        <w:rPr>
          <w:sz w:val="24"/>
          <w:szCs w:val="24"/>
        </w:rPr>
        <w:t>-13-</w:t>
      </w:r>
      <w:r w:rsidR="00AE1CD2">
        <w:rPr>
          <w:sz w:val="24"/>
          <w:szCs w:val="24"/>
        </w:rPr>
        <w:t>0033</w:t>
      </w:r>
      <w:r w:rsidR="00540610" w:rsidRPr="00540610">
        <w:rPr>
          <w:sz w:val="24"/>
          <w:szCs w:val="24"/>
        </w:rPr>
        <w:t>-00-00ai-</w:t>
      </w:r>
      <w:r w:rsidR="00AE1CD2">
        <w:rPr>
          <w:sz w:val="24"/>
          <w:szCs w:val="24"/>
        </w:rPr>
        <w:t>normative-text-for-differentiated-initial-link-setup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58" w:rsidRDefault="00362958">
      <w:r>
        <w:separator/>
      </w:r>
    </w:p>
  </w:endnote>
  <w:endnote w:type="continuationSeparator" w:id="0">
    <w:p w:rsidR="00362958" w:rsidRDefault="0036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EvenPages"/>
  </w:p>
  <w:bookmarkEnd w:id="6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7" w:name="aliashDOCCompanyConfidenti1FooterPrimary"/>
  </w:p>
  <w:bookmarkEnd w:id="7"/>
  <w:p w:rsidR="00E84A9F" w:rsidRDefault="00C56ADD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AE1CD2">
      <w:rPr>
        <w:noProof/>
      </w:rPr>
      <w:t>5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FirstPage"/>
  </w:p>
  <w:bookmarkEnd w:id="9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58" w:rsidRDefault="00362958">
      <w:r>
        <w:separator/>
      </w:r>
    </w:p>
  </w:footnote>
  <w:footnote w:type="continuationSeparator" w:id="0">
    <w:p w:rsidR="00362958" w:rsidRDefault="0036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</w:p>
  <w:bookmarkEnd w:id="4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</w:p>
  <w:bookmarkEnd w:id="5"/>
  <w:p w:rsidR="00E84A9F" w:rsidRDefault="00BB6B3C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84A9F">
      <w:tab/>
    </w:r>
    <w:r w:rsidR="00E84A9F">
      <w:tab/>
    </w:r>
    <w:fldSimple w:instr=" TITLE  \* MERGEFORMAT ">
      <w:r w:rsidR="00A53D08">
        <w:t>doc.: IEEE 802.11-1</w:t>
      </w:r>
      <w:r>
        <w:t>3</w:t>
      </w:r>
      <w:r w:rsidR="00A53D08">
        <w:t>/xxxxr0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FirstPage"/>
  </w:p>
  <w:bookmarkEnd w:id="8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22A5B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91EE1"/>
    <w:rsid w:val="00193C14"/>
    <w:rsid w:val="00194A54"/>
    <w:rsid w:val="001963C8"/>
    <w:rsid w:val="001A051E"/>
    <w:rsid w:val="001A0AC4"/>
    <w:rsid w:val="001A7808"/>
    <w:rsid w:val="001B2CB7"/>
    <w:rsid w:val="001C069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CE4"/>
    <w:rsid w:val="002471AF"/>
    <w:rsid w:val="002617D9"/>
    <w:rsid w:val="00261873"/>
    <w:rsid w:val="00284A5D"/>
    <w:rsid w:val="0029020B"/>
    <w:rsid w:val="0029083B"/>
    <w:rsid w:val="002A309D"/>
    <w:rsid w:val="002A54FB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34F7"/>
    <w:rsid w:val="003551D1"/>
    <w:rsid w:val="00357592"/>
    <w:rsid w:val="003613EA"/>
    <w:rsid w:val="00362958"/>
    <w:rsid w:val="00364EEF"/>
    <w:rsid w:val="00367502"/>
    <w:rsid w:val="0037311C"/>
    <w:rsid w:val="00377BF0"/>
    <w:rsid w:val="00383F4D"/>
    <w:rsid w:val="00393A7D"/>
    <w:rsid w:val="003A2105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0F80"/>
    <w:rsid w:val="004264C2"/>
    <w:rsid w:val="00442037"/>
    <w:rsid w:val="004525B1"/>
    <w:rsid w:val="00474B3E"/>
    <w:rsid w:val="00477C5D"/>
    <w:rsid w:val="00480911"/>
    <w:rsid w:val="00482C35"/>
    <w:rsid w:val="00490D7E"/>
    <w:rsid w:val="00490E28"/>
    <w:rsid w:val="00491C11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343E1"/>
    <w:rsid w:val="005378AB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700154"/>
    <w:rsid w:val="00703BCB"/>
    <w:rsid w:val="00715574"/>
    <w:rsid w:val="00725CDE"/>
    <w:rsid w:val="00744B29"/>
    <w:rsid w:val="00744E68"/>
    <w:rsid w:val="007468D9"/>
    <w:rsid w:val="00770572"/>
    <w:rsid w:val="007803C8"/>
    <w:rsid w:val="00780B14"/>
    <w:rsid w:val="00781186"/>
    <w:rsid w:val="00794CCE"/>
    <w:rsid w:val="007C6734"/>
    <w:rsid w:val="007E2E40"/>
    <w:rsid w:val="007E5C72"/>
    <w:rsid w:val="007E707D"/>
    <w:rsid w:val="007F77B4"/>
    <w:rsid w:val="0080087F"/>
    <w:rsid w:val="00802186"/>
    <w:rsid w:val="00807D32"/>
    <w:rsid w:val="00816960"/>
    <w:rsid w:val="0082666E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E0548"/>
    <w:rsid w:val="00AE06DC"/>
    <w:rsid w:val="00AE1CD2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A6357"/>
    <w:rsid w:val="00BB6B3C"/>
    <w:rsid w:val="00BC3796"/>
    <w:rsid w:val="00BC49F1"/>
    <w:rsid w:val="00BC72FD"/>
    <w:rsid w:val="00BE68C2"/>
    <w:rsid w:val="00C0124B"/>
    <w:rsid w:val="00C073EA"/>
    <w:rsid w:val="00C07B72"/>
    <w:rsid w:val="00C11520"/>
    <w:rsid w:val="00C1686D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56ADD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B06"/>
    <w:rsid w:val="00E057A0"/>
    <w:rsid w:val="00E22FFD"/>
    <w:rsid w:val="00E2557D"/>
    <w:rsid w:val="00E25A74"/>
    <w:rsid w:val="00E314B4"/>
    <w:rsid w:val="00E45F37"/>
    <w:rsid w:val="00E569A1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E47A4"/>
    <w:rsid w:val="00EE4A0C"/>
    <w:rsid w:val="00F07A52"/>
    <w:rsid w:val="00F2005C"/>
    <w:rsid w:val="00F2023C"/>
    <w:rsid w:val="00F34C68"/>
    <w:rsid w:val="00F4286B"/>
    <w:rsid w:val="00F4600D"/>
    <w:rsid w:val="00F61260"/>
    <w:rsid w:val="00F73C66"/>
    <w:rsid w:val="00F747E0"/>
    <w:rsid w:val="00F8166B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151-12-00ai-proposed-specification-framework-for-tgai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B71-D668-4079-9DAF-71C2ABF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212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20</cp:revision>
  <cp:lastPrinted>1901-01-01T05:00:00Z</cp:lastPrinted>
  <dcterms:created xsi:type="dcterms:W3CDTF">2012-12-26T16:44:00Z</dcterms:created>
  <dcterms:modified xsi:type="dcterms:W3CDTF">2013-01-08T04:29:00Z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1355846062</vt:lpwstr>
  </property>
</Properties>
</file>