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73638">
            <w:pPr>
              <w:pStyle w:val="T2"/>
            </w:pPr>
            <w:r>
              <w:t>Resolutions to Comments on 9.28 Link Adaptation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43B30">
              <w:rPr>
                <w:b w:val="0"/>
                <w:sz w:val="20"/>
              </w:rPr>
              <w:t>2012-04-05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D4FDC">
        <w:trPr>
          <w:jc w:val="center"/>
        </w:trPr>
        <w:tc>
          <w:tcPr>
            <w:tcW w:w="1336" w:type="dxa"/>
            <w:vAlign w:val="center"/>
          </w:tcPr>
          <w:p w:rsidR="00AD4FDC" w:rsidRDefault="00AD4FDC" w:rsidP="008648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Allert van Zelst</w:t>
            </w:r>
          </w:p>
        </w:tc>
        <w:tc>
          <w:tcPr>
            <w:tcW w:w="2064" w:type="dxa"/>
            <w:vAlign w:val="center"/>
          </w:tcPr>
          <w:p w:rsidR="00AD4FDC" w:rsidRDefault="00AD4FDC" w:rsidP="008648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AD4FDC" w:rsidRDefault="00AD4FDC" w:rsidP="008648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Straatweg 66-S</w:t>
            </w:r>
          </w:p>
        </w:tc>
        <w:tc>
          <w:tcPr>
            <w:tcW w:w="1715" w:type="dxa"/>
            <w:vAlign w:val="center"/>
          </w:tcPr>
          <w:p w:rsidR="00AD4FDC" w:rsidRDefault="00AD4FDC" w:rsidP="008648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+31 346 259663</w:t>
            </w:r>
          </w:p>
        </w:tc>
        <w:tc>
          <w:tcPr>
            <w:tcW w:w="1647" w:type="dxa"/>
            <w:vAlign w:val="center"/>
          </w:tcPr>
          <w:p w:rsidR="00AD4FDC" w:rsidRDefault="00AD4FDC" w:rsidP="0086484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D4FDC">
              <w:rPr>
                <w:b w:val="0"/>
                <w:sz w:val="16"/>
              </w:rPr>
              <w:t>allert@qaulcomm.com</w:t>
            </w:r>
          </w:p>
        </w:tc>
      </w:tr>
      <w:tr w:rsidR="00AD4FDC">
        <w:trPr>
          <w:jc w:val="center"/>
        </w:trPr>
        <w:tc>
          <w:tcPr>
            <w:tcW w:w="1336" w:type="dxa"/>
            <w:vAlign w:val="center"/>
          </w:tcPr>
          <w:p w:rsidR="00AD4FDC" w:rsidRDefault="00AD4FDC" w:rsidP="008648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Hongyuan Zhang</w:t>
            </w:r>
          </w:p>
        </w:tc>
        <w:tc>
          <w:tcPr>
            <w:tcW w:w="2064" w:type="dxa"/>
            <w:vAlign w:val="center"/>
          </w:tcPr>
          <w:p w:rsidR="00AD4FDC" w:rsidRDefault="00AD4FDC" w:rsidP="008648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814" w:type="dxa"/>
            <w:vAlign w:val="center"/>
          </w:tcPr>
          <w:p w:rsidR="00AD4FDC" w:rsidRDefault="00AD4FDC" w:rsidP="008648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>5488 Marvell Ln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City">
                <w:r>
                  <w:rPr>
                    <w:b w:val="0"/>
                    <w:sz w:val="20"/>
                  </w:rPr>
                  <w:t>Santa Clara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20"/>
                  </w:rPr>
                  <w:t>CA</w:t>
                </w:r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b w:val="0"/>
                    <w:sz w:val="20"/>
                  </w:rPr>
                  <w:t>95054</w:t>
                </w:r>
              </w:smartTag>
            </w:smartTag>
          </w:p>
        </w:tc>
        <w:tc>
          <w:tcPr>
            <w:tcW w:w="1715" w:type="dxa"/>
            <w:vAlign w:val="center"/>
          </w:tcPr>
          <w:p w:rsidR="00AD4FDC" w:rsidRDefault="00AD4FDC" w:rsidP="008648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408-222-1837</w:t>
            </w:r>
          </w:p>
        </w:tc>
        <w:tc>
          <w:tcPr>
            <w:tcW w:w="1647" w:type="dxa"/>
            <w:vAlign w:val="center"/>
          </w:tcPr>
          <w:p w:rsidR="00AD4FDC" w:rsidRDefault="00AD4FDC" w:rsidP="0086484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hongyuan@marvell.com</w:t>
            </w:r>
          </w:p>
        </w:tc>
      </w:tr>
      <w:tr w:rsidR="00AD4FDC">
        <w:trPr>
          <w:jc w:val="center"/>
        </w:trPr>
        <w:tc>
          <w:tcPr>
            <w:tcW w:w="1336" w:type="dxa"/>
            <w:vAlign w:val="center"/>
          </w:tcPr>
          <w:p w:rsidR="00AD4FDC" w:rsidRPr="006B461A" w:rsidRDefault="00AD4FDC" w:rsidP="0086484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Simone Merlin</w:t>
            </w:r>
          </w:p>
        </w:tc>
        <w:tc>
          <w:tcPr>
            <w:tcW w:w="2064" w:type="dxa"/>
            <w:vAlign w:val="center"/>
          </w:tcPr>
          <w:p w:rsidR="00AD4FDC" w:rsidRPr="006B461A" w:rsidRDefault="00AD4FDC" w:rsidP="0086484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814" w:type="dxa"/>
            <w:vAlign w:val="center"/>
          </w:tcPr>
          <w:p w:rsidR="00AD4FDC" w:rsidRPr="006B461A" w:rsidRDefault="00AD4FDC" w:rsidP="0086484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San Diego, CA, USA</w:t>
            </w:r>
          </w:p>
        </w:tc>
        <w:tc>
          <w:tcPr>
            <w:tcW w:w="1715" w:type="dxa"/>
            <w:vAlign w:val="center"/>
          </w:tcPr>
          <w:p w:rsidR="00AD4FDC" w:rsidRPr="006B461A" w:rsidRDefault="00AD4FDC" w:rsidP="0086484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AD4FDC" w:rsidRPr="006B461A" w:rsidRDefault="00AD4FDC" w:rsidP="0086484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smerlin@qualcomm.com</w:t>
            </w:r>
          </w:p>
        </w:tc>
      </w:tr>
      <w:tr w:rsidR="00AD4FDC">
        <w:trPr>
          <w:jc w:val="center"/>
        </w:trPr>
        <w:tc>
          <w:tcPr>
            <w:tcW w:w="1336" w:type="dxa"/>
            <w:vAlign w:val="center"/>
          </w:tcPr>
          <w:p w:rsidR="00AD4FDC" w:rsidRDefault="00AD4FDC" w:rsidP="008648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2064" w:type="dxa"/>
            <w:vAlign w:val="center"/>
          </w:tcPr>
          <w:p w:rsidR="00AD4FDC" w:rsidRDefault="00AD4FDC" w:rsidP="008648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814" w:type="dxa"/>
            <w:vAlign w:val="center"/>
          </w:tcPr>
          <w:p w:rsidR="00AD4FDC" w:rsidRPr="006B461A" w:rsidRDefault="00AD4FDC" w:rsidP="0086484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AD4FDC" w:rsidRPr="006B461A" w:rsidRDefault="00AD4FDC" w:rsidP="0086484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AD4FDC" w:rsidRPr="006B461A" w:rsidRDefault="00AD4FDC" w:rsidP="0086484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:rsidR="00CA09B2" w:rsidRDefault="00CB64AC">
      <w:pPr>
        <w:pStyle w:val="T1"/>
        <w:spacing w:after="120"/>
        <w:rPr>
          <w:sz w:val="22"/>
        </w:rPr>
      </w:pPr>
      <w:r w:rsidRPr="00CB64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AD4FDC" w:rsidP="00AD4FDC">
                  <w:pPr>
                    <w:jc w:val="both"/>
                  </w:pPr>
                  <w:r>
                    <w:t>This document proposes resolutions to TGac Letter Ballot 187 CIDs 4196, 4961, 5378.</w:t>
                  </w:r>
                </w:p>
              </w:txbxContent>
            </v:textbox>
          </v:shape>
        </w:pict>
      </w:r>
    </w:p>
    <w:p w:rsidR="00273638" w:rsidRDefault="00CA09B2" w:rsidP="00273638">
      <w:pPr>
        <w:pStyle w:val="Heading5"/>
        <w:rPr>
          <w:rFonts w:ascii="Times New Roman" w:hAnsi="Times New Roman"/>
          <w:i w:val="0"/>
          <w:sz w:val="24"/>
          <w:szCs w:val="24"/>
        </w:rPr>
      </w:pPr>
      <w:r>
        <w:br w:type="page"/>
      </w:r>
      <w:r w:rsidR="00273638" w:rsidRPr="00C1046E">
        <w:rPr>
          <w:rFonts w:ascii="Times New Roman" w:hAnsi="Times New Roman"/>
          <w:i w:val="0"/>
          <w:sz w:val="24"/>
          <w:szCs w:val="24"/>
        </w:rPr>
        <w:lastRenderedPageBreak/>
        <w:t xml:space="preserve">CIDs </w:t>
      </w:r>
      <w:r w:rsidR="00273638">
        <w:rPr>
          <w:rFonts w:ascii="Times New Roman" w:hAnsi="Times New Roman"/>
          <w:i w:val="0"/>
          <w:sz w:val="24"/>
          <w:szCs w:val="24"/>
        </w:rPr>
        <w:t>4196</w:t>
      </w:r>
      <w:r w:rsidR="00273638" w:rsidRPr="00C1046E">
        <w:rPr>
          <w:rFonts w:ascii="Times New Roman" w:hAnsi="Times New Roman"/>
          <w:i w:val="0"/>
          <w:sz w:val="24"/>
          <w:szCs w:val="24"/>
        </w:rPr>
        <w:t>,</w:t>
      </w:r>
      <w:r w:rsidR="00273638">
        <w:rPr>
          <w:rFonts w:ascii="Times New Roman" w:hAnsi="Times New Roman"/>
          <w:i w:val="0"/>
          <w:sz w:val="24"/>
          <w:szCs w:val="24"/>
        </w:rPr>
        <w:t xml:space="preserve"> 4961, 5378 (self reference)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802"/>
        <w:gridCol w:w="810"/>
        <w:gridCol w:w="900"/>
        <w:gridCol w:w="2790"/>
        <w:gridCol w:w="1260"/>
        <w:gridCol w:w="2052"/>
      </w:tblGrid>
      <w:tr w:rsidR="00273638" w:rsidRPr="00423492" w:rsidTr="006452C3">
        <w:tc>
          <w:tcPr>
            <w:tcW w:w="656" w:type="dxa"/>
          </w:tcPr>
          <w:p w:rsidR="00273638" w:rsidRPr="00423492" w:rsidRDefault="00273638" w:rsidP="0086484B">
            <w:pPr>
              <w:rPr>
                <w:szCs w:val="22"/>
              </w:rPr>
            </w:pPr>
            <w:r>
              <w:rPr>
                <w:szCs w:val="22"/>
              </w:rPr>
              <w:t>4196</w:t>
            </w:r>
          </w:p>
        </w:tc>
        <w:tc>
          <w:tcPr>
            <w:tcW w:w="802" w:type="dxa"/>
          </w:tcPr>
          <w:p w:rsidR="00273638" w:rsidRPr="00423492" w:rsidRDefault="00273638" w:rsidP="0086484B">
            <w:pPr>
              <w:rPr>
                <w:rFonts w:ascii="Arial" w:hAnsi="Arial" w:cs="Arial"/>
                <w:sz w:val="20"/>
              </w:rPr>
            </w:pPr>
            <w:r w:rsidRPr="00093E82">
              <w:rPr>
                <w:rFonts w:ascii="Arial" w:hAnsi="Arial" w:cs="Arial"/>
                <w:sz w:val="20"/>
              </w:rPr>
              <w:t>Allert Van Zelst</w:t>
            </w:r>
          </w:p>
        </w:tc>
        <w:tc>
          <w:tcPr>
            <w:tcW w:w="810" w:type="dxa"/>
          </w:tcPr>
          <w:p w:rsidR="00273638" w:rsidRPr="00423492" w:rsidRDefault="00273638" w:rsidP="0086484B">
            <w:pPr>
              <w:rPr>
                <w:szCs w:val="22"/>
              </w:rPr>
            </w:pPr>
            <w:r w:rsidRPr="00423492">
              <w:rPr>
                <w:szCs w:val="22"/>
              </w:rPr>
              <w:t>9.2</w:t>
            </w:r>
            <w:r>
              <w:rPr>
                <w:szCs w:val="22"/>
              </w:rPr>
              <w:t>8</w:t>
            </w:r>
            <w:r w:rsidRPr="00423492">
              <w:rPr>
                <w:szCs w:val="22"/>
              </w:rPr>
              <w:t>.3</w:t>
            </w:r>
          </w:p>
        </w:tc>
        <w:tc>
          <w:tcPr>
            <w:tcW w:w="900" w:type="dxa"/>
          </w:tcPr>
          <w:p w:rsidR="00273638" w:rsidRPr="00423492" w:rsidRDefault="00273638" w:rsidP="0086484B">
            <w:pPr>
              <w:rPr>
                <w:szCs w:val="22"/>
              </w:rPr>
            </w:pPr>
            <w:r>
              <w:rPr>
                <w:szCs w:val="22"/>
              </w:rPr>
              <w:t>123</w:t>
            </w:r>
            <w:r w:rsidRPr="00423492">
              <w:rPr>
                <w:szCs w:val="22"/>
              </w:rPr>
              <w:t>.</w:t>
            </w:r>
            <w:r>
              <w:rPr>
                <w:szCs w:val="22"/>
              </w:rPr>
              <w:t>42</w:t>
            </w:r>
          </w:p>
        </w:tc>
        <w:tc>
          <w:tcPr>
            <w:tcW w:w="2790" w:type="dxa"/>
          </w:tcPr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"When computing the MFB estimate for an MFB requester, the MCS, N_STS(#3475) and, for unsolicited</w:t>
            </w: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MFB, BW field values in the MFB subfield from the MFB responder shall indicate a combination which is</w:t>
            </w: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in the responder's VHT Rx Supported MCS Set (see 9.7.11.1 (VHT Rx Supported MCS Set)) and the request-</w:t>
            </w: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er's VHT Tx Supported MCS Set (see 9.7.11.2 (VHT Tx Supported MCS Set)), where the BW for solicited</w:t>
            </w: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MFB is that defined in 9.28.3 (Link adaptation using the VHT variant HT Control field).(11/1518r5)"</w:t>
            </w:r>
          </w:p>
          <w:p w:rsidR="00273638" w:rsidRPr="00093E82" w:rsidRDefault="00273638" w:rsidP="0086484B">
            <w:pPr>
              <w:rPr>
                <w:szCs w:val="22"/>
              </w:rPr>
            </w:pP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So the last line refers to the section itself? Wouldn't it be clearer to combine this text with the referred text, which I assume is:</w:t>
            </w:r>
          </w:p>
          <w:p w:rsidR="00273638" w:rsidRPr="00093E82" w:rsidRDefault="00273638" w:rsidP="0086484B">
            <w:pPr>
              <w:rPr>
                <w:szCs w:val="22"/>
              </w:rPr>
            </w:pP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"In a solicited MFB response to an MRQ that was not carried in an NDPA frame, the MFB is computed based</w:t>
            </w: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on RXVECTOR parameters CH_BANDWIDTH, GROUP_ID, NUM_STS, N_TX, FEC_CODING, BEAM-</w:t>
            </w: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FORM and STBC of the received PPDU from which the MRQ was triggered and may additionally be based</w:t>
            </w: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on other factors which are not part of the RXVECTOR. The VHT N_STS(#3475) subfield of the MFB sub-</w:t>
            </w: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field of VHT format variant(Ed) HT Control field shall be set to an equal or smaller value than the RXVEC-</w:t>
            </w: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 xml:space="preserve">TOR parameter NUM_STS of the received PPDU from </w:t>
            </w:r>
            <w:r w:rsidRPr="00093E82">
              <w:rPr>
                <w:szCs w:val="22"/>
              </w:rPr>
              <w:lastRenderedPageBreak/>
              <w:t>which the MRQ was triggered; If the  VHT</w:t>
            </w: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N_STS(#3475) subfield is set to a smaller value than the RXVECTOR parameter NUM_STS, the MFB re-</w:t>
            </w: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sponder shall be computed assuming estimate the recommended MCS under the assumption that the MFB</w:t>
            </w:r>
          </w:p>
          <w:p w:rsidR="00273638" w:rsidRPr="00093E8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requester will transmit  the space first N_STS space-time streams  in the corresponding  to the lowest VHT</w:t>
            </w:r>
          </w:p>
          <w:p w:rsidR="00273638" w:rsidRPr="0042349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t>N_STS indices are used for transmissionPPDU carrying MRQ(#3775)."</w:t>
            </w:r>
          </w:p>
        </w:tc>
        <w:tc>
          <w:tcPr>
            <w:tcW w:w="1260" w:type="dxa"/>
          </w:tcPr>
          <w:p w:rsidR="00273638" w:rsidRPr="00423492" w:rsidRDefault="00273638" w:rsidP="0086484B">
            <w:pPr>
              <w:rPr>
                <w:szCs w:val="22"/>
              </w:rPr>
            </w:pPr>
            <w:r w:rsidRPr="00093E82">
              <w:rPr>
                <w:szCs w:val="22"/>
              </w:rPr>
              <w:lastRenderedPageBreak/>
              <w:t>Merge the two paragraphs listed in the comment, or find a better way of referencing.</w:t>
            </w:r>
          </w:p>
        </w:tc>
        <w:tc>
          <w:tcPr>
            <w:tcW w:w="2052" w:type="dxa"/>
          </w:tcPr>
          <w:p w:rsidR="00273638" w:rsidRDefault="00273638" w:rsidP="00273638">
            <w:r>
              <w:rPr>
                <w:b/>
                <w:szCs w:val="22"/>
              </w:rPr>
              <w:t>Revise</w:t>
            </w:r>
            <w:r w:rsidRPr="00273638">
              <w:rPr>
                <w:szCs w:val="22"/>
              </w:rPr>
              <w:t xml:space="preserve"> - </w:t>
            </w:r>
            <w:r w:rsidRPr="00273638">
              <w:rPr>
                <w:b/>
                <w:szCs w:val="22"/>
              </w:rPr>
              <w:t xml:space="preserve"> </w:t>
            </w:r>
            <w:r w:rsidRPr="00273638">
              <w:rPr>
                <w:szCs w:val="22"/>
              </w:rPr>
              <w:t xml:space="preserve">Most </w:t>
            </w:r>
            <w:r>
              <w:rPr>
                <w:szCs w:val="22"/>
              </w:rPr>
              <w:t>of the cited paragraph is covered in 9.28, hence it can be deleted. Instead the following is added: “</w:t>
            </w:r>
            <w:r>
              <w:t>For unsolicited MFB that is not in the same PPDU as a VHT Compressed Beamforming frame, the N_STS subfield of the MFB subfield of VHT</w:t>
            </w:r>
          </w:p>
          <w:p w:rsidR="00273638" w:rsidRPr="00423492" w:rsidRDefault="00273638" w:rsidP="00243B30">
            <w:pPr>
              <w:rPr>
                <w:b/>
                <w:szCs w:val="22"/>
              </w:rPr>
            </w:pPr>
            <w:r>
              <w:t>variant HT Control field shall be set to an equal or smaller value than the RXVECTOR parameter NUM_STS of the received PPDU from which the MFB parameters are estimated.</w:t>
            </w:r>
            <w:r>
              <w:rPr>
                <w:szCs w:val="22"/>
              </w:rPr>
              <w:t>”</w:t>
            </w:r>
            <w:r w:rsidR="00243B30">
              <w:rPr>
                <w:szCs w:val="22"/>
              </w:rPr>
              <w:t xml:space="preserve"> (see 12</w:t>
            </w:r>
            <w:r w:rsidR="00FF2B67">
              <w:rPr>
                <w:szCs w:val="22"/>
              </w:rPr>
              <w:t>/</w:t>
            </w:r>
            <w:r w:rsidR="00243B30">
              <w:rPr>
                <w:szCs w:val="22"/>
              </w:rPr>
              <w:t>0480</w:t>
            </w:r>
            <w:r w:rsidR="00FF2B67">
              <w:rPr>
                <w:szCs w:val="22"/>
              </w:rPr>
              <w:t>r0)</w:t>
            </w:r>
          </w:p>
        </w:tc>
      </w:tr>
      <w:tr w:rsidR="00273638" w:rsidRPr="00423492" w:rsidTr="006452C3">
        <w:tc>
          <w:tcPr>
            <w:tcW w:w="656" w:type="dxa"/>
          </w:tcPr>
          <w:p w:rsidR="00273638" w:rsidRDefault="00273638" w:rsidP="0086484B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4961</w:t>
            </w:r>
          </w:p>
        </w:tc>
        <w:tc>
          <w:tcPr>
            <w:tcW w:w="802" w:type="dxa"/>
          </w:tcPr>
          <w:p w:rsidR="00273638" w:rsidRDefault="00273638" w:rsidP="0086484B">
            <w:pPr>
              <w:rPr>
                <w:rFonts w:ascii="Arial" w:hAnsi="Arial" w:cs="Arial"/>
                <w:sz w:val="20"/>
              </w:rPr>
            </w:pPr>
            <w:r w:rsidRPr="000C71E6">
              <w:rPr>
                <w:rFonts w:ascii="Arial" w:hAnsi="Arial" w:cs="Arial"/>
                <w:sz w:val="20"/>
              </w:rPr>
              <w:t>Nir Shapira</w:t>
            </w:r>
          </w:p>
        </w:tc>
        <w:tc>
          <w:tcPr>
            <w:tcW w:w="810" w:type="dxa"/>
          </w:tcPr>
          <w:p w:rsidR="00273638" w:rsidRDefault="00273638" w:rsidP="0086484B">
            <w:pPr>
              <w:rPr>
                <w:szCs w:val="22"/>
              </w:rPr>
            </w:pPr>
            <w:r>
              <w:rPr>
                <w:szCs w:val="22"/>
              </w:rPr>
              <w:t>9.28.3</w:t>
            </w:r>
          </w:p>
        </w:tc>
        <w:tc>
          <w:tcPr>
            <w:tcW w:w="900" w:type="dxa"/>
          </w:tcPr>
          <w:p w:rsidR="00273638" w:rsidRDefault="00273638" w:rsidP="0086484B">
            <w:pPr>
              <w:rPr>
                <w:szCs w:val="22"/>
              </w:rPr>
            </w:pPr>
            <w:r>
              <w:rPr>
                <w:szCs w:val="22"/>
              </w:rPr>
              <w:t>123.47</w:t>
            </w:r>
          </w:p>
        </w:tc>
        <w:tc>
          <w:tcPr>
            <w:tcW w:w="2790" w:type="dxa"/>
          </w:tcPr>
          <w:p w:rsidR="00273638" w:rsidRPr="00DF295C" w:rsidRDefault="00273638" w:rsidP="0086484B">
            <w:pPr>
              <w:rPr>
                <w:szCs w:val="22"/>
              </w:rPr>
            </w:pPr>
            <w:r w:rsidRPr="000C71E6">
              <w:rPr>
                <w:szCs w:val="22"/>
              </w:rPr>
              <w:t>Circular reference. Refference to 9.28.3 is circular and is not specific enough since 9.28.3 is a long section</w:t>
            </w:r>
          </w:p>
        </w:tc>
        <w:tc>
          <w:tcPr>
            <w:tcW w:w="1260" w:type="dxa"/>
          </w:tcPr>
          <w:p w:rsidR="00273638" w:rsidRPr="00DF295C" w:rsidRDefault="00273638" w:rsidP="0086484B">
            <w:pPr>
              <w:rPr>
                <w:szCs w:val="22"/>
              </w:rPr>
            </w:pPr>
            <w:r w:rsidRPr="000C71E6">
              <w:rPr>
                <w:szCs w:val="22"/>
              </w:rPr>
              <w:t>Suggest explicitly defining BW in this context</w:t>
            </w:r>
          </w:p>
        </w:tc>
        <w:tc>
          <w:tcPr>
            <w:tcW w:w="2052" w:type="dxa"/>
          </w:tcPr>
          <w:p w:rsidR="00273638" w:rsidRDefault="00273638" w:rsidP="00273638">
            <w:r>
              <w:rPr>
                <w:b/>
                <w:szCs w:val="22"/>
              </w:rPr>
              <w:t>Revise</w:t>
            </w:r>
            <w:r w:rsidRPr="00273638">
              <w:rPr>
                <w:szCs w:val="22"/>
              </w:rPr>
              <w:t xml:space="preserve"> - </w:t>
            </w:r>
            <w:r w:rsidRPr="00273638">
              <w:rPr>
                <w:b/>
                <w:szCs w:val="22"/>
              </w:rPr>
              <w:t xml:space="preserve"> </w:t>
            </w:r>
            <w:r w:rsidRPr="00273638">
              <w:rPr>
                <w:szCs w:val="22"/>
              </w:rPr>
              <w:t xml:space="preserve">Most </w:t>
            </w:r>
            <w:r>
              <w:rPr>
                <w:szCs w:val="22"/>
              </w:rPr>
              <w:t>of the cited paragraph is covered in 9.28, hence it can be deleted. Instead the following is added: “</w:t>
            </w:r>
            <w:r>
              <w:t>For unsolicited MFB that is not in the same PPDU as a VHT Compressed Beamforming frame, the N_STS subfield of the MFB subfield of VHT</w:t>
            </w:r>
          </w:p>
          <w:p w:rsidR="00273638" w:rsidRPr="00273638" w:rsidRDefault="00273638" w:rsidP="00273638">
            <w:pPr>
              <w:rPr>
                <w:b/>
                <w:szCs w:val="22"/>
              </w:rPr>
            </w:pPr>
            <w:r>
              <w:t>variant HT Control field shall be set to an equal or smaller value than the RXVECTOR parameter NUM_STS of the received PPDU from which the MFB parameters are estimated.</w:t>
            </w:r>
            <w:r>
              <w:rPr>
                <w:szCs w:val="22"/>
              </w:rPr>
              <w:t>”</w:t>
            </w:r>
            <w:r w:rsidR="00FF2B67">
              <w:rPr>
                <w:szCs w:val="22"/>
              </w:rPr>
              <w:t xml:space="preserve"> (see </w:t>
            </w:r>
            <w:r w:rsidR="00243B30">
              <w:rPr>
                <w:szCs w:val="22"/>
              </w:rPr>
              <w:t>12/0480r0</w:t>
            </w:r>
            <w:r w:rsidR="00FF2B67">
              <w:rPr>
                <w:szCs w:val="22"/>
              </w:rPr>
              <w:t>)</w:t>
            </w:r>
          </w:p>
        </w:tc>
      </w:tr>
      <w:tr w:rsidR="00273638" w:rsidRPr="00423492" w:rsidTr="006452C3">
        <w:tc>
          <w:tcPr>
            <w:tcW w:w="656" w:type="dxa"/>
          </w:tcPr>
          <w:p w:rsidR="00273638" w:rsidRDefault="00273638" w:rsidP="0086484B">
            <w:pPr>
              <w:rPr>
                <w:szCs w:val="22"/>
              </w:rPr>
            </w:pPr>
            <w:r>
              <w:rPr>
                <w:szCs w:val="22"/>
              </w:rPr>
              <w:t>5378</w:t>
            </w:r>
          </w:p>
        </w:tc>
        <w:tc>
          <w:tcPr>
            <w:tcW w:w="802" w:type="dxa"/>
          </w:tcPr>
          <w:p w:rsidR="00273638" w:rsidRPr="000C71E6" w:rsidRDefault="00273638" w:rsidP="00864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Youhan Kim</w:t>
            </w:r>
          </w:p>
        </w:tc>
        <w:tc>
          <w:tcPr>
            <w:tcW w:w="810" w:type="dxa"/>
          </w:tcPr>
          <w:p w:rsidR="00273638" w:rsidRDefault="00273638" w:rsidP="0086484B">
            <w:pPr>
              <w:rPr>
                <w:szCs w:val="22"/>
              </w:rPr>
            </w:pPr>
            <w:r>
              <w:rPr>
                <w:szCs w:val="22"/>
              </w:rPr>
              <w:t>9.28.3</w:t>
            </w:r>
          </w:p>
        </w:tc>
        <w:tc>
          <w:tcPr>
            <w:tcW w:w="900" w:type="dxa"/>
          </w:tcPr>
          <w:p w:rsidR="00273638" w:rsidRDefault="00273638" w:rsidP="0086484B">
            <w:pPr>
              <w:rPr>
                <w:szCs w:val="22"/>
              </w:rPr>
            </w:pPr>
            <w:r>
              <w:rPr>
                <w:szCs w:val="22"/>
              </w:rPr>
              <w:t>123.42</w:t>
            </w:r>
          </w:p>
        </w:tc>
        <w:tc>
          <w:tcPr>
            <w:tcW w:w="2790" w:type="dxa"/>
          </w:tcPr>
          <w:p w:rsidR="00273638" w:rsidRPr="000C71E6" w:rsidRDefault="00273638" w:rsidP="0086484B">
            <w:pPr>
              <w:rPr>
                <w:szCs w:val="22"/>
              </w:rPr>
            </w:pPr>
            <w:r w:rsidRPr="001D39F2">
              <w:rPr>
                <w:szCs w:val="22"/>
              </w:rPr>
              <w:t>The reference "9.28.3" is a reference to itself.</w:t>
            </w:r>
          </w:p>
        </w:tc>
        <w:tc>
          <w:tcPr>
            <w:tcW w:w="1260" w:type="dxa"/>
          </w:tcPr>
          <w:p w:rsidR="00273638" w:rsidRPr="000C71E6" w:rsidRDefault="00273638" w:rsidP="0086484B">
            <w:pPr>
              <w:rPr>
                <w:szCs w:val="22"/>
              </w:rPr>
            </w:pPr>
            <w:r w:rsidRPr="001D39F2">
              <w:rPr>
                <w:szCs w:val="22"/>
              </w:rPr>
              <w:t>The reference refers to P124L38-48.  Hence, combine P123L42-47 with P124L38-</w:t>
            </w:r>
            <w:r w:rsidRPr="001D39F2">
              <w:rPr>
                <w:szCs w:val="22"/>
              </w:rPr>
              <w:lastRenderedPageBreak/>
              <w:t>48.</w:t>
            </w:r>
          </w:p>
        </w:tc>
        <w:tc>
          <w:tcPr>
            <w:tcW w:w="2052" w:type="dxa"/>
          </w:tcPr>
          <w:p w:rsidR="00273638" w:rsidRDefault="00273638" w:rsidP="00273638">
            <w:r>
              <w:rPr>
                <w:b/>
                <w:szCs w:val="22"/>
              </w:rPr>
              <w:lastRenderedPageBreak/>
              <w:t>Revise</w:t>
            </w:r>
            <w:r w:rsidRPr="00273638">
              <w:rPr>
                <w:szCs w:val="22"/>
              </w:rPr>
              <w:t xml:space="preserve"> - </w:t>
            </w:r>
            <w:r w:rsidRPr="00273638">
              <w:rPr>
                <w:b/>
                <w:szCs w:val="22"/>
              </w:rPr>
              <w:t xml:space="preserve"> </w:t>
            </w:r>
            <w:r w:rsidRPr="00273638">
              <w:rPr>
                <w:szCs w:val="22"/>
              </w:rPr>
              <w:t xml:space="preserve">Most </w:t>
            </w:r>
            <w:r>
              <w:rPr>
                <w:szCs w:val="22"/>
              </w:rPr>
              <w:t>of the cited paragraph is covered in 9.28, hence it can be deleted. Instead the following is added: “</w:t>
            </w:r>
            <w:r>
              <w:t xml:space="preserve">For unsolicited MFB that is not in the same PPDU as a </w:t>
            </w:r>
            <w:r>
              <w:lastRenderedPageBreak/>
              <w:t>VHT Compressed Beamforming frame, the N_STS subfield of the MFB subfield of VHT</w:t>
            </w:r>
          </w:p>
          <w:p w:rsidR="00273638" w:rsidRPr="00273638" w:rsidRDefault="00273638" w:rsidP="00273638">
            <w:pPr>
              <w:rPr>
                <w:b/>
                <w:szCs w:val="22"/>
              </w:rPr>
            </w:pPr>
            <w:r>
              <w:t>variant HT Control field shall be set to an equal or smaller value than the RXVECTOR parameter NUM_STS of the received PPDU from which the MFB parameters are estimated.</w:t>
            </w:r>
            <w:r>
              <w:rPr>
                <w:szCs w:val="22"/>
              </w:rPr>
              <w:t>”</w:t>
            </w:r>
            <w:r w:rsidR="00FF2B67">
              <w:rPr>
                <w:szCs w:val="22"/>
              </w:rPr>
              <w:t xml:space="preserve"> (see </w:t>
            </w:r>
            <w:r w:rsidR="00243B30">
              <w:rPr>
                <w:szCs w:val="22"/>
              </w:rPr>
              <w:t>12/0480r0</w:t>
            </w:r>
            <w:r w:rsidR="00FF2B67">
              <w:rPr>
                <w:szCs w:val="22"/>
              </w:rPr>
              <w:t>)</w:t>
            </w:r>
          </w:p>
        </w:tc>
      </w:tr>
    </w:tbl>
    <w:p w:rsidR="00273638" w:rsidRDefault="00273638"/>
    <w:p w:rsidR="00273638" w:rsidRDefault="00AD4FDC">
      <w:pPr>
        <w:rPr>
          <w:b/>
        </w:rPr>
      </w:pPr>
      <w:r>
        <w:rPr>
          <w:b/>
        </w:rPr>
        <w:t>Discussion</w:t>
      </w:r>
    </w:p>
    <w:p w:rsidR="00AD4FDC" w:rsidRDefault="00AD4FDC"/>
    <w:p w:rsidR="00AD4FDC" w:rsidRDefault="00AD4FDC">
      <w:r>
        <w:t>The following paragraph</w:t>
      </w:r>
      <w:r w:rsidR="00651BE6">
        <w:t>, that is cited in the comments,</w:t>
      </w:r>
      <w:r>
        <w:t xml:space="preserve"> can be removed because it is redundant or</w:t>
      </w:r>
      <w:r w:rsidR="00651BE6">
        <w:t xml:space="preserve"> </w:t>
      </w:r>
      <w:r>
        <w:t>implicit (except for its requirement to limit the MCS feedback (MFB) by the supported TX MCS set of the rec</w:t>
      </w:r>
      <w:r w:rsidR="00FD0A5B">
        <w:t>ipient</w:t>
      </w:r>
      <w:r>
        <w:t xml:space="preserve"> of the MFB, but we believe that this limitation by MCS got mistakenly introduced </w:t>
      </w:r>
      <w:r w:rsidRPr="00AD4FDC">
        <w:t xml:space="preserve">from draft 1.0 to draft 2.0; note that 11n doesn’t </w:t>
      </w:r>
      <w:r>
        <w:t xml:space="preserve">require to </w:t>
      </w:r>
      <w:r w:rsidRPr="00AD4FDC">
        <w:t xml:space="preserve">limit the MCS </w:t>
      </w:r>
      <w:r>
        <w:t xml:space="preserve">in the MFB </w:t>
      </w:r>
      <w:r w:rsidRPr="00AD4FDC">
        <w:t xml:space="preserve">either; it only </w:t>
      </w:r>
      <w:r>
        <w:t>requires to limit</w:t>
      </w:r>
      <w:r w:rsidRPr="00AD4FDC">
        <w:t xml:space="preserve"> the number of spatial streams</w:t>
      </w:r>
      <w:r>
        <w:t xml:space="preserve"> to those supported </w:t>
      </w:r>
      <w:r w:rsidR="00FD0A5B">
        <w:t xml:space="preserve">in transmit mode </w:t>
      </w:r>
      <w:r>
        <w:t xml:space="preserve">by the </w:t>
      </w:r>
      <w:r w:rsidR="00FD0A5B">
        <w:t xml:space="preserve">recipient of the </w:t>
      </w:r>
      <w:r>
        <w:t>MFB):”</w:t>
      </w:r>
    </w:p>
    <w:p w:rsidR="00AD4FDC" w:rsidRDefault="00AD4FDC"/>
    <w:p w:rsidR="00AD4FDC" w:rsidRDefault="00243B30" w:rsidP="00651BE6">
      <w:pPr>
        <w:ind w:left="360"/>
        <w:rPr>
          <w:color w:val="1F497D"/>
        </w:rPr>
      </w:pPr>
      <w:r w:rsidRPr="00CB64AC"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69.95pt">
            <v:imagedata r:id="rId6" o:title=""/>
          </v:shape>
        </w:pict>
      </w:r>
    </w:p>
    <w:p w:rsidR="00651BE6" w:rsidRDefault="00651BE6" w:rsidP="00AD4FDC">
      <w:pPr>
        <w:rPr>
          <w:color w:val="1F497D"/>
        </w:rPr>
      </w:pPr>
    </w:p>
    <w:p w:rsidR="00AD4FDC" w:rsidRPr="00651BE6" w:rsidRDefault="00651BE6" w:rsidP="00AD4FDC">
      <w:r>
        <w:t xml:space="preserve">The paragraph can be removed, because </w:t>
      </w:r>
      <w:r w:rsidR="00AD4FDC" w:rsidRPr="00651BE6">
        <w:t xml:space="preserve">solicited MFB </w:t>
      </w:r>
      <w:r w:rsidR="006452C3">
        <w:t xml:space="preserve">that is a response to an MRQ that was not carried in </w:t>
      </w:r>
      <w:r w:rsidR="00AD4FDC" w:rsidRPr="00651BE6">
        <w:t>an NDPA is covered by:</w:t>
      </w:r>
    </w:p>
    <w:p w:rsidR="00AD4FDC" w:rsidRDefault="00AD4FDC" w:rsidP="00AD4FDC">
      <w:pPr>
        <w:rPr>
          <w:color w:val="1F497D"/>
        </w:rPr>
      </w:pPr>
    </w:p>
    <w:p w:rsidR="00651BE6" w:rsidRDefault="00243B30" w:rsidP="00651BE6">
      <w:pPr>
        <w:ind w:left="360"/>
        <w:rPr>
          <w:color w:val="1F497D"/>
        </w:rPr>
      </w:pPr>
      <w:r w:rsidRPr="00CB64AC">
        <w:rPr>
          <w:color w:val="1F497D"/>
        </w:rPr>
        <w:pict>
          <v:shape id="_x0000_i1026" type="#_x0000_t75" style="width:450.35pt;height:115.45pt">
            <v:imagedata r:id="rId7" o:title=""/>
          </v:shape>
        </w:pict>
      </w:r>
    </w:p>
    <w:p w:rsidR="00AD4FDC" w:rsidRDefault="00AD4FDC" w:rsidP="00AD4FDC"/>
    <w:p w:rsidR="00651BE6" w:rsidRPr="00651BE6" w:rsidRDefault="00651BE6" w:rsidP="00651BE6">
      <w:r w:rsidRPr="00651BE6">
        <w:t>And solicited and unsolicited MFB for an NDPA NDP sequence are covered by:</w:t>
      </w:r>
    </w:p>
    <w:p w:rsidR="00AD4FDC" w:rsidRDefault="00AD4FDC" w:rsidP="00AD4FDC">
      <w:pPr>
        <w:rPr>
          <w:color w:val="1F497D"/>
        </w:rPr>
      </w:pPr>
    </w:p>
    <w:p w:rsidR="00651BE6" w:rsidRDefault="00243B30" w:rsidP="00651BE6">
      <w:pPr>
        <w:ind w:left="360"/>
        <w:rPr>
          <w:color w:val="1F497D"/>
        </w:rPr>
      </w:pPr>
      <w:r w:rsidRPr="00CB64AC">
        <w:rPr>
          <w:color w:val="1F497D"/>
        </w:rPr>
        <w:lastRenderedPageBreak/>
        <w:pict>
          <v:shape id="_x0000_i1027" type="#_x0000_t75" style="width:434.7pt;height:99.85pt">
            <v:imagedata r:id="rId8" o:title=""/>
          </v:shape>
        </w:pict>
      </w:r>
    </w:p>
    <w:p w:rsidR="00651BE6" w:rsidRDefault="00651BE6" w:rsidP="00AD4FDC"/>
    <w:p w:rsidR="00AD4FDC" w:rsidRDefault="00AD4FDC" w:rsidP="00AD4FDC">
      <w:r w:rsidRPr="00651BE6">
        <w:t>Most other unsolicited MFB parameters are covered by:</w:t>
      </w:r>
    </w:p>
    <w:p w:rsidR="00651BE6" w:rsidRPr="00651BE6" w:rsidRDefault="00651BE6" w:rsidP="00AD4FDC"/>
    <w:p w:rsidR="00AD4FDC" w:rsidRDefault="00243B30" w:rsidP="00651BE6">
      <w:pPr>
        <w:ind w:left="360"/>
        <w:rPr>
          <w:color w:val="1F497D"/>
        </w:rPr>
      </w:pPr>
      <w:r w:rsidRPr="00CB64AC">
        <w:rPr>
          <w:color w:val="1F497D"/>
        </w:rPr>
        <w:pict>
          <v:shape id="_x0000_i1028" type="#_x0000_t75" style="width:443.55pt;height:3in">
            <v:imagedata r:id="rId9" o:title=""/>
          </v:shape>
        </w:pict>
      </w:r>
    </w:p>
    <w:p w:rsidR="00AD4FDC" w:rsidRDefault="00AD4FDC" w:rsidP="00AD4FDC">
      <w:pPr>
        <w:rPr>
          <w:color w:val="1F497D"/>
        </w:rPr>
      </w:pPr>
    </w:p>
    <w:p w:rsidR="00AD4FDC" w:rsidRDefault="00AD4FDC" w:rsidP="00AD4FDC">
      <w:r w:rsidRPr="00651BE6">
        <w:t>So we only need to cover the N_STS for the unsolicited MFB when it is not in the same PPDU as a VH</w:t>
      </w:r>
      <w:r w:rsidR="00FD0A5B">
        <w:t>T Compressed Beamforming frame. If this is set to a value less than or equal to the N_STS of the packet where the MFB is computed on, it automatically falls within the capabilities of the recipient of the MFB. T</w:t>
      </w:r>
      <w:r w:rsidRPr="00651BE6">
        <w:t>herefore the suggestion is to add the new paragraph to 9.28</w:t>
      </w:r>
      <w:r w:rsidR="00651BE6">
        <w:t xml:space="preserve"> as proposed in below resolution.</w:t>
      </w:r>
    </w:p>
    <w:p w:rsidR="00651BE6" w:rsidRDefault="00651BE6" w:rsidP="00AD4FDC"/>
    <w:p w:rsidR="00651BE6" w:rsidRPr="00651BE6" w:rsidRDefault="00651BE6" w:rsidP="00AD4FDC">
      <w:pPr>
        <w:rPr>
          <w:b/>
        </w:rPr>
      </w:pPr>
      <w:r>
        <w:rPr>
          <w:b/>
        </w:rPr>
        <w:t>Resolution</w:t>
      </w:r>
    </w:p>
    <w:p w:rsidR="00AD4FDC" w:rsidRDefault="00AD4FDC" w:rsidP="00AD4FDC">
      <w:pPr>
        <w:rPr>
          <w:color w:val="1F497D"/>
        </w:rPr>
      </w:pPr>
    </w:p>
    <w:p w:rsidR="00FD0A5B" w:rsidRDefault="00FD0A5B" w:rsidP="00AD4FDC">
      <w:pPr>
        <w:rPr>
          <w:i/>
        </w:rPr>
      </w:pPr>
      <w:r>
        <w:rPr>
          <w:i/>
        </w:rPr>
        <w:t>Editor, please remove the following paragraph that starts at line 42 of page 123 of Draft 2.0:</w:t>
      </w:r>
    </w:p>
    <w:p w:rsidR="00FD0A5B" w:rsidRDefault="00FD0A5B" w:rsidP="00AD4FDC"/>
    <w:p w:rsidR="00FD0A5B" w:rsidRPr="00FD0A5B" w:rsidRDefault="00243B30" w:rsidP="00FD0A5B">
      <w:pPr>
        <w:ind w:left="360"/>
      </w:pPr>
      <w:r w:rsidRPr="00CB64AC">
        <w:rPr>
          <w:color w:val="1F497D"/>
        </w:rPr>
        <w:pict>
          <v:shape id="_x0000_i1029" type="#_x0000_t75" style="width:455.1pt;height:69.3pt">
            <v:imagedata r:id="rId6" o:title=""/>
          </v:shape>
        </w:pict>
      </w:r>
    </w:p>
    <w:p w:rsidR="00FD0A5B" w:rsidRPr="00FD0A5B" w:rsidRDefault="00FD0A5B" w:rsidP="00AD4FDC">
      <w:pPr>
        <w:rPr>
          <w:i/>
        </w:rPr>
      </w:pPr>
    </w:p>
    <w:p w:rsidR="00651BE6" w:rsidRDefault="00651BE6" w:rsidP="00AD4FDC">
      <w:pPr>
        <w:rPr>
          <w:i/>
        </w:rPr>
      </w:pPr>
      <w:r>
        <w:rPr>
          <w:i/>
        </w:rPr>
        <w:t>Editor, ple</w:t>
      </w:r>
      <w:r w:rsidR="00FD0A5B">
        <w:rPr>
          <w:i/>
        </w:rPr>
        <w:t>ase add the following paragraph at line 62 of page 124 of Draft 2.0:</w:t>
      </w:r>
    </w:p>
    <w:p w:rsidR="00FD0A5B" w:rsidRPr="00651BE6" w:rsidRDefault="00FD0A5B" w:rsidP="00AD4FDC">
      <w:pPr>
        <w:rPr>
          <w:i/>
        </w:rPr>
      </w:pPr>
    </w:p>
    <w:p w:rsidR="00AD4FDC" w:rsidRDefault="00AD4FDC" w:rsidP="00AD4FDC">
      <w:r>
        <w:t>For unsolicited MFB that is not in the same PPDU as a VHT Compressed Beamforming frame, the N_STS subfield of the MFB subfield of VHT</w:t>
      </w:r>
      <w:r w:rsidR="00FD0A5B">
        <w:t xml:space="preserve"> </w:t>
      </w:r>
      <w:r>
        <w:t>variant HT Control field shall be set to an equal or smaller value than the RXVECTOR parameter NUM_STS of the received PPDU from which the MFB parameters are estimated.</w:t>
      </w:r>
    </w:p>
    <w:p w:rsidR="00AD4FDC" w:rsidRPr="00AD4FDC" w:rsidRDefault="00AD4FDC"/>
    <w:p w:rsidR="00AD4FDC" w:rsidRDefault="00AD4FDC"/>
    <w:sectPr w:rsidR="00AD4FDC" w:rsidSect="00CB64AC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1C" w:rsidRDefault="00962A1C">
      <w:r>
        <w:separator/>
      </w:r>
    </w:p>
  </w:endnote>
  <w:endnote w:type="continuationSeparator" w:id="0">
    <w:p w:rsidR="00962A1C" w:rsidRDefault="0096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B64A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452C3">
        <w:t>Submission</w:t>
      </w:r>
    </w:fldSimple>
    <w:r w:rsidR="0029020B">
      <w:tab/>
      <w:t xml:space="preserve">page </w:t>
    </w:r>
    <w:fldSimple w:instr="page ">
      <w:r w:rsidR="00243B30">
        <w:rPr>
          <w:noProof/>
        </w:rPr>
        <w:t>1</w:t>
      </w:r>
    </w:fldSimple>
    <w:r w:rsidR="0029020B">
      <w:tab/>
    </w:r>
    <w:fldSimple w:instr=" COMMENTS  \* MERGEFORMAT ">
      <w:r w:rsidR="006452C3">
        <w:t>Allert van Zelst, Qualcomm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1C" w:rsidRDefault="00962A1C">
      <w:r>
        <w:separator/>
      </w:r>
    </w:p>
  </w:footnote>
  <w:footnote w:type="continuationSeparator" w:id="0">
    <w:p w:rsidR="00962A1C" w:rsidRDefault="00962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B64A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43B30">
        <w:t>April 2012</w:t>
      </w:r>
    </w:fldSimple>
    <w:r w:rsidR="0029020B">
      <w:tab/>
    </w:r>
    <w:r w:rsidR="0029020B">
      <w:tab/>
    </w:r>
    <w:fldSimple w:instr=" TITLE  \* MERGEFORMAT ">
      <w:r w:rsidR="00243B30">
        <w:t>doc.: IEEE 802.11-12/0480r0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FDC"/>
    <w:rsid w:val="001D723B"/>
    <w:rsid w:val="00243B30"/>
    <w:rsid w:val="00273638"/>
    <w:rsid w:val="0029020B"/>
    <w:rsid w:val="002D44BE"/>
    <w:rsid w:val="00442037"/>
    <w:rsid w:val="00561460"/>
    <w:rsid w:val="0062440B"/>
    <w:rsid w:val="006452C3"/>
    <w:rsid w:val="00651BE6"/>
    <w:rsid w:val="006C0727"/>
    <w:rsid w:val="006E145F"/>
    <w:rsid w:val="00770572"/>
    <w:rsid w:val="00962A1C"/>
    <w:rsid w:val="00AA427C"/>
    <w:rsid w:val="00AD4FDC"/>
    <w:rsid w:val="00BE68C2"/>
    <w:rsid w:val="00CA09B2"/>
    <w:rsid w:val="00CB64AC"/>
    <w:rsid w:val="00DC5A7B"/>
    <w:rsid w:val="00FD0A5B"/>
    <w:rsid w:val="00FF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4A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B64A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B64A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B64A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736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64A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B64A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B64AC"/>
    <w:pPr>
      <w:jc w:val="center"/>
    </w:pPr>
    <w:rPr>
      <w:b/>
      <w:sz w:val="28"/>
    </w:rPr>
  </w:style>
  <w:style w:type="paragraph" w:customStyle="1" w:styleId="T2">
    <w:name w:val="T2"/>
    <w:basedOn w:val="T1"/>
    <w:rsid w:val="00CB64AC"/>
    <w:pPr>
      <w:spacing w:after="240"/>
      <w:ind w:left="720" w:right="720"/>
    </w:pPr>
  </w:style>
  <w:style w:type="paragraph" w:customStyle="1" w:styleId="T3">
    <w:name w:val="T3"/>
    <w:basedOn w:val="T1"/>
    <w:rsid w:val="00CB64A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B64AC"/>
    <w:pPr>
      <w:ind w:left="720" w:hanging="720"/>
    </w:pPr>
  </w:style>
  <w:style w:type="character" w:styleId="Hyperlink">
    <w:name w:val="Hyperlink"/>
    <w:basedOn w:val="DefaultParagraphFont"/>
    <w:rsid w:val="00CB64A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273638"/>
    <w:rPr>
      <w:rFonts w:ascii="Calibri" w:hAnsi="Calibri"/>
      <w:b/>
      <w:bCs/>
      <w:i/>
      <w:iCs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rt\Documents\IEEE\Submiss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161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802.11-12/0480r0</dc:title>
  <dc:subject>Submission</dc:subject>
  <dc:creator>Allert van Zelst</dc:creator>
  <cp:keywords>April 2012</cp:keywords>
  <dc:description>Allert van Zelst, Qualcomm</dc:description>
  <cp:lastModifiedBy>Allert van Zelst</cp:lastModifiedBy>
  <cp:revision>4</cp:revision>
  <cp:lastPrinted>1601-01-01T00:00:00Z</cp:lastPrinted>
  <dcterms:created xsi:type="dcterms:W3CDTF">2012-03-27T10:03:00Z</dcterms:created>
  <dcterms:modified xsi:type="dcterms:W3CDTF">2012-04-02T14:39:00Z</dcterms:modified>
</cp:coreProperties>
</file>