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 w:rsidP="00C13A5D">
      <w:pPr>
        <w:pStyle w:val="T1"/>
        <w:pBdr>
          <w:bottom w:val="single" w:sz="6" w:space="0" w:color="auto"/>
        </w:pBdr>
        <w:tabs>
          <w:tab w:val="left" w:pos="6660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66C2C" w:rsidP="00434295">
            <w:pPr>
              <w:pStyle w:val="T2"/>
            </w:pPr>
            <w:proofErr w:type="spellStart"/>
            <w:r>
              <w:t>TGac</w:t>
            </w:r>
            <w:proofErr w:type="spellEnd"/>
            <w:r>
              <w:t xml:space="preserve"> </w:t>
            </w:r>
            <w:r w:rsidR="002C53E9">
              <w:t>D</w:t>
            </w:r>
            <w:r>
              <w:t xml:space="preserve">raft </w:t>
            </w:r>
            <w:r w:rsidR="00AC114E">
              <w:t>1</w:t>
            </w:r>
            <w:r>
              <w:t>.0 r</w:t>
            </w:r>
            <w:r w:rsidR="00AC114E">
              <w:t>e</w:t>
            </w:r>
            <w:r w:rsidR="001B5995">
              <w:t>s</w:t>
            </w:r>
            <w:r w:rsidR="00AC114E">
              <w:t>o</w:t>
            </w:r>
            <w:r w:rsidR="001B5995">
              <w:t>lution</w:t>
            </w:r>
            <w:r w:rsidR="0030327F">
              <w:t xml:space="preserve"> on comments related to </w:t>
            </w:r>
            <w:r w:rsidR="00434295">
              <w:t>PHY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665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226658">
              <w:rPr>
                <w:b w:val="0"/>
                <w:sz w:val="20"/>
              </w:rPr>
              <w:t>11</w:t>
            </w:r>
            <w:r w:rsidR="00EF2B52">
              <w:rPr>
                <w:b w:val="0"/>
                <w:sz w:val="20"/>
              </w:rPr>
              <w:t>-</w:t>
            </w:r>
            <w:r w:rsidR="00226658">
              <w:rPr>
                <w:b w:val="0"/>
                <w:sz w:val="20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Loc</w:t>
            </w:r>
          </w:p>
        </w:tc>
        <w:tc>
          <w:tcPr>
            <w:tcW w:w="206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IWT Inc.</w:t>
            </w:r>
          </w:p>
        </w:tc>
        <w:tc>
          <w:tcPr>
            <w:tcW w:w="2814" w:type="dxa"/>
            <w:vAlign w:val="center"/>
          </w:tcPr>
          <w:p w:rsidR="00CA09B2" w:rsidRDefault="009E24F7" w:rsidP="002016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</w:t>
            </w:r>
            <w:r w:rsidR="001B5995">
              <w:rPr>
                <w:b w:val="0"/>
                <w:sz w:val="20"/>
              </w:rPr>
              <w:t xml:space="preserve"> CA 95</w:t>
            </w:r>
            <w:r w:rsidR="0020168C">
              <w:rPr>
                <w:b w:val="0"/>
                <w:sz w:val="20"/>
              </w:rPr>
              <w:t>01</w:t>
            </w:r>
            <w:r w:rsidR="001B5995">
              <w:rPr>
                <w:b w:val="0"/>
                <w:sz w:val="20"/>
              </w:rPr>
              <w:t>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9E24F7" w:rsidP="009E24F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Peterloc@iwirelesstech.com</w:t>
            </w:r>
          </w:p>
        </w:tc>
      </w:tr>
    </w:tbl>
    <w:p w:rsidR="009E24F7" w:rsidRDefault="009E24F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</w:p>
    <w:p w:rsidR="00236C2C" w:rsidRPr="008534C9" w:rsidRDefault="00FB63FF" w:rsidP="00DF095C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8534C9">
        <w:rPr>
          <w:rFonts w:ascii="Times New Roman" w:hAnsi="Times New Roman"/>
          <w:b w:val="0"/>
          <w:i w:val="0"/>
          <w:sz w:val="24"/>
          <w:szCs w:val="24"/>
        </w:rPr>
        <w:t>Baseline is 11ac D</w:t>
      </w:r>
      <w:r w:rsidR="002C53E9" w:rsidRPr="008534C9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1D727A" w:rsidRPr="008534C9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F79B1" w:rsidRPr="008534C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6F79B1" w:rsidRPr="008534C9" w:rsidRDefault="006F79B1" w:rsidP="006F79B1">
      <w:pPr>
        <w:rPr>
          <w:sz w:val="24"/>
          <w:szCs w:val="24"/>
        </w:rPr>
      </w:pPr>
    </w:p>
    <w:p w:rsidR="00BC01CD" w:rsidRPr="008534C9" w:rsidRDefault="00434295" w:rsidP="002C53E9">
      <w:pPr>
        <w:rPr>
          <w:sz w:val="24"/>
          <w:szCs w:val="24"/>
        </w:rPr>
      </w:pPr>
      <w:r>
        <w:rPr>
          <w:sz w:val="24"/>
          <w:szCs w:val="24"/>
        </w:rPr>
        <w:t xml:space="preserve">PHY </w:t>
      </w:r>
      <w:r w:rsidR="002C53E9" w:rsidRPr="008534C9">
        <w:rPr>
          <w:sz w:val="24"/>
          <w:szCs w:val="24"/>
        </w:rPr>
        <w:t xml:space="preserve">CIDs addressed: </w:t>
      </w:r>
      <w:r w:rsidR="000224FA" w:rsidRPr="008534C9">
        <w:rPr>
          <w:sz w:val="24"/>
          <w:szCs w:val="24"/>
        </w:rPr>
        <w:t>2</w:t>
      </w:r>
      <w:r w:rsidR="001D727A" w:rsidRPr="008534C9">
        <w:rPr>
          <w:sz w:val="24"/>
          <w:szCs w:val="24"/>
        </w:rPr>
        <w:t>922,</w:t>
      </w:r>
      <w:r w:rsidR="007E3D5E" w:rsidRPr="008534C9">
        <w:rPr>
          <w:sz w:val="24"/>
          <w:szCs w:val="24"/>
        </w:rPr>
        <w:t xml:space="preserve"> </w:t>
      </w:r>
      <w:r w:rsidR="008534C9">
        <w:rPr>
          <w:sz w:val="24"/>
          <w:szCs w:val="24"/>
        </w:rPr>
        <w:t>3441</w:t>
      </w:r>
    </w:p>
    <w:p w:rsidR="00D62F0F" w:rsidRPr="00BC774F" w:rsidRDefault="00D62F0F" w:rsidP="00C13A5D">
      <w:pPr>
        <w:tabs>
          <w:tab w:val="left" w:pos="6660"/>
        </w:tabs>
        <w:rPr>
          <w:sz w:val="20"/>
        </w:rPr>
      </w:pPr>
    </w:p>
    <w:p w:rsidR="00D62F0F" w:rsidRDefault="00D334BD" w:rsidP="00D62F0F">
      <w:pPr>
        <w:pStyle w:val="Heading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PHY</w:t>
      </w:r>
    </w:p>
    <w:p w:rsidR="006855F5" w:rsidRDefault="006855F5" w:rsidP="00FC7A0C">
      <w:pPr>
        <w:rPr>
          <w:b/>
          <w:sz w:val="24"/>
          <w:szCs w:val="24"/>
        </w:rPr>
      </w:pPr>
    </w:p>
    <w:tbl>
      <w:tblPr>
        <w:tblW w:w="9739" w:type="dxa"/>
        <w:tblInd w:w="-162" w:type="dxa"/>
        <w:tblLayout w:type="fixed"/>
        <w:tblLook w:val="04A0"/>
      </w:tblPr>
      <w:tblGrid>
        <w:gridCol w:w="984"/>
        <w:gridCol w:w="944"/>
        <w:gridCol w:w="817"/>
        <w:gridCol w:w="600"/>
        <w:gridCol w:w="680"/>
        <w:gridCol w:w="2082"/>
        <w:gridCol w:w="1834"/>
        <w:gridCol w:w="1798"/>
      </w:tblGrid>
      <w:tr w:rsidR="0042311C" w:rsidRPr="006855F5" w:rsidTr="00AD6F9F">
        <w:trPr>
          <w:trHeight w:val="346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Loc, Peter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55-56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27F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Capabilities to Transmit or Receive should be separated to allow devices equipped with one antenna to benefit from receiving STBC without having to transmit STBC.</w:t>
            </w:r>
          </w:p>
          <w:p w:rsidR="00AD6F9F" w:rsidRDefault="00AD6F9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30327F" w:rsidRDefault="0030327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"(transmit and receive)" to "(transmit or receive or both)"</w:t>
            </w:r>
          </w:p>
          <w:p w:rsidR="0030327F" w:rsidRDefault="0030327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30327F" w:rsidRDefault="0030327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30327F" w:rsidRDefault="0030327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30327F" w:rsidRDefault="0030327F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30327F" w:rsidRDefault="0030327F" w:rsidP="0030327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4BD" w:rsidRDefault="00D334B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Accept </w:t>
            </w:r>
            <w:r w:rsidR="0030327F">
              <w:rPr>
                <w:rFonts w:ascii="Calibri" w:hAnsi="Calibri" w:cs="Calibri"/>
                <w:color w:val="000000"/>
                <w:szCs w:val="22"/>
              </w:rPr>
              <w:t>in principal</w:t>
            </w:r>
          </w:p>
        </w:tc>
      </w:tr>
      <w:tr w:rsidR="009425CF" w:rsidRPr="006855F5" w:rsidTr="00434295">
        <w:trPr>
          <w:trHeight w:val="85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CF" w:rsidRDefault="009425C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11C" w:rsidRDefault="0042311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96625" w:rsidRPr="006855F5" w:rsidTr="00434295">
        <w:trPr>
          <w:trHeight w:val="85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625" w:rsidRDefault="00596625" w:rsidP="0066500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6660C" w:rsidRPr="006855F5" w:rsidTr="00434295">
        <w:trPr>
          <w:trHeight w:val="85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60C" w:rsidRDefault="00D6660C" w:rsidP="005A54C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634F6" w:rsidRPr="00D634F6" w:rsidTr="00434295">
        <w:trPr>
          <w:trHeight w:val="852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634F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4F6" w:rsidRPr="00D634F6" w:rsidRDefault="00D634F6" w:rsidP="00DB14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253D7" w:rsidRPr="00E253D7" w:rsidTr="00434295">
        <w:trPr>
          <w:trHeight w:val="298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E253D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3D7" w:rsidRPr="00E253D7" w:rsidRDefault="00E253D7" w:rsidP="00DB14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947E3" w:rsidRPr="004947E3" w:rsidTr="00434295">
        <w:trPr>
          <w:trHeight w:val="298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4947E3">
              <w:rPr>
                <w:rFonts w:ascii="Calibri" w:hAnsi="Calibri" w:cs="Calibri"/>
                <w:color w:val="000000"/>
                <w:szCs w:val="22"/>
              </w:rPr>
              <w:t>3441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4947E3">
              <w:rPr>
                <w:rFonts w:ascii="Calibri" w:hAnsi="Calibri" w:cs="Calibri"/>
                <w:color w:val="000000"/>
                <w:szCs w:val="22"/>
              </w:rPr>
              <w:t>Shapira</w:t>
            </w:r>
            <w:proofErr w:type="spellEnd"/>
            <w:r w:rsidRPr="004947E3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4947E3">
              <w:rPr>
                <w:rFonts w:ascii="Calibri" w:hAnsi="Calibri" w:cs="Calibri"/>
                <w:color w:val="000000"/>
                <w:szCs w:val="22"/>
              </w:rPr>
              <w:t>Nir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rPr>
                <w:rFonts w:ascii="Calibri" w:hAnsi="Calibri" w:cs="Calibri"/>
                <w:color w:val="000000"/>
                <w:szCs w:val="22"/>
              </w:rPr>
            </w:pPr>
            <w:r w:rsidRPr="004947E3">
              <w:rPr>
                <w:rFonts w:ascii="Calibri" w:hAnsi="Calibri" w:cs="Calibri"/>
                <w:color w:val="000000"/>
                <w:szCs w:val="22"/>
              </w:rPr>
              <w:t>22.3.8.2.3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rPr>
                <w:rFonts w:ascii="Calibri" w:hAnsi="Calibri" w:cs="Calibri"/>
                <w:color w:val="000000"/>
                <w:szCs w:val="22"/>
              </w:rPr>
            </w:pPr>
            <w:r w:rsidRPr="004947E3">
              <w:rPr>
                <w:rFonts w:ascii="Calibri" w:hAnsi="Calibri" w:cs="Calibri"/>
                <w:color w:val="000000"/>
                <w:szCs w:val="22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rPr>
                <w:rFonts w:ascii="Calibri" w:hAnsi="Calibri" w:cs="Calibri"/>
                <w:color w:val="000000"/>
                <w:szCs w:val="22"/>
              </w:rPr>
            </w:pPr>
            <w:r w:rsidRPr="004947E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rPr>
                <w:rFonts w:ascii="Calibri" w:hAnsi="Calibri" w:cs="Calibri"/>
                <w:color w:val="000000"/>
                <w:szCs w:val="22"/>
              </w:rPr>
            </w:pPr>
            <w:r w:rsidRPr="004947E3">
              <w:rPr>
                <w:rFonts w:ascii="Calibri" w:hAnsi="Calibri" w:cs="Calibri"/>
                <w:color w:val="000000"/>
                <w:szCs w:val="22"/>
              </w:rPr>
              <w:t xml:space="preserve">For the case of MU, GID overloading between </w:t>
            </w:r>
            <w:proofErr w:type="spellStart"/>
            <w:r w:rsidRPr="004947E3">
              <w:rPr>
                <w:rFonts w:ascii="Calibri" w:hAnsi="Calibri" w:cs="Calibri"/>
                <w:color w:val="000000"/>
                <w:szCs w:val="22"/>
              </w:rPr>
              <w:t>BSSs</w:t>
            </w:r>
            <w:proofErr w:type="spellEnd"/>
            <w:r w:rsidRPr="004947E3">
              <w:rPr>
                <w:rFonts w:ascii="Calibri" w:hAnsi="Calibri" w:cs="Calibri"/>
                <w:color w:val="000000"/>
                <w:szCs w:val="22"/>
              </w:rPr>
              <w:t xml:space="preserve"> can be solved if a partial BSSID can be carried in the VHT-SIG-A field. Resolving the MU group overload can enable </w:t>
            </w:r>
            <w:proofErr w:type="spellStart"/>
            <w:r w:rsidRPr="004947E3"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 w:rsidRPr="004947E3">
              <w:rPr>
                <w:rFonts w:ascii="Calibri" w:hAnsi="Calibri" w:cs="Calibri"/>
                <w:color w:val="000000"/>
                <w:szCs w:val="22"/>
              </w:rPr>
              <w:t xml:space="preserve"> that match the GID but do not belong to the BSS to immediately drop frame and save power. It would also help Link Adaptation, since reception from other </w:t>
            </w:r>
            <w:proofErr w:type="spellStart"/>
            <w:r w:rsidRPr="004947E3">
              <w:rPr>
                <w:rFonts w:ascii="Calibri" w:hAnsi="Calibri" w:cs="Calibri"/>
                <w:color w:val="000000"/>
                <w:szCs w:val="22"/>
              </w:rPr>
              <w:t>BSSs</w:t>
            </w:r>
            <w:proofErr w:type="spellEnd"/>
            <w:r w:rsidRPr="004947E3">
              <w:rPr>
                <w:rFonts w:ascii="Calibri" w:hAnsi="Calibri" w:cs="Calibri"/>
                <w:color w:val="000000"/>
                <w:szCs w:val="22"/>
              </w:rPr>
              <w:t xml:space="preserve"> will disrupt proper link assessment. Currently VHT SIG-A has 5 reserved bits in MU mode (B2, B23 in SIG-A1, and B7</w:t>
            </w:r>
            <w:proofErr w:type="gramStart"/>
            <w:r w:rsidRPr="004947E3">
              <w:rPr>
                <w:rFonts w:ascii="Calibri" w:hAnsi="Calibri" w:cs="Calibri"/>
                <w:color w:val="000000"/>
                <w:szCs w:val="22"/>
              </w:rPr>
              <w:t>,B8,B9</w:t>
            </w:r>
            <w:proofErr w:type="gramEnd"/>
            <w:r w:rsidRPr="004947E3">
              <w:rPr>
                <w:rFonts w:ascii="Calibri" w:hAnsi="Calibri" w:cs="Calibri"/>
                <w:color w:val="000000"/>
                <w:szCs w:val="22"/>
              </w:rPr>
              <w:t xml:space="preserve"> in SIG-A2). These 5 bits, if properly used to carry partial BBSID can practically solve GID overloading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4947E3" w:rsidP="004947E3">
            <w:pPr>
              <w:rPr>
                <w:rFonts w:ascii="Calibri" w:hAnsi="Calibri" w:cs="Calibri"/>
                <w:color w:val="000000"/>
                <w:szCs w:val="22"/>
              </w:rPr>
            </w:pPr>
            <w:r w:rsidRPr="004947E3">
              <w:rPr>
                <w:rFonts w:ascii="Calibri" w:hAnsi="Calibri" w:cs="Calibri"/>
                <w:color w:val="000000"/>
                <w:szCs w:val="22"/>
              </w:rPr>
              <w:t>Details will be provided in TG meeting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E3" w:rsidRPr="004947E3" w:rsidRDefault="002F6ED6" w:rsidP="00CA298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Comment withdrew by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commentor</w:t>
            </w:r>
            <w:proofErr w:type="spellEnd"/>
          </w:p>
        </w:tc>
      </w:tr>
    </w:tbl>
    <w:p w:rsidR="00A65010" w:rsidRDefault="00A65010" w:rsidP="00FC7A0C">
      <w:pPr>
        <w:rPr>
          <w:sz w:val="24"/>
          <w:szCs w:val="24"/>
        </w:rPr>
      </w:pPr>
      <w:r>
        <w:rPr>
          <w:sz w:val="24"/>
          <w:szCs w:val="24"/>
        </w:rPr>
        <w:t>Instruction to the editor:</w:t>
      </w:r>
    </w:p>
    <w:p w:rsidR="00002502" w:rsidRDefault="00002502" w:rsidP="00FC7A0C">
      <w:pPr>
        <w:rPr>
          <w:sz w:val="24"/>
          <w:szCs w:val="24"/>
        </w:rPr>
      </w:pPr>
    </w:p>
    <w:p w:rsidR="00002502" w:rsidRDefault="00002502" w:rsidP="00FC7A0C">
      <w:pPr>
        <w:rPr>
          <w:sz w:val="24"/>
          <w:szCs w:val="24"/>
        </w:rPr>
      </w:pPr>
      <w:r>
        <w:rPr>
          <w:sz w:val="24"/>
          <w:szCs w:val="24"/>
        </w:rPr>
        <w:t xml:space="preserve">CID </w:t>
      </w:r>
      <w:r w:rsidR="00537F44">
        <w:rPr>
          <w:sz w:val="24"/>
          <w:szCs w:val="24"/>
        </w:rPr>
        <w:t>2922   PHY</w:t>
      </w:r>
    </w:p>
    <w:p w:rsidR="00537F44" w:rsidRDefault="00537F44" w:rsidP="00FC7A0C">
      <w:pPr>
        <w:rPr>
          <w:sz w:val="24"/>
          <w:szCs w:val="24"/>
        </w:rPr>
      </w:pPr>
    </w:p>
    <w:p w:rsidR="00002502" w:rsidRDefault="00537F44" w:rsidP="000025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22.1.1  P</w:t>
      </w:r>
      <w:proofErr w:type="gramEnd"/>
      <w:r>
        <w:rPr>
          <w:sz w:val="24"/>
          <w:szCs w:val="24"/>
        </w:rPr>
        <w:t xml:space="preserve">. 140, line 48 </w:t>
      </w:r>
    </w:p>
    <w:p w:rsidR="00537F44" w:rsidRDefault="00537F44" w:rsidP="00002502">
      <w:pPr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Pr="00537F44">
        <w:rPr>
          <w:sz w:val="24"/>
          <w:szCs w:val="24"/>
        </w:rPr>
        <w:t>STBC (</w:t>
      </w:r>
      <w:r w:rsidRPr="00EF5F14">
        <w:rPr>
          <w:sz w:val="24"/>
          <w:szCs w:val="24"/>
          <w:highlight w:val="yellow"/>
        </w:rPr>
        <w:t>transmit and receive</w:t>
      </w:r>
      <w:r w:rsidRPr="00537F44">
        <w:rPr>
          <w:sz w:val="24"/>
          <w:szCs w:val="24"/>
        </w:rPr>
        <w:t>)</w:t>
      </w:r>
      <w:r>
        <w:rPr>
          <w:sz w:val="24"/>
          <w:szCs w:val="24"/>
        </w:rPr>
        <w:t xml:space="preserve"> to STBC (</w:t>
      </w:r>
      <w:r w:rsidRPr="00EF5F14">
        <w:rPr>
          <w:sz w:val="24"/>
          <w:szCs w:val="24"/>
          <w:highlight w:val="yellow"/>
        </w:rPr>
        <w:t>transmit or receive or both</w:t>
      </w:r>
      <w:r>
        <w:rPr>
          <w:sz w:val="24"/>
          <w:szCs w:val="24"/>
        </w:rPr>
        <w:t>).</w:t>
      </w:r>
    </w:p>
    <w:p w:rsidR="00537F44" w:rsidRDefault="00537F44" w:rsidP="00002502">
      <w:pPr>
        <w:rPr>
          <w:sz w:val="24"/>
          <w:szCs w:val="24"/>
        </w:rPr>
      </w:pPr>
    </w:p>
    <w:sectPr w:rsidR="00537F44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9A" w:rsidRDefault="00FF579A">
      <w:r>
        <w:separator/>
      </w:r>
    </w:p>
  </w:endnote>
  <w:endnote w:type="continuationSeparator" w:id="0">
    <w:p w:rsidR="00FF579A" w:rsidRDefault="00FF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DD" w:rsidRDefault="0008050A" w:rsidP="00E876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C7ADD">
        <w:t>Submission</w:t>
      </w:r>
    </w:fldSimple>
    <w:r w:rsidR="007C7ADD">
      <w:tab/>
      <w:t xml:space="preserve">page </w:t>
    </w:r>
    <w:fldSimple w:instr="page ">
      <w:r w:rsidR="002F6ED6">
        <w:rPr>
          <w:noProof/>
        </w:rPr>
        <w:t>1</w:t>
      </w:r>
    </w:fldSimple>
    <w:r w:rsidR="007C7ADD">
      <w:tab/>
    </w:r>
    <w:fldSimple w:instr=" COMMENTS  \* MERGEFORMAT ">
      <w:r w:rsidR="007C7ADD">
        <w:t>Peter Loc, IWT</w:t>
      </w:r>
    </w:fldSimple>
  </w:p>
  <w:p w:rsidR="007C7ADD" w:rsidRDefault="007C7ADD" w:rsidP="00E876DC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9A" w:rsidRDefault="00FF579A">
      <w:r>
        <w:separator/>
      </w:r>
    </w:p>
  </w:footnote>
  <w:footnote w:type="continuationSeparator" w:id="0">
    <w:p w:rsidR="00FF579A" w:rsidRDefault="00FF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DD" w:rsidRDefault="0008050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A298D">
        <w:t>Nov</w:t>
      </w:r>
      <w:r w:rsidR="007C7ADD">
        <w:t xml:space="preserve"> 2011</w:t>
      </w:r>
    </w:fldSimple>
    <w:r w:rsidR="007C7ADD">
      <w:tab/>
    </w:r>
    <w:r w:rsidR="007C7ADD">
      <w:tab/>
    </w:r>
    <w:fldSimple w:instr=" TITLE  \* MERGEFORMAT ">
      <w:r w:rsidR="00CA298D">
        <w:t>doc.: IEEE 802.11-11/1450</w:t>
      </w:r>
      <w:r w:rsidR="007C7ADD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502"/>
    <w:rsid w:val="00002D35"/>
    <w:rsid w:val="00007714"/>
    <w:rsid w:val="00007827"/>
    <w:rsid w:val="0001470A"/>
    <w:rsid w:val="0002065E"/>
    <w:rsid w:val="000224FA"/>
    <w:rsid w:val="00030BC3"/>
    <w:rsid w:val="00031192"/>
    <w:rsid w:val="00035811"/>
    <w:rsid w:val="000376E2"/>
    <w:rsid w:val="00037A76"/>
    <w:rsid w:val="00042DDD"/>
    <w:rsid w:val="0004645C"/>
    <w:rsid w:val="0005339D"/>
    <w:rsid w:val="00060D32"/>
    <w:rsid w:val="00063DA6"/>
    <w:rsid w:val="00064F73"/>
    <w:rsid w:val="00067B93"/>
    <w:rsid w:val="00074852"/>
    <w:rsid w:val="000766E9"/>
    <w:rsid w:val="0008050A"/>
    <w:rsid w:val="000815BD"/>
    <w:rsid w:val="00081B2C"/>
    <w:rsid w:val="000831C7"/>
    <w:rsid w:val="00085BFB"/>
    <w:rsid w:val="000932A4"/>
    <w:rsid w:val="000A5648"/>
    <w:rsid w:val="000B0960"/>
    <w:rsid w:val="000C177E"/>
    <w:rsid w:val="000C31D5"/>
    <w:rsid w:val="000C5AFE"/>
    <w:rsid w:val="000D0BAE"/>
    <w:rsid w:val="000D19C9"/>
    <w:rsid w:val="000D6387"/>
    <w:rsid w:val="000E38ED"/>
    <w:rsid w:val="000F08FC"/>
    <w:rsid w:val="000F6699"/>
    <w:rsid w:val="000F7312"/>
    <w:rsid w:val="0010083F"/>
    <w:rsid w:val="00100EA2"/>
    <w:rsid w:val="00106C22"/>
    <w:rsid w:val="00111821"/>
    <w:rsid w:val="001247AD"/>
    <w:rsid w:val="00132E5B"/>
    <w:rsid w:val="0015137E"/>
    <w:rsid w:val="00152998"/>
    <w:rsid w:val="001557E8"/>
    <w:rsid w:val="00161914"/>
    <w:rsid w:val="00163ABC"/>
    <w:rsid w:val="00164C26"/>
    <w:rsid w:val="00176198"/>
    <w:rsid w:val="00185B4F"/>
    <w:rsid w:val="001905BE"/>
    <w:rsid w:val="00197623"/>
    <w:rsid w:val="001A1569"/>
    <w:rsid w:val="001A7A0B"/>
    <w:rsid w:val="001B5995"/>
    <w:rsid w:val="001B710A"/>
    <w:rsid w:val="001C0054"/>
    <w:rsid w:val="001D6452"/>
    <w:rsid w:val="001D723B"/>
    <w:rsid w:val="001D727A"/>
    <w:rsid w:val="001E30A8"/>
    <w:rsid w:val="001F2C2B"/>
    <w:rsid w:val="00200CC8"/>
    <w:rsid w:val="0020168C"/>
    <w:rsid w:val="00203F4A"/>
    <w:rsid w:val="00220F43"/>
    <w:rsid w:val="00226658"/>
    <w:rsid w:val="0022690E"/>
    <w:rsid w:val="002272DD"/>
    <w:rsid w:val="00230BA3"/>
    <w:rsid w:val="00233097"/>
    <w:rsid w:val="00233A1D"/>
    <w:rsid w:val="00234797"/>
    <w:rsid w:val="002369F2"/>
    <w:rsid w:val="00236C2C"/>
    <w:rsid w:val="00242041"/>
    <w:rsid w:val="00256FAC"/>
    <w:rsid w:val="0026308D"/>
    <w:rsid w:val="002709F7"/>
    <w:rsid w:val="002847E7"/>
    <w:rsid w:val="0029020B"/>
    <w:rsid w:val="002A24B1"/>
    <w:rsid w:val="002B40B1"/>
    <w:rsid w:val="002B5477"/>
    <w:rsid w:val="002C391B"/>
    <w:rsid w:val="002C53E9"/>
    <w:rsid w:val="002D0395"/>
    <w:rsid w:val="002D44BE"/>
    <w:rsid w:val="002E1927"/>
    <w:rsid w:val="002E2E5E"/>
    <w:rsid w:val="002E709B"/>
    <w:rsid w:val="002F28EB"/>
    <w:rsid w:val="002F4BF7"/>
    <w:rsid w:val="002F6E9E"/>
    <w:rsid w:val="002F6ED6"/>
    <w:rsid w:val="0030327F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62C85"/>
    <w:rsid w:val="00370E0C"/>
    <w:rsid w:val="00376AC5"/>
    <w:rsid w:val="0037702B"/>
    <w:rsid w:val="00380E7A"/>
    <w:rsid w:val="0039526B"/>
    <w:rsid w:val="003966EF"/>
    <w:rsid w:val="003A61D6"/>
    <w:rsid w:val="003B0280"/>
    <w:rsid w:val="003B3CAF"/>
    <w:rsid w:val="003C009E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311C"/>
    <w:rsid w:val="004249A2"/>
    <w:rsid w:val="004253B1"/>
    <w:rsid w:val="004265C5"/>
    <w:rsid w:val="00427325"/>
    <w:rsid w:val="004315AC"/>
    <w:rsid w:val="004320E2"/>
    <w:rsid w:val="00434295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47E3"/>
    <w:rsid w:val="004A5F28"/>
    <w:rsid w:val="004B2569"/>
    <w:rsid w:val="004B7BD0"/>
    <w:rsid w:val="004C4C81"/>
    <w:rsid w:val="004C7AAD"/>
    <w:rsid w:val="004D427C"/>
    <w:rsid w:val="004E7049"/>
    <w:rsid w:val="004F0B8B"/>
    <w:rsid w:val="004F2C3A"/>
    <w:rsid w:val="004F6BD1"/>
    <w:rsid w:val="00504BCE"/>
    <w:rsid w:val="00504CDC"/>
    <w:rsid w:val="00507376"/>
    <w:rsid w:val="0051290A"/>
    <w:rsid w:val="00513131"/>
    <w:rsid w:val="00520EF2"/>
    <w:rsid w:val="005349C3"/>
    <w:rsid w:val="00537F44"/>
    <w:rsid w:val="00544B8D"/>
    <w:rsid w:val="00546C62"/>
    <w:rsid w:val="00546E94"/>
    <w:rsid w:val="00547CEA"/>
    <w:rsid w:val="00551C53"/>
    <w:rsid w:val="005628F2"/>
    <w:rsid w:val="00563483"/>
    <w:rsid w:val="0057696E"/>
    <w:rsid w:val="005834B7"/>
    <w:rsid w:val="00596625"/>
    <w:rsid w:val="005A2A88"/>
    <w:rsid w:val="005A54C8"/>
    <w:rsid w:val="005A63CC"/>
    <w:rsid w:val="005B38F2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4D9B"/>
    <w:rsid w:val="005F6A70"/>
    <w:rsid w:val="0060170A"/>
    <w:rsid w:val="0061059A"/>
    <w:rsid w:val="006156A4"/>
    <w:rsid w:val="00623C95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867"/>
    <w:rsid w:val="00664EDE"/>
    <w:rsid w:val="0066500E"/>
    <w:rsid w:val="00671F54"/>
    <w:rsid w:val="00673FCF"/>
    <w:rsid w:val="00681444"/>
    <w:rsid w:val="00683A5B"/>
    <w:rsid w:val="00683FD7"/>
    <w:rsid w:val="006855F5"/>
    <w:rsid w:val="006A074E"/>
    <w:rsid w:val="006B0335"/>
    <w:rsid w:val="006B0A54"/>
    <w:rsid w:val="006B5442"/>
    <w:rsid w:val="006B7B70"/>
    <w:rsid w:val="006C0727"/>
    <w:rsid w:val="006C348C"/>
    <w:rsid w:val="006C470C"/>
    <w:rsid w:val="006D2523"/>
    <w:rsid w:val="006D72F8"/>
    <w:rsid w:val="006E145F"/>
    <w:rsid w:val="006F10EB"/>
    <w:rsid w:val="006F210C"/>
    <w:rsid w:val="006F6551"/>
    <w:rsid w:val="006F79B1"/>
    <w:rsid w:val="00705A3A"/>
    <w:rsid w:val="007072CB"/>
    <w:rsid w:val="00715B72"/>
    <w:rsid w:val="00732774"/>
    <w:rsid w:val="00735D75"/>
    <w:rsid w:val="00735DCE"/>
    <w:rsid w:val="0074164A"/>
    <w:rsid w:val="00745789"/>
    <w:rsid w:val="00751AB7"/>
    <w:rsid w:val="00755663"/>
    <w:rsid w:val="007610DA"/>
    <w:rsid w:val="00761FC1"/>
    <w:rsid w:val="0076647B"/>
    <w:rsid w:val="0076661C"/>
    <w:rsid w:val="00770572"/>
    <w:rsid w:val="00771A16"/>
    <w:rsid w:val="0078125A"/>
    <w:rsid w:val="007838BD"/>
    <w:rsid w:val="00786734"/>
    <w:rsid w:val="0079092A"/>
    <w:rsid w:val="007935D7"/>
    <w:rsid w:val="007B7999"/>
    <w:rsid w:val="007C1CBD"/>
    <w:rsid w:val="007C510F"/>
    <w:rsid w:val="007C63DF"/>
    <w:rsid w:val="007C7ADD"/>
    <w:rsid w:val="007E3941"/>
    <w:rsid w:val="007E3D5E"/>
    <w:rsid w:val="007E552E"/>
    <w:rsid w:val="007E7FF6"/>
    <w:rsid w:val="007F0193"/>
    <w:rsid w:val="007F4D8A"/>
    <w:rsid w:val="00807A34"/>
    <w:rsid w:val="008102EB"/>
    <w:rsid w:val="00812BD2"/>
    <w:rsid w:val="00815F65"/>
    <w:rsid w:val="00820DD5"/>
    <w:rsid w:val="008220CC"/>
    <w:rsid w:val="00830907"/>
    <w:rsid w:val="008367BB"/>
    <w:rsid w:val="00836D62"/>
    <w:rsid w:val="008374B4"/>
    <w:rsid w:val="00840120"/>
    <w:rsid w:val="008507AA"/>
    <w:rsid w:val="008534C9"/>
    <w:rsid w:val="00856084"/>
    <w:rsid w:val="00867A3B"/>
    <w:rsid w:val="00867E7C"/>
    <w:rsid w:val="00880B13"/>
    <w:rsid w:val="0088150F"/>
    <w:rsid w:val="0089088B"/>
    <w:rsid w:val="008930F2"/>
    <w:rsid w:val="00894416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345C8"/>
    <w:rsid w:val="00934BE0"/>
    <w:rsid w:val="0093629C"/>
    <w:rsid w:val="00937EFD"/>
    <w:rsid w:val="009425CF"/>
    <w:rsid w:val="009428A9"/>
    <w:rsid w:val="00942F15"/>
    <w:rsid w:val="00945711"/>
    <w:rsid w:val="00952307"/>
    <w:rsid w:val="00961442"/>
    <w:rsid w:val="009635A1"/>
    <w:rsid w:val="0096449C"/>
    <w:rsid w:val="0096566E"/>
    <w:rsid w:val="00966CDD"/>
    <w:rsid w:val="009715D6"/>
    <w:rsid w:val="00973736"/>
    <w:rsid w:val="009737EF"/>
    <w:rsid w:val="00974028"/>
    <w:rsid w:val="009824E9"/>
    <w:rsid w:val="00996FA9"/>
    <w:rsid w:val="009B3751"/>
    <w:rsid w:val="009B3CE6"/>
    <w:rsid w:val="009B5BC5"/>
    <w:rsid w:val="009D4160"/>
    <w:rsid w:val="009D55F2"/>
    <w:rsid w:val="009E098F"/>
    <w:rsid w:val="009E1AB0"/>
    <w:rsid w:val="009E24F7"/>
    <w:rsid w:val="009E57EA"/>
    <w:rsid w:val="009E734B"/>
    <w:rsid w:val="009E74D6"/>
    <w:rsid w:val="009F7124"/>
    <w:rsid w:val="00A0027C"/>
    <w:rsid w:val="00A00FF6"/>
    <w:rsid w:val="00A02FC4"/>
    <w:rsid w:val="00A146BC"/>
    <w:rsid w:val="00A15503"/>
    <w:rsid w:val="00A2549F"/>
    <w:rsid w:val="00A26E13"/>
    <w:rsid w:val="00A31662"/>
    <w:rsid w:val="00A31FD6"/>
    <w:rsid w:val="00A324A3"/>
    <w:rsid w:val="00A33CF6"/>
    <w:rsid w:val="00A363AB"/>
    <w:rsid w:val="00A37CAB"/>
    <w:rsid w:val="00A54269"/>
    <w:rsid w:val="00A549F9"/>
    <w:rsid w:val="00A65010"/>
    <w:rsid w:val="00A7317F"/>
    <w:rsid w:val="00A76584"/>
    <w:rsid w:val="00A81F8D"/>
    <w:rsid w:val="00A8702A"/>
    <w:rsid w:val="00A97EA7"/>
    <w:rsid w:val="00AA427C"/>
    <w:rsid w:val="00AB00B7"/>
    <w:rsid w:val="00AB455B"/>
    <w:rsid w:val="00AC114E"/>
    <w:rsid w:val="00AC3267"/>
    <w:rsid w:val="00AC4DC0"/>
    <w:rsid w:val="00AC743E"/>
    <w:rsid w:val="00AD0934"/>
    <w:rsid w:val="00AD3D5C"/>
    <w:rsid w:val="00AD6F9F"/>
    <w:rsid w:val="00AE10C6"/>
    <w:rsid w:val="00AF2AE7"/>
    <w:rsid w:val="00AF2CC9"/>
    <w:rsid w:val="00AF3600"/>
    <w:rsid w:val="00AF488E"/>
    <w:rsid w:val="00B14255"/>
    <w:rsid w:val="00B41618"/>
    <w:rsid w:val="00B624A0"/>
    <w:rsid w:val="00B653D2"/>
    <w:rsid w:val="00B8101E"/>
    <w:rsid w:val="00B8140D"/>
    <w:rsid w:val="00B90132"/>
    <w:rsid w:val="00B95F3D"/>
    <w:rsid w:val="00BA2B89"/>
    <w:rsid w:val="00BB3A7E"/>
    <w:rsid w:val="00BC01CD"/>
    <w:rsid w:val="00BC05C7"/>
    <w:rsid w:val="00BC3081"/>
    <w:rsid w:val="00BC774F"/>
    <w:rsid w:val="00BD27A0"/>
    <w:rsid w:val="00BD3442"/>
    <w:rsid w:val="00BD7100"/>
    <w:rsid w:val="00BE68C2"/>
    <w:rsid w:val="00BE6A8D"/>
    <w:rsid w:val="00C0045D"/>
    <w:rsid w:val="00C032ED"/>
    <w:rsid w:val="00C07B59"/>
    <w:rsid w:val="00C13A5D"/>
    <w:rsid w:val="00C230D8"/>
    <w:rsid w:val="00C27DA6"/>
    <w:rsid w:val="00C33021"/>
    <w:rsid w:val="00C46D4E"/>
    <w:rsid w:val="00C46DC4"/>
    <w:rsid w:val="00C502B6"/>
    <w:rsid w:val="00C62A63"/>
    <w:rsid w:val="00C6449C"/>
    <w:rsid w:val="00C66F96"/>
    <w:rsid w:val="00C80673"/>
    <w:rsid w:val="00C83392"/>
    <w:rsid w:val="00C8355D"/>
    <w:rsid w:val="00C85E44"/>
    <w:rsid w:val="00C875EF"/>
    <w:rsid w:val="00CA09B2"/>
    <w:rsid w:val="00CA298D"/>
    <w:rsid w:val="00CC044D"/>
    <w:rsid w:val="00CD5C7D"/>
    <w:rsid w:val="00CE098F"/>
    <w:rsid w:val="00CF2F18"/>
    <w:rsid w:val="00CF3F8F"/>
    <w:rsid w:val="00D009CA"/>
    <w:rsid w:val="00D03C67"/>
    <w:rsid w:val="00D04564"/>
    <w:rsid w:val="00D23A87"/>
    <w:rsid w:val="00D303F6"/>
    <w:rsid w:val="00D334BD"/>
    <w:rsid w:val="00D41442"/>
    <w:rsid w:val="00D531E1"/>
    <w:rsid w:val="00D54BE4"/>
    <w:rsid w:val="00D56C6D"/>
    <w:rsid w:val="00D62F0F"/>
    <w:rsid w:val="00D634F6"/>
    <w:rsid w:val="00D6660C"/>
    <w:rsid w:val="00D73C45"/>
    <w:rsid w:val="00D75FB9"/>
    <w:rsid w:val="00D8096D"/>
    <w:rsid w:val="00D87E81"/>
    <w:rsid w:val="00D95791"/>
    <w:rsid w:val="00DA0EEC"/>
    <w:rsid w:val="00DA4E73"/>
    <w:rsid w:val="00DB149C"/>
    <w:rsid w:val="00DB40AD"/>
    <w:rsid w:val="00DB7063"/>
    <w:rsid w:val="00DB7797"/>
    <w:rsid w:val="00DC5A7B"/>
    <w:rsid w:val="00DC6DEB"/>
    <w:rsid w:val="00DD0FDD"/>
    <w:rsid w:val="00DD2BBB"/>
    <w:rsid w:val="00DE3242"/>
    <w:rsid w:val="00DE4062"/>
    <w:rsid w:val="00DF095C"/>
    <w:rsid w:val="00DF4C37"/>
    <w:rsid w:val="00E03FFD"/>
    <w:rsid w:val="00E143CA"/>
    <w:rsid w:val="00E1664D"/>
    <w:rsid w:val="00E24185"/>
    <w:rsid w:val="00E253D7"/>
    <w:rsid w:val="00E25685"/>
    <w:rsid w:val="00E26145"/>
    <w:rsid w:val="00E27FBB"/>
    <w:rsid w:val="00E3344A"/>
    <w:rsid w:val="00E50C42"/>
    <w:rsid w:val="00E56A74"/>
    <w:rsid w:val="00E5754D"/>
    <w:rsid w:val="00E66C2C"/>
    <w:rsid w:val="00E670F7"/>
    <w:rsid w:val="00E727C3"/>
    <w:rsid w:val="00E73CBF"/>
    <w:rsid w:val="00E80CA5"/>
    <w:rsid w:val="00E8104F"/>
    <w:rsid w:val="00E876DC"/>
    <w:rsid w:val="00E97E6C"/>
    <w:rsid w:val="00EA7DD5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E3661"/>
    <w:rsid w:val="00EF2B52"/>
    <w:rsid w:val="00EF5F14"/>
    <w:rsid w:val="00F018ED"/>
    <w:rsid w:val="00F02238"/>
    <w:rsid w:val="00F042B4"/>
    <w:rsid w:val="00F2472C"/>
    <w:rsid w:val="00F4553F"/>
    <w:rsid w:val="00F512CD"/>
    <w:rsid w:val="00F51724"/>
    <w:rsid w:val="00F71076"/>
    <w:rsid w:val="00F82720"/>
    <w:rsid w:val="00F83458"/>
    <w:rsid w:val="00F84BF6"/>
    <w:rsid w:val="00FB256A"/>
    <w:rsid w:val="00FB3B75"/>
    <w:rsid w:val="00FB5E46"/>
    <w:rsid w:val="00FB63FF"/>
    <w:rsid w:val="00FB67AC"/>
    <w:rsid w:val="00FB7991"/>
    <w:rsid w:val="00FC7A0C"/>
    <w:rsid w:val="00FC7F56"/>
    <w:rsid w:val="00FE2E8C"/>
    <w:rsid w:val="00FF0A90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9523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0F17-8C21-4083-A158-73E48E3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802.11-11/1042r1</vt:lpstr>
    </vt:vector>
  </TitlesOfParts>
  <Company>Nokia Corporation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802.11-11/1042r1</dc:title>
  <dc:subject>Submission</dc:subject>
  <dc:creator>Brian Hart</dc:creator>
  <cp:keywords>Jul. 2011</cp:keywords>
  <dc:description>Brian Hart, Cisco Systems</dc:description>
  <cp:lastModifiedBy>Peter</cp:lastModifiedBy>
  <cp:revision>2</cp:revision>
  <cp:lastPrinted>2011-03-31T18:31:00Z</cp:lastPrinted>
  <dcterms:created xsi:type="dcterms:W3CDTF">2011-11-02T20:43:00Z</dcterms:created>
  <dcterms:modified xsi:type="dcterms:W3CDTF">2011-11-02T20:43:00Z</dcterms:modified>
</cp:coreProperties>
</file>