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36"/>
        <w:gridCol w:w="2064"/>
        <w:gridCol w:w="2814"/>
        <w:gridCol w:w="1715"/>
        <w:gridCol w:w="1647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0044A6" w:rsidP="000044A6">
            <w:pPr>
              <w:pStyle w:val="T2"/>
            </w:pPr>
            <w:r>
              <w:t>Resolutions to Miscellaneous PHY Comments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 w:rsidR="000044A6">
              <w:rPr>
                <w:b w:val="0"/>
                <w:sz w:val="20"/>
              </w:rPr>
              <w:t xml:space="preserve"> 2011-09-20 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0044A6">
        <w:trPr>
          <w:jc w:val="center"/>
        </w:trPr>
        <w:tc>
          <w:tcPr>
            <w:tcW w:w="1336" w:type="dxa"/>
            <w:vAlign w:val="center"/>
          </w:tcPr>
          <w:p w:rsidR="000044A6" w:rsidRDefault="000044A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Allert van Zelst</w:t>
            </w:r>
          </w:p>
        </w:tc>
        <w:tc>
          <w:tcPr>
            <w:tcW w:w="2064" w:type="dxa"/>
            <w:vAlign w:val="center"/>
          </w:tcPr>
          <w:p w:rsidR="000044A6" w:rsidRDefault="000044A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Qualcomm</w:t>
            </w:r>
          </w:p>
        </w:tc>
        <w:tc>
          <w:tcPr>
            <w:tcW w:w="2814" w:type="dxa"/>
            <w:vAlign w:val="center"/>
          </w:tcPr>
          <w:p w:rsidR="000044A6" w:rsidRDefault="000044A6" w:rsidP="000044A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Straatweg 66-S,</w:t>
            </w:r>
            <w:r>
              <w:rPr>
                <w:b w:val="0"/>
                <w:sz w:val="20"/>
              </w:rPr>
              <w:br/>
              <w:t>3621 BR Breukelen, NL</w:t>
            </w:r>
          </w:p>
        </w:tc>
        <w:tc>
          <w:tcPr>
            <w:tcW w:w="1715" w:type="dxa"/>
            <w:vAlign w:val="center"/>
          </w:tcPr>
          <w:p w:rsidR="000044A6" w:rsidRDefault="000044A6" w:rsidP="004E690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+31 346 259663</w:t>
            </w:r>
          </w:p>
        </w:tc>
        <w:tc>
          <w:tcPr>
            <w:tcW w:w="1647" w:type="dxa"/>
            <w:vAlign w:val="center"/>
          </w:tcPr>
          <w:p w:rsidR="000044A6" w:rsidRDefault="00433478" w:rsidP="004E690E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7" w:history="1">
              <w:r w:rsidR="000044A6" w:rsidRPr="00D81F43">
                <w:rPr>
                  <w:rStyle w:val="Hyperlink"/>
                  <w:b w:val="0"/>
                  <w:sz w:val="16"/>
                </w:rPr>
                <w:t>allert@qaulcomm.com</w:t>
              </w:r>
            </w:hyperlink>
          </w:p>
        </w:tc>
      </w:tr>
      <w:tr w:rsidR="005E11E5">
        <w:trPr>
          <w:jc w:val="center"/>
        </w:trPr>
        <w:tc>
          <w:tcPr>
            <w:tcW w:w="1336" w:type="dxa"/>
            <w:vAlign w:val="center"/>
          </w:tcPr>
          <w:p w:rsidR="005E11E5" w:rsidRDefault="005E11E5" w:rsidP="004E690E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>
              <w:rPr>
                <w:rFonts w:hint="eastAsia"/>
                <w:b w:val="0"/>
                <w:sz w:val="20"/>
                <w:lang w:eastAsia="ko-KR"/>
              </w:rPr>
              <w:t>Youhan Kim</w:t>
            </w:r>
          </w:p>
        </w:tc>
        <w:tc>
          <w:tcPr>
            <w:tcW w:w="2064" w:type="dxa"/>
            <w:vAlign w:val="center"/>
          </w:tcPr>
          <w:p w:rsidR="005E11E5" w:rsidRDefault="005E11E5" w:rsidP="004E690E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>
              <w:rPr>
                <w:rFonts w:hint="eastAsia"/>
                <w:b w:val="0"/>
                <w:sz w:val="20"/>
                <w:lang w:eastAsia="ko-KR"/>
              </w:rPr>
              <w:t>Qualcomm</w:t>
            </w:r>
          </w:p>
        </w:tc>
        <w:tc>
          <w:tcPr>
            <w:tcW w:w="2814" w:type="dxa"/>
            <w:vAlign w:val="center"/>
          </w:tcPr>
          <w:p w:rsidR="005E11E5" w:rsidRDefault="005E11E5" w:rsidP="004E690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ko-KR"/>
              </w:rPr>
            </w:pPr>
            <w:r>
              <w:rPr>
                <w:rFonts w:hint="eastAsia"/>
                <w:b w:val="0"/>
                <w:sz w:val="20"/>
                <w:lang w:eastAsia="ko-KR"/>
              </w:rPr>
              <w:t>1700 Technology Drive</w:t>
            </w:r>
          </w:p>
          <w:p w:rsidR="005E11E5" w:rsidRDefault="005E11E5" w:rsidP="004E690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ko-KR"/>
              </w:rPr>
            </w:pPr>
            <w:r>
              <w:rPr>
                <w:rFonts w:hint="eastAsia"/>
                <w:b w:val="0"/>
                <w:sz w:val="20"/>
                <w:lang w:eastAsia="ko-KR"/>
              </w:rPr>
              <w:t>San Jose, CA 95110</w:t>
            </w:r>
          </w:p>
        </w:tc>
        <w:tc>
          <w:tcPr>
            <w:tcW w:w="1715" w:type="dxa"/>
            <w:vAlign w:val="center"/>
          </w:tcPr>
          <w:p w:rsidR="005E11E5" w:rsidRDefault="005E11E5" w:rsidP="004E690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5E11E5" w:rsidRDefault="00433478" w:rsidP="004E690E">
            <w:pPr>
              <w:pStyle w:val="T2"/>
              <w:spacing w:after="0"/>
              <w:ind w:left="0" w:right="0"/>
              <w:rPr>
                <w:b w:val="0"/>
                <w:sz w:val="16"/>
                <w:lang w:eastAsia="ko-KR"/>
              </w:rPr>
            </w:pPr>
            <w:hyperlink r:id="rId8" w:history="1">
              <w:r w:rsidR="005E11E5" w:rsidRPr="00C62552">
                <w:rPr>
                  <w:rStyle w:val="Hyperlink"/>
                  <w:rFonts w:hint="eastAsia"/>
                  <w:b w:val="0"/>
                  <w:sz w:val="16"/>
                  <w:lang w:eastAsia="ko-KR"/>
                </w:rPr>
                <w:t>youhan.kim@qca.qualcomm.com</w:t>
              </w:r>
            </w:hyperlink>
          </w:p>
        </w:tc>
      </w:tr>
    </w:tbl>
    <w:p w:rsidR="00CA09B2" w:rsidRDefault="00433478">
      <w:pPr>
        <w:pStyle w:val="T1"/>
        <w:spacing w:after="120"/>
        <w:rPr>
          <w:sz w:val="22"/>
        </w:rPr>
      </w:pPr>
      <w:r w:rsidRPr="00433478">
        <w:rPr>
          <w:noProof/>
          <w:lang w:val="en-US" w:eastAsia="ko-K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4.95pt;margin-top:16.2pt;width:468pt;height:224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<v:textbox>
              <w:txbxContent>
                <w:p w:rsidR="0029020B" w:rsidRDefault="0029020B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29020B" w:rsidRDefault="000044A6">
                  <w:pPr>
                    <w:jc w:val="both"/>
                  </w:pPr>
                  <w:r>
                    <w:t xml:space="preserve">This document proposes resolutions to CIDs </w:t>
                  </w:r>
                  <w:r w:rsidR="000F4342">
                    <w:t>2223, 2225, 2984, 3021, and 3036</w:t>
                  </w:r>
                  <w:r>
                    <w:t>.</w:t>
                  </w:r>
                </w:p>
                <w:p w:rsidR="000044A6" w:rsidRDefault="000044A6">
                  <w:pPr>
                    <w:jc w:val="both"/>
                  </w:pPr>
                </w:p>
                <w:p w:rsidR="000044A6" w:rsidRDefault="000044A6">
                  <w:pPr>
                    <w:jc w:val="both"/>
                  </w:pPr>
                  <w:r>
                    <w:t>The comments are copied from 11/907r9.</w:t>
                  </w:r>
                </w:p>
                <w:p w:rsidR="000044A6" w:rsidRDefault="000044A6">
                  <w:pPr>
                    <w:jc w:val="both"/>
                  </w:pPr>
                  <w:r>
                    <w:t>The resolutions are based on Draft P802.11ac_D1.2.</w:t>
                  </w:r>
                </w:p>
              </w:txbxContent>
            </v:textbox>
          </v:shape>
        </w:pict>
      </w:r>
    </w:p>
    <w:p w:rsidR="000044A6" w:rsidRDefault="00CA09B2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1"/>
        <w:gridCol w:w="828"/>
        <w:gridCol w:w="1106"/>
        <w:gridCol w:w="3043"/>
        <w:gridCol w:w="1934"/>
        <w:gridCol w:w="2004"/>
      </w:tblGrid>
      <w:tr w:rsidR="000044A6" w:rsidRPr="00DA62C9" w:rsidTr="004E690E">
        <w:trPr>
          <w:trHeight w:val="70"/>
        </w:trPr>
        <w:tc>
          <w:tcPr>
            <w:tcW w:w="345" w:type="pct"/>
            <w:hideMark/>
          </w:tcPr>
          <w:p w:rsidR="000044A6" w:rsidRPr="00DA62C9" w:rsidRDefault="000044A6" w:rsidP="004E690E">
            <w:pPr>
              <w:rPr>
                <w:rFonts w:ascii="Arial" w:hAnsi="Arial" w:cs="Arial"/>
                <w:b/>
                <w:bCs/>
                <w:sz w:val="20"/>
                <w:lang w:val="en-US" w:eastAsia="ko-KR"/>
              </w:rPr>
            </w:pPr>
            <w:r w:rsidRPr="00DA62C9">
              <w:rPr>
                <w:rFonts w:ascii="Arial" w:hAnsi="Arial" w:cs="Arial"/>
                <w:b/>
                <w:bCs/>
                <w:sz w:val="20"/>
                <w:lang w:val="en-US" w:eastAsia="ko-KR"/>
              </w:rPr>
              <w:lastRenderedPageBreak/>
              <w:t>CID</w:t>
            </w:r>
          </w:p>
        </w:tc>
        <w:tc>
          <w:tcPr>
            <w:tcW w:w="432" w:type="pct"/>
            <w:hideMark/>
          </w:tcPr>
          <w:p w:rsidR="000044A6" w:rsidRPr="00DA62C9" w:rsidRDefault="000044A6" w:rsidP="004E690E">
            <w:pPr>
              <w:rPr>
                <w:rFonts w:ascii="Arial" w:hAnsi="Arial" w:cs="Arial"/>
                <w:b/>
                <w:bCs/>
                <w:sz w:val="20"/>
                <w:lang w:val="en-US" w:eastAsia="ko-KR"/>
              </w:rPr>
            </w:pPr>
            <w:r w:rsidRPr="00DA62C9">
              <w:rPr>
                <w:rFonts w:ascii="Arial" w:hAnsi="Arial" w:cs="Arial"/>
                <w:b/>
                <w:bCs/>
                <w:sz w:val="20"/>
                <w:lang w:val="en-US" w:eastAsia="ko-KR"/>
              </w:rPr>
              <w:t>Page</w:t>
            </w:r>
          </w:p>
        </w:tc>
        <w:tc>
          <w:tcPr>
            <w:tcW w:w="455" w:type="pct"/>
            <w:hideMark/>
          </w:tcPr>
          <w:p w:rsidR="000044A6" w:rsidRPr="00DA62C9" w:rsidRDefault="000044A6" w:rsidP="004E690E">
            <w:pPr>
              <w:rPr>
                <w:rFonts w:ascii="Arial" w:hAnsi="Arial" w:cs="Arial"/>
                <w:b/>
                <w:bCs/>
                <w:sz w:val="20"/>
                <w:lang w:val="en-US" w:eastAsia="ko-KR"/>
              </w:rPr>
            </w:pPr>
            <w:r w:rsidRPr="00DA62C9">
              <w:rPr>
                <w:rFonts w:ascii="Arial" w:hAnsi="Arial" w:cs="Arial"/>
                <w:b/>
                <w:bCs/>
                <w:sz w:val="20"/>
                <w:lang w:val="en-US" w:eastAsia="ko-KR"/>
              </w:rPr>
              <w:t>Clause</w:t>
            </w:r>
          </w:p>
        </w:tc>
        <w:tc>
          <w:tcPr>
            <w:tcW w:w="1630" w:type="pct"/>
            <w:hideMark/>
          </w:tcPr>
          <w:p w:rsidR="000044A6" w:rsidRPr="00DA62C9" w:rsidRDefault="000044A6" w:rsidP="004E690E">
            <w:pPr>
              <w:rPr>
                <w:rFonts w:ascii="Arial" w:hAnsi="Arial" w:cs="Arial"/>
                <w:b/>
                <w:bCs/>
                <w:sz w:val="20"/>
                <w:lang w:val="en-US" w:eastAsia="ko-KR"/>
              </w:rPr>
            </w:pPr>
            <w:r w:rsidRPr="00DA62C9">
              <w:rPr>
                <w:rFonts w:ascii="Arial" w:hAnsi="Arial" w:cs="Arial"/>
                <w:b/>
                <w:bCs/>
                <w:sz w:val="20"/>
                <w:lang w:val="en-US" w:eastAsia="ko-KR"/>
              </w:rPr>
              <w:t>Comment</w:t>
            </w:r>
          </w:p>
        </w:tc>
        <w:tc>
          <w:tcPr>
            <w:tcW w:w="1051" w:type="pct"/>
            <w:hideMark/>
          </w:tcPr>
          <w:p w:rsidR="000044A6" w:rsidRPr="00DA62C9" w:rsidRDefault="000044A6" w:rsidP="004E690E">
            <w:pPr>
              <w:rPr>
                <w:rFonts w:ascii="Arial" w:hAnsi="Arial" w:cs="Arial"/>
                <w:b/>
                <w:bCs/>
                <w:sz w:val="20"/>
                <w:lang w:val="en-US" w:eastAsia="ko-KR"/>
              </w:rPr>
            </w:pPr>
            <w:r w:rsidRPr="00DA62C9">
              <w:rPr>
                <w:rFonts w:ascii="Arial" w:hAnsi="Arial" w:cs="Arial"/>
                <w:b/>
                <w:bCs/>
                <w:sz w:val="20"/>
                <w:lang w:val="en-US" w:eastAsia="ko-KR"/>
              </w:rPr>
              <w:t>Proposed Change</w:t>
            </w:r>
          </w:p>
        </w:tc>
        <w:tc>
          <w:tcPr>
            <w:tcW w:w="1087" w:type="pct"/>
            <w:hideMark/>
          </w:tcPr>
          <w:p w:rsidR="000044A6" w:rsidRPr="00DA62C9" w:rsidRDefault="000044A6" w:rsidP="004E690E">
            <w:pPr>
              <w:rPr>
                <w:rFonts w:ascii="Arial" w:hAnsi="Arial" w:cs="Arial"/>
                <w:b/>
                <w:bCs/>
                <w:sz w:val="20"/>
                <w:lang w:val="en-US" w:eastAsia="ko-KR"/>
              </w:rPr>
            </w:pPr>
            <w:r w:rsidRPr="00DA62C9">
              <w:rPr>
                <w:rFonts w:ascii="Arial" w:hAnsi="Arial" w:cs="Arial"/>
                <w:b/>
                <w:bCs/>
                <w:sz w:val="20"/>
                <w:lang w:val="en-US" w:eastAsia="ko-KR"/>
              </w:rPr>
              <w:t>Resolution</w:t>
            </w:r>
          </w:p>
        </w:tc>
      </w:tr>
      <w:tr w:rsidR="000044A6" w:rsidRPr="00DA62C9" w:rsidTr="004E690E">
        <w:trPr>
          <w:trHeight w:val="765"/>
        </w:trPr>
        <w:tc>
          <w:tcPr>
            <w:tcW w:w="345" w:type="pct"/>
            <w:hideMark/>
          </w:tcPr>
          <w:p w:rsidR="0070718E" w:rsidRDefault="0070718E" w:rsidP="0070718E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2223</w:t>
            </w:r>
          </w:p>
          <w:p w:rsidR="000044A6" w:rsidRPr="00D66703" w:rsidRDefault="000044A6" w:rsidP="004E690E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32" w:type="pct"/>
            <w:hideMark/>
          </w:tcPr>
          <w:p w:rsidR="0070718E" w:rsidRDefault="0070718E" w:rsidP="0070718E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138.36</w:t>
            </w:r>
          </w:p>
          <w:p w:rsidR="000044A6" w:rsidRPr="00D66703" w:rsidRDefault="000044A6" w:rsidP="004E690E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55" w:type="pct"/>
            <w:hideMark/>
          </w:tcPr>
          <w:p w:rsidR="0070718E" w:rsidRDefault="0070718E" w:rsidP="0070718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22.3.8.1.2</w:t>
            </w:r>
          </w:p>
          <w:p w:rsidR="000044A6" w:rsidRPr="00D66703" w:rsidRDefault="000044A6" w:rsidP="004E690E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630" w:type="pct"/>
            <w:hideMark/>
          </w:tcPr>
          <w:p w:rsidR="0070718E" w:rsidRDefault="0070718E" w:rsidP="0070718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list following line 36 does not contain all parameters in the formula (unlike later formulas where all parameters are clarified)</w:t>
            </w:r>
          </w:p>
          <w:p w:rsidR="000044A6" w:rsidRPr="00D66703" w:rsidRDefault="000044A6" w:rsidP="004E690E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051" w:type="pct"/>
            <w:hideMark/>
          </w:tcPr>
          <w:p w:rsidR="0070718E" w:rsidRDefault="0070718E" w:rsidP="0070718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Add N_TX, Delta_F, N^Tone_L-STF</w:t>
            </w:r>
          </w:p>
          <w:p w:rsidR="000044A6" w:rsidRPr="00D66703" w:rsidRDefault="000044A6" w:rsidP="004E690E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087" w:type="pct"/>
            <w:hideMark/>
          </w:tcPr>
          <w:p w:rsidR="000044A6" w:rsidRPr="00DA62C9" w:rsidRDefault="000044A6" w:rsidP="006A5472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ACCEPT IN PRINCIPLE.</w:t>
            </w:r>
            <w:r w:rsidR="006A5472">
              <w:rPr>
                <w:rFonts w:ascii="Arial" w:hAnsi="Arial" w:cs="Arial"/>
                <w:sz w:val="20"/>
                <w:lang w:val="en-US"/>
              </w:rPr>
              <w:t xml:space="preserve"> See 11</w:t>
            </w:r>
            <w:r w:rsidR="00BB06EF">
              <w:rPr>
                <w:rFonts w:ascii="Arial" w:hAnsi="Arial" w:cs="Arial"/>
                <w:sz w:val="20"/>
                <w:lang w:val="en-US"/>
              </w:rPr>
              <w:t>/</w:t>
            </w:r>
            <w:r w:rsidR="006A5472">
              <w:rPr>
                <w:rFonts w:ascii="Arial" w:hAnsi="Arial" w:cs="Arial"/>
                <w:sz w:val="20"/>
                <w:lang w:val="en-US"/>
              </w:rPr>
              <w:t>1379</w:t>
            </w:r>
            <w:r w:rsidR="00BB06EF">
              <w:rPr>
                <w:rFonts w:ascii="Arial" w:hAnsi="Arial" w:cs="Arial"/>
                <w:sz w:val="20"/>
                <w:lang w:val="en-US"/>
              </w:rPr>
              <w:t>r0.</w:t>
            </w:r>
          </w:p>
        </w:tc>
      </w:tr>
    </w:tbl>
    <w:p w:rsidR="000044A6" w:rsidRDefault="000044A6"/>
    <w:p w:rsidR="000044A6" w:rsidRDefault="00A07C5B">
      <w:pPr>
        <w:rPr>
          <w:b/>
        </w:rPr>
      </w:pPr>
      <w:r>
        <w:rPr>
          <w:b/>
        </w:rPr>
        <w:t>Resolution</w:t>
      </w:r>
    </w:p>
    <w:p w:rsidR="00A07C5B" w:rsidRDefault="00A07C5B">
      <w:pPr>
        <w:rPr>
          <w:b/>
        </w:rPr>
      </w:pPr>
    </w:p>
    <w:p w:rsidR="00A07C5B" w:rsidRDefault="00A07C5B">
      <w:pPr>
        <w:rPr>
          <w:i/>
        </w:rPr>
      </w:pPr>
      <w:r>
        <w:rPr>
          <w:i/>
        </w:rPr>
        <w:t xml:space="preserve">Editor, add the following parameters to the list below equation 22-16 in Section </w:t>
      </w:r>
      <w:r w:rsidRPr="00A07C5B">
        <w:rPr>
          <w:i/>
        </w:rPr>
        <w:t>22.3.8.1.2 L-STF definition</w:t>
      </w:r>
      <w:r>
        <w:rPr>
          <w:i/>
        </w:rPr>
        <w:t>.</w:t>
      </w:r>
    </w:p>
    <w:p w:rsidR="00A07C5B" w:rsidRDefault="00A07C5B">
      <w:pPr>
        <w:rPr>
          <w:i/>
        </w:rPr>
      </w:pPr>
    </w:p>
    <w:p w:rsidR="00BB06EF" w:rsidRPr="00A07C5B" w:rsidRDefault="00BB06EF" w:rsidP="00BB06EF">
      <w:r>
        <w:sym w:font="Symbol" w:char="F044"/>
      </w:r>
      <w:r>
        <w:rPr>
          <w:i/>
          <w:vertAlign w:val="subscript"/>
        </w:rPr>
        <w:t>F</w:t>
      </w:r>
      <w:r>
        <w:tab/>
        <w:t>is d</w:t>
      </w:r>
      <w:r w:rsidRPr="00A07C5B">
        <w:t>efined in Table 22-5 (Timing-related constants)</w:t>
      </w:r>
      <w:r>
        <w:t>.</w:t>
      </w:r>
    </w:p>
    <w:p w:rsidR="00A07C5B" w:rsidRDefault="00A07C5B">
      <w:r>
        <w:rPr>
          <w:i/>
        </w:rPr>
        <w:t>N</w:t>
      </w:r>
      <w:r>
        <w:rPr>
          <w:i/>
          <w:vertAlign w:val="subscript"/>
        </w:rPr>
        <w:t>TX</w:t>
      </w:r>
      <w:r>
        <w:t xml:space="preserve"> </w:t>
      </w:r>
      <w:r>
        <w:tab/>
        <w:t>is defined in Table 22-5 (Frequently used parameters)</w:t>
      </w:r>
      <w:r w:rsidR="00BB06EF">
        <w:t>.</w:t>
      </w:r>
    </w:p>
    <w:p w:rsidR="00A07C5B" w:rsidRDefault="00A07C5B">
      <w:r w:rsidRPr="00A07C5B">
        <w:rPr>
          <w:position w:val="-12"/>
        </w:rPr>
        <w:object w:dxaOrig="70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3pt;height:19pt" o:ole="">
            <v:imagedata r:id="rId9" o:title=""/>
          </v:shape>
          <o:OLEObject Type="Embed" ProgID="Equation.3" ShapeID="_x0000_i1025" DrawAspect="Content" ObjectID="_1380624223" r:id="rId10"/>
        </w:object>
      </w:r>
      <w:r w:rsidRPr="00A07C5B">
        <w:t>has the value given in Table 22-7 (Value of tone scaling factor)</w:t>
      </w:r>
      <w:r w:rsidR="00BB06EF">
        <w:t>.</w:t>
      </w:r>
    </w:p>
    <w:p w:rsidR="00A07C5B" w:rsidRDefault="00A07C5B"/>
    <w:p w:rsidR="00BB06EF" w:rsidRDefault="00BB06EF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1"/>
        <w:gridCol w:w="828"/>
        <w:gridCol w:w="1106"/>
        <w:gridCol w:w="3043"/>
        <w:gridCol w:w="1934"/>
        <w:gridCol w:w="2004"/>
      </w:tblGrid>
      <w:tr w:rsidR="00BB06EF" w:rsidRPr="00DA62C9" w:rsidTr="004E690E">
        <w:trPr>
          <w:trHeight w:val="70"/>
        </w:trPr>
        <w:tc>
          <w:tcPr>
            <w:tcW w:w="345" w:type="pct"/>
            <w:hideMark/>
          </w:tcPr>
          <w:p w:rsidR="00BB06EF" w:rsidRPr="00DA62C9" w:rsidRDefault="00BB06EF" w:rsidP="004E690E">
            <w:pPr>
              <w:rPr>
                <w:rFonts w:ascii="Arial" w:hAnsi="Arial" w:cs="Arial"/>
                <w:b/>
                <w:bCs/>
                <w:sz w:val="20"/>
                <w:lang w:val="en-US" w:eastAsia="ko-KR"/>
              </w:rPr>
            </w:pPr>
            <w:r w:rsidRPr="00DA62C9">
              <w:rPr>
                <w:rFonts w:ascii="Arial" w:hAnsi="Arial" w:cs="Arial"/>
                <w:b/>
                <w:bCs/>
                <w:sz w:val="20"/>
                <w:lang w:val="en-US" w:eastAsia="ko-KR"/>
              </w:rPr>
              <w:t>CID</w:t>
            </w:r>
          </w:p>
        </w:tc>
        <w:tc>
          <w:tcPr>
            <w:tcW w:w="432" w:type="pct"/>
            <w:hideMark/>
          </w:tcPr>
          <w:p w:rsidR="00BB06EF" w:rsidRPr="00DA62C9" w:rsidRDefault="00BB06EF" w:rsidP="004E690E">
            <w:pPr>
              <w:rPr>
                <w:rFonts w:ascii="Arial" w:hAnsi="Arial" w:cs="Arial"/>
                <w:b/>
                <w:bCs/>
                <w:sz w:val="20"/>
                <w:lang w:val="en-US" w:eastAsia="ko-KR"/>
              </w:rPr>
            </w:pPr>
            <w:r w:rsidRPr="00DA62C9">
              <w:rPr>
                <w:rFonts w:ascii="Arial" w:hAnsi="Arial" w:cs="Arial"/>
                <w:b/>
                <w:bCs/>
                <w:sz w:val="20"/>
                <w:lang w:val="en-US" w:eastAsia="ko-KR"/>
              </w:rPr>
              <w:t>Page</w:t>
            </w:r>
          </w:p>
        </w:tc>
        <w:tc>
          <w:tcPr>
            <w:tcW w:w="455" w:type="pct"/>
            <w:hideMark/>
          </w:tcPr>
          <w:p w:rsidR="00BB06EF" w:rsidRPr="00DA62C9" w:rsidRDefault="00BB06EF" w:rsidP="004E690E">
            <w:pPr>
              <w:rPr>
                <w:rFonts w:ascii="Arial" w:hAnsi="Arial" w:cs="Arial"/>
                <w:b/>
                <w:bCs/>
                <w:sz w:val="20"/>
                <w:lang w:val="en-US" w:eastAsia="ko-KR"/>
              </w:rPr>
            </w:pPr>
            <w:r w:rsidRPr="00DA62C9">
              <w:rPr>
                <w:rFonts w:ascii="Arial" w:hAnsi="Arial" w:cs="Arial"/>
                <w:b/>
                <w:bCs/>
                <w:sz w:val="20"/>
                <w:lang w:val="en-US" w:eastAsia="ko-KR"/>
              </w:rPr>
              <w:t>Clause</w:t>
            </w:r>
          </w:p>
        </w:tc>
        <w:tc>
          <w:tcPr>
            <w:tcW w:w="1630" w:type="pct"/>
            <w:hideMark/>
          </w:tcPr>
          <w:p w:rsidR="00BB06EF" w:rsidRPr="00DA62C9" w:rsidRDefault="00BB06EF" w:rsidP="004E690E">
            <w:pPr>
              <w:rPr>
                <w:rFonts w:ascii="Arial" w:hAnsi="Arial" w:cs="Arial"/>
                <w:b/>
                <w:bCs/>
                <w:sz w:val="20"/>
                <w:lang w:val="en-US" w:eastAsia="ko-KR"/>
              </w:rPr>
            </w:pPr>
            <w:r w:rsidRPr="00DA62C9">
              <w:rPr>
                <w:rFonts w:ascii="Arial" w:hAnsi="Arial" w:cs="Arial"/>
                <w:b/>
                <w:bCs/>
                <w:sz w:val="20"/>
                <w:lang w:val="en-US" w:eastAsia="ko-KR"/>
              </w:rPr>
              <w:t>Comment</w:t>
            </w:r>
          </w:p>
        </w:tc>
        <w:tc>
          <w:tcPr>
            <w:tcW w:w="1051" w:type="pct"/>
            <w:hideMark/>
          </w:tcPr>
          <w:p w:rsidR="00BB06EF" w:rsidRPr="00DA62C9" w:rsidRDefault="00BB06EF" w:rsidP="004E690E">
            <w:pPr>
              <w:rPr>
                <w:rFonts w:ascii="Arial" w:hAnsi="Arial" w:cs="Arial"/>
                <w:b/>
                <w:bCs/>
                <w:sz w:val="20"/>
                <w:lang w:val="en-US" w:eastAsia="ko-KR"/>
              </w:rPr>
            </w:pPr>
            <w:r w:rsidRPr="00DA62C9">
              <w:rPr>
                <w:rFonts w:ascii="Arial" w:hAnsi="Arial" w:cs="Arial"/>
                <w:b/>
                <w:bCs/>
                <w:sz w:val="20"/>
                <w:lang w:val="en-US" w:eastAsia="ko-KR"/>
              </w:rPr>
              <w:t>Proposed Change</w:t>
            </w:r>
          </w:p>
        </w:tc>
        <w:tc>
          <w:tcPr>
            <w:tcW w:w="1087" w:type="pct"/>
            <w:hideMark/>
          </w:tcPr>
          <w:p w:rsidR="00BB06EF" w:rsidRPr="00DA62C9" w:rsidRDefault="00BB06EF" w:rsidP="004E690E">
            <w:pPr>
              <w:rPr>
                <w:rFonts w:ascii="Arial" w:hAnsi="Arial" w:cs="Arial"/>
                <w:b/>
                <w:bCs/>
                <w:sz w:val="20"/>
                <w:lang w:val="en-US" w:eastAsia="ko-KR"/>
              </w:rPr>
            </w:pPr>
            <w:r w:rsidRPr="00DA62C9">
              <w:rPr>
                <w:rFonts w:ascii="Arial" w:hAnsi="Arial" w:cs="Arial"/>
                <w:b/>
                <w:bCs/>
                <w:sz w:val="20"/>
                <w:lang w:val="en-US" w:eastAsia="ko-KR"/>
              </w:rPr>
              <w:t>Resolution</w:t>
            </w:r>
          </w:p>
        </w:tc>
      </w:tr>
      <w:tr w:rsidR="00BB06EF" w:rsidRPr="00DA62C9" w:rsidTr="004E690E">
        <w:trPr>
          <w:trHeight w:val="765"/>
        </w:trPr>
        <w:tc>
          <w:tcPr>
            <w:tcW w:w="345" w:type="pct"/>
            <w:hideMark/>
          </w:tcPr>
          <w:p w:rsidR="00BB06EF" w:rsidRDefault="00BB06EF" w:rsidP="004E690E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2225</w:t>
            </w:r>
          </w:p>
          <w:p w:rsidR="00BB06EF" w:rsidRPr="00D66703" w:rsidRDefault="00BB06EF" w:rsidP="004E690E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32" w:type="pct"/>
            <w:hideMark/>
          </w:tcPr>
          <w:p w:rsidR="00BB06EF" w:rsidRDefault="00BB06EF" w:rsidP="00BB06EF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139.14</w:t>
            </w:r>
          </w:p>
          <w:p w:rsidR="00BB06EF" w:rsidRPr="00D66703" w:rsidRDefault="00BB06EF" w:rsidP="004E690E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55" w:type="pct"/>
            <w:hideMark/>
          </w:tcPr>
          <w:p w:rsidR="00BB06EF" w:rsidRDefault="00BB06EF" w:rsidP="004E690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22.3.8.1.2</w:t>
            </w:r>
          </w:p>
          <w:p w:rsidR="00BB06EF" w:rsidRPr="00D66703" w:rsidRDefault="00BB06EF" w:rsidP="004E690E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630" w:type="pct"/>
            <w:hideMark/>
          </w:tcPr>
          <w:p w:rsidR="00BB06EF" w:rsidRDefault="00BB06EF" w:rsidP="00BB06E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list following line 14 does not contain all parameters in the formual (unlike later formulas where all parameters are clarified)</w:t>
            </w:r>
          </w:p>
          <w:p w:rsidR="00BB06EF" w:rsidRPr="00D66703" w:rsidRDefault="00BB06EF" w:rsidP="004E690E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051" w:type="pct"/>
            <w:hideMark/>
          </w:tcPr>
          <w:p w:rsidR="00BB06EF" w:rsidRDefault="00BB06EF" w:rsidP="00BB06E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Add N_TX, Delta_F, N^Tone_L-LTF, T_GI2</w:t>
            </w:r>
          </w:p>
          <w:p w:rsidR="00BB06EF" w:rsidRPr="00D66703" w:rsidRDefault="00BB06EF" w:rsidP="004E690E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087" w:type="pct"/>
            <w:hideMark/>
          </w:tcPr>
          <w:p w:rsidR="00BB06EF" w:rsidRPr="00DA62C9" w:rsidRDefault="00BB06EF" w:rsidP="004E690E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ACCEPT IN PRINCIPLE. See </w:t>
            </w:r>
            <w:r w:rsidR="006A5472">
              <w:rPr>
                <w:rFonts w:ascii="Arial" w:hAnsi="Arial" w:cs="Arial"/>
                <w:sz w:val="20"/>
                <w:lang w:val="en-US"/>
              </w:rPr>
              <w:t>11/1379</w:t>
            </w:r>
            <w:r>
              <w:rPr>
                <w:rFonts w:ascii="Arial" w:hAnsi="Arial" w:cs="Arial"/>
                <w:sz w:val="20"/>
                <w:lang w:val="en-US"/>
              </w:rPr>
              <w:t>r0.</w:t>
            </w:r>
          </w:p>
        </w:tc>
      </w:tr>
    </w:tbl>
    <w:p w:rsidR="00BB06EF" w:rsidRDefault="00BB06EF"/>
    <w:p w:rsidR="00BB06EF" w:rsidRDefault="00BB06EF" w:rsidP="00BB06EF">
      <w:pPr>
        <w:rPr>
          <w:b/>
        </w:rPr>
      </w:pPr>
      <w:r>
        <w:rPr>
          <w:b/>
        </w:rPr>
        <w:t>Resolution</w:t>
      </w:r>
    </w:p>
    <w:p w:rsidR="00BB06EF" w:rsidRDefault="00BB06EF" w:rsidP="00BB06EF">
      <w:pPr>
        <w:rPr>
          <w:b/>
        </w:rPr>
      </w:pPr>
    </w:p>
    <w:p w:rsidR="00BB06EF" w:rsidRDefault="00BB06EF" w:rsidP="00BB06EF">
      <w:pPr>
        <w:rPr>
          <w:i/>
        </w:rPr>
      </w:pPr>
      <w:r>
        <w:rPr>
          <w:i/>
        </w:rPr>
        <w:t xml:space="preserve">Editor, make the </w:t>
      </w:r>
      <w:r>
        <w:t>GI2</w:t>
      </w:r>
      <w:r>
        <w:rPr>
          <w:i/>
        </w:rPr>
        <w:t xml:space="preserve"> in equation 22-19 italic and add the following parameters to the list below equation 22-19 in Section 22.3.8.1.3 L-L</w:t>
      </w:r>
      <w:r w:rsidRPr="00A07C5B">
        <w:rPr>
          <w:i/>
        </w:rPr>
        <w:t>TF definition</w:t>
      </w:r>
      <w:r>
        <w:rPr>
          <w:i/>
        </w:rPr>
        <w:t>.</w:t>
      </w:r>
    </w:p>
    <w:p w:rsidR="00BB06EF" w:rsidRDefault="00BB06EF" w:rsidP="00BB06EF">
      <w:pPr>
        <w:rPr>
          <w:i/>
        </w:rPr>
      </w:pPr>
    </w:p>
    <w:p w:rsidR="00BB06EF" w:rsidRPr="00A07C5B" w:rsidRDefault="00BB06EF" w:rsidP="00BB06EF">
      <w:r>
        <w:sym w:font="Symbol" w:char="F044"/>
      </w:r>
      <w:r>
        <w:rPr>
          <w:i/>
          <w:vertAlign w:val="subscript"/>
        </w:rPr>
        <w:t>F</w:t>
      </w:r>
      <w:r>
        <w:t xml:space="preserve"> and </w:t>
      </w:r>
      <w:r>
        <w:rPr>
          <w:i/>
        </w:rPr>
        <w:t>T</w:t>
      </w:r>
      <w:r w:rsidRPr="00BB06EF">
        <w:rPr>
          <w:i/>
          <w:vertAlign w:val="subscript"/>
        </w:rPr>
        <w:t>GI2</w:t>
      </w:r>
      <w:r>
        <w:t xml:space="preserve"> are d</w:t>
      </w:r>
      <w:r w:rsidRPr="00A07C5B">
        <w:t>efined in Table 22-5 (Timing-related constants)</w:t>
      </w:r>
      <w:r>
        <w:t>.</w:t>
      </w:r>
    </w:p>
    <w:p w:rsidR="00BB06EF" w:rsidRDefault="00BB06EF" w:rsidP="00BB06EF">
      <w:r>
        <w:rPr>
          <w:i/>
        </w:rPr>
        <w:t>N</w:t>
      </w:r>
      <w:r>
        <w:rPr>
          <w:i/>
          <w:vertAlign w:val="subscript"/>
        </w:rPr>
        <w:t>TX</w:t>
      </w:r>
      <w:r>
        <w:t xml:space="preserve"> </w:t>
      </w:r>
      <w:r>
        <w:tab/>
        <w:t>is defined in Table 22-5 (Frequently used parameters).</w:t>
      </w:r>
    </w:p>
    <w:p w:rsidR="00BB06EF" w:rsidRDefault="00ED2FAC" w:rsidP="00BB06EF">
      <w:r w:rsidRPr="00BB06EF">
        <w:rPr>
          <w:position w:val="-10"/>
        </w:rPr>
        <w:object w:dxaOrig="700" w:dyaOrig="360">
          <v:shape id="_x0000_i1026" type="#_x0000_t75" style="width:35.3pt;height:18.35pt" o:ole="">
            <v:imagedata r:id="rId11" o:title=""/>
          </v:shape>
          <o:OLEObject Type="Embed" ProgID="Equation.3" ShapeID="_x0000_i1026" DrawAspect="Content" ObjectID="_1380624224" r:id="rId12"/>
        </w:object>
      </w:r>
      <w:r w:rsidR="00BB06EF" w:rsidRPr="00A07C5B">
        <w:t>has the value given in Table 22-7 (Value of tone scaling factor)</w:t>
      </w:r>
      <w:r w:rsidR="00BB06EF">
        <w:t>.</w:t>
      </w:r>
    </w:p>
    <w:p w:rsidR="00BB06EF" w:rsidRDefault="00BB06EF"/>
    <w:p w:rsidR="00ED2FAC" w:rsidRDefault="00ED2FAC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1"/>
        <w:gridCol w:w="828"/>
        <w:gridCol w:w="872"/>
        <w:gridCol w:w="3121"/>
        <w:gridCol w:w="2012"/>
        <w:gridCol w:w="2082"/>
      </w:tblGrid>
      <w:tr w:rsidR="00C67C8C" w:rsidRPr="00DA62C9" w:rsidTr="004E690E">
        <w:trPr>
          <w:trHeight w:val="70"/>
        </w:trPr>
        <w:tc>
          <w:tcPr>
            <w:tcW w:w="345" w:type="pct"/>
            <w:hideMark/>
          </w:tcPr>
          <w:p w:rsidR="00C67C8C" w:rsidRPr="00DA62C9" w:rsidRDefault="00C67C8C" w:rsidP="004E690E">
            <w:pPr>
              <w:rPr>
                <w:rFonts w:ascii="Arial" w:hAnsi="Arial" w:cs="Arial"/>
                <w:b/>
                <w:bCs/>
                <w:sz w:val="20"/>
                <w:lang w:val="en-US" w:eastAsia="ko-KR"/>
              </w:rPr>
            </w:pPr>
            <w:r w:rsidRPr="00DA62C9">
              <w:rPr>
                <w:rFonts w:ascii="Arial" w:hAnsi="Arial" w:cs="Arial"/>
                <w:b/>
                <w:bCs/>
                <w:sz w:val="20"/>
                <w:lang w:val="en-US" w:eastAsia="ko-KR"/>
              </w:rPr>
              <w:t>CID</w:t>
            </w:r>
          </w:p>
        </w:tc>
        <w:tc>
          <w:tcPr>
            <w:tcW w:w="432" w:type="pct"/>
            <w:hideMark/>
          </w:tcPr>
          <w:p w:rsidR="00C67C8C" w:rsidRPr="00DA62C9" w:rsidRDefault="00C67C8C" w:rsidP="004E690E">
            <w:pPr>
              <w:rPr>
                <w:rFonts w:ascii="Arial" w:hAnsi="Arial" w:cs="Arial"/>
                <w:b/>
                <w:bCs/>
                <w:sz w:val="20"/>
                <w:lang w:val="en-US" w:eastAsia="ko-KR"/>
              </w:rPr>
            </w:pPr>
            <w:r w:rsidRPr="00DA62C9">
              <w:rPr>
                <w:rFonts w:ascii="Arial" w:hAnsi="Arial" w:cs="Arial"/>
                <w:b/>
                <w:bCs/>
                <w:sz w:val="20"/>
                <w:lang w:val="en-US" w:eastAsia="ko-KR"/>
              </w:rPr>
              <w:t>Page</w:t>
            </w:r>
          </w:p>
        </w:tc>
        <w:tc>
          <w:tcPr>
            <w:tcW w:w="455" w:type="pct"/>
            <w:hideMark/>
          </w:tcPr>
          <w:p w:rsidR="00C67C8C" w:rsidRPr="00DA62C9" w:rsidRDefault="00C67C8C" w:rsidP="004E690E">
            <w:pPr>
              <w:rPr>
                <w:rFonts w:ascii="Arial" w:hAnsi="Arial" w:cs="Arial"/>
                <w:b/>
                <w:bCs/>
                <w:sz w:val="20"/>
                <w:lang w:val="en-US" w:eastAsia="ko-KR"/>
              </w:rPr>
            </w:pPr>
            <w:r w:rsidRPr="00DA62C9">
              <w:rPr>
                <w:rFonts w:ascii="Arial" w:hAnsi="Arial" w:cs="Arial"/>
                <w:b/>
                <w:bCs/>
                <w:sz w:val="20"/>
                <w:lang w:val="en-US" w:eastAsia="ko-KR"/>
              </w:rPr>
              <w:t>Clause</w:t>
            </w:r>
          </w:p>
        </w:tc>
        <w:tc>
          <w:tcPr>
            <w:tcW w:w="1630" w:type="pct"/>
            <w:hideMark/>
          </w:tcPr>
          <w:p w:rsidR="00C67C8C" w:rsidRPr="00DA62C9" w:rsidRDefault="00C67C8C" w:rsidP="004E690E">
            <w:pPr>
              <w:rPr>
                <w:rFonts w:ascii="Arial" w:hAnsi="Arial" w:cs="Arial"/>
                <w:b/>
                <w:bCs/>
                <w:sz w:val="20"/>
                <w:lang w:val="en-US" w:eastAsia="ko-KR"/>
              </w:rPr>
            </w:pPr>
            <w:r w:rsidRPr="00DA62C9">
              <w:rPr>
                <w:rFonts w:ascii="Arial" w:hAnsi="Arial" w:cs="Arial"/>
                <w:b/>
                <w:bCs/>
                <w:sz w:val="20"/>
                <w:lang w:val="en-US" w:eastAsia="ko-KR"/>
              </w:rPr>
              <w:t>Comment</w:t>
            </w:r>
          </w:p>
        </w:tc>
        <w:tc>
          <w:tcPr>
            <w:tcW w:w="1051" w:type="pct"/>
            <w:hideMark/>
          </w:tcPr>
          <w:p w:rsidR="00C67C8C" w:rsidRPr="00DA62C9" w:rsidRDefault="00C67C8C" w:rsidP="004E690E">
            <w:pPr>
              <w:rPr>
                <w:rFonts w:ascii="Arial" w:hAnsi="Arial" w:cs="Arial"/>
                <w:b/>
                <w:bCs/>
                <w:sz w:val="20"/>
                <w:lang w:val="en-US" w:eastAsia="ko-KR"/>
              </w:rPr>
            </w:pPr>
            <w:r w:rsidRPr="00DA62C9">
              <w:rPr>
                <w:rFonts w:ascii="Arial" w:hAnsi="Arial" w:cs="Arial"/>
                <w:b/>
                <w:bCs/>
                <w:sz w:val="20"/>
                <w:lang w:val="en-US" w:eastAsia="ko-KR"/>
              </w:rPr>
              <w:t>Proposed Change</w:t>
            </w:r>
          </w:p>
        </w:tc>
        <w:tc>
          <w:tcPr>
            <w:tcW w:w="1087" w:type="pct"/>
            <w:hideMark/>
          </w:tcPr>
          <w:p w:rsidR="00C67C8C" w:rsidRPr="00DA62C9" w:rsidRDefault="00C67C8C" w:rsidP="004E690E">
            <w:pPr>
              <w:rPr>
                <w:rFonts w:ascii="Arial" w:hAnsi="Arial" w:cs="Arial"/>
                <w:b/>
                <w:bCs/>
                <w:sz w:val="20"/>
                <w:lang w:val="en-US" w:eastAsia="ko-KR"/>
              </w:rPr>
            </w:pPr>
            <w:r w:rsidRPr="00DA62C9">
              <w:rPr>
                <w:rFonts w:ascii="Arial" w:hAnsi="Arial" w:cs="Arial"/>
                <w:b/>
                <w:bCs/>
                <w:sz w:val="20"/>
                <w:lang w:val="en-US" w:eastAsia="ko-KR"/>
              </w:rPr>
              <w:t>Resolution</w:t>
            </w:r>
          </w:p>
        </w:tc>
      </w:tr>
      <w:tr w:rsidR="00C67C8C" w:rsidRPr="00DA62C9" w:rsidTr="004E690E">
        <w:trPr>
          <w:trHeight w:val="765"/>
        </w:trPr>
        <w:tc>
          <w:tcPr>
            <w:tcW w:w="345" w:type="pct"/>
            <w:hideMark/>
          </w:tcPr>
          <w:p w:rsidR="00C67C8C" w:rsidRDefault="00C67C8C" w:rsidP="00C67C8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2984</w:t>
            </w:r>
          </w:p>
          <w:p w:rsidR="00C67C8C" w:rsidRPr="00D66703" w:rsidRDefault="00C67C8C" w:rsidP="004E690E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32" w:type="pct"/>
            <w:hideMark/>
          </w:tcPr>
          <w:p w:rsidR="00C67C8C" w:rsidRDefault="00C67C8C" w:rsidP="00C67C8C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119.14</w:t>
            </w:r>
          </w:p>
          <w:p w:rsidR="00C67C8C" w:rsidRPr="00D66703" w:rsidRDefault="00C67C8C" w:rsidP="004E690E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55" w:type="pct"/>
            <w:hideMark/>
          </w:tcPr>
          <w:p w:rsidR="00C67C8C" w:rsidRDefault="00C67C8C" w:rsidP="00C67C8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22.3.3</w:t>
            </w:r>
          </w:p>
          <w:p w:rsidR="00C67C8C" w:rsidRPr="00D66703" w:rsidRDefault="00C67C8C" w:rsidP="004E690E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630" w:type="pct"/>
            <w:hideMark/>
          </w:tcPr>
          <w:p w:rsidR="00C67C8C" w:rsidRDefault="00C67C8C" w:rsidP="00C67C8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Pilot insertion is an important functional block. But it is not included in the transmitter functional block lists. </w:t>
            </w:r>
          </w:p>
          <w:p w:rsidR="00C67C8C" w:rsidRPr="00D66703" w:rsidRDefault="00C67C8C" w:rsidP="004E690E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051" w:type="pct"/>
            <w:hideMark/>
          </w:tcPr>
          <w:p w:rsidR="00C67C8C" w:rsidRDefault="00C67C8C" w:rsidP="00C67C8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Add pilot insertion in the block list.</w:t>
            </w:r>
          </w:p>
          <w:p w:rsidR="00C67C8C" w:rsidRPr="00D66703" w:rsidRDefault="00C67C8C" w:rsidP="004E690E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087" w:type="pct"/>
            <w:hideMark/>
          </w:tcPr>
          <w:p w:rsidR="00C67C8C" w:rsidRPr="00DA62C9" w:rsidRDefault="00C67C8C" w:rsidP="004E690E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ACCEPT IN PRINCIPLE. See </w:t>
            </w:r>
            <w:r w:rsidR="006A5472">
              <w:rPr>
                <w:rFonts w:ascii="Arial" w:hAnsi="Arial" w:cs="Arial"/>
                <w:sz w:val="20"/>
                <w:lang w:val="en-US"/>
              </w:rPr>
              <w:t>11/1379</w:t>
            </w:r>
            <w:r>
              <w:rPr>
                <w:rFonts w:ascii="Arial" w:hAnsi="Arial" w:cs="Arial"/>
                <w:sz w:val="20"/>
                <w:lang w:val="en-US"/>
              </w:rPr>
              <w:t>r0.</w:t>
            </w:r>
          </w:p>
        </w:tc>
      </w:tr>
      <w:tr w:rsidR="00C67C8C" w:rsidRPr="00DA62C9" w:rsidTr="004E690E">
        <w:trPr>
          <w:trHeight w:val="765"/>
        </w:trPr>
        <w:tc>
          <w:tcPr>
            <w:tcW w:w="345" w:type="pct"/>
          </w:tcPr>
          <w:p w:rsidR="00C67C8C" w:rsidRPr="00C67C8C" w:rsidRDefault="00C67C8C" w:rsidP="00C67C8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3021</w:t>
            </w:r>
          </w:p>
        </w:tc>
        <w:tc>
          <w:tcPr>
            <w:tcW w:w="432" w:type="pct"/>
          </w:tcPr>
          <w:p w:rsidR="00C67C8C" w:rsidRDefault="00C67C8C" w:rsidP="004E690E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119.14</w:t>
            </w:r>
          </w:p>
          <w:p w:rsidR="00C67C8C" w:rsidRPr="00D66703" w:rsidRDefault="00C67C8C" w:rsidP="004E690E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55" w:type="pct"/>
          </w:tcPr>
          <w:p w:rsidR="00C67C8C" w:rsidRDefault="00C67C8C" w:rsidP="004E690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22.3.3</w:t>
            </w:r>
          </w:p>
          <w:p w:rsidR="00C67C8C" w:rsidRPr="00D66703" w:rsidRDefault="00C67C8C" w:rsidP="004E690E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630" w:type="pct"/>
          </w:tcPr>
          <w:p w:rsidR="00C67C8C" w:rsidRDefault="00C67C8C" w:rsidP="004E690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Pilot insertion is an important functional block. But it is not included in the transmitter functional block lists. </w:t>
            </w:r>
          </w:p>
          <w:p w:rsidR="00C67C8C" w:rsidRPr="00D66703" w:rsidRDefault="00C67C8C" w:rsidP="004E690E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051" w:type="pct"/>
          </w:tcPr>
          <w:p w:rsidR="00C67C8C" w:rsidRDefault="00C67C8C" w:rsidP="004E690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Add pilot insertion in the block list.</w:t>
            </w:r>
          </w:p>
          <w:p w:rsidR="00C67C8C" w:rsidRPr="00D66703" w:rsidRDefault="00C67C8C" w:rsidP="004E690E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087" w:type="pct"/>
          </w:tcPr>
          <w:p w:rsidR="00C67C8C" w:rsidRPr="00DA62C9" w:rsidRDefault="00C67C8C" w:rsidP="004E690E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ACCEPT IN PRINCIPLE. Duplicate of CID 2984. See </w:t>
            </w:r>
            <w:r w:rsidR="006A5472">
              <w:rPr>
                <w:rFonts w:ascii="Arial" w:hAnsi="Arial" w:cs="Arial"/>
                <w:sz w:val="20"/>
                <w:lang w:val="en-US"/>
              </w:rPr>
              <w:t>11/1379</w:t>
            </w:r>
            <w:r>
              <w:rPr>
                <w:rFonts w:ascii="Arial" w:hAnsi="Arial" w:cs="Arial"/>
                <w:sz w:val="20"/>
                <w:lang w:val="en-US"/>
              </w:rPr>
              <w:t>r0.</w:t>
            </w:r>
          </w:p>
        </w:tc>
      </w:tr>
    </w:tbl>
    <w:p w:rsidR="00C67C8C" w:rsidRDefault="00C67C8C" w:rsidP="00C67C8C"/>
    <w:p w:rsidR="00ED2FAC" w:rsidRDefault="00C67C8C">
      <w:pPr>
        <w:rPr>
          <w:b/>
        </w:rPr>
      </w:pPr>
      <w:r>
        <w:rPr>
          <w:b/>
        </w:rPr>
        <w:t>Resolution</w:t>
      </w:r>
    </w:p>
    <w:p w:rsidR="00C67C8C" w:rsidRDefault="00C67C8C">
      <w:pPr>
        <w:rPr>
          <w:b/>
        </w:rPr>
      </w:pPr>
    </w:p>
    <w:p w:rsidR="00C67C8C" w:rsidRDefault="00C67C8C">
      <w:r>
        <w:rPr>
          <w:i/>
        </w:rPr>
        <w:t xml:space="preserve">Editor, make the following change in the functional block list of </w:t>
      </w:r>
      <w:r w:rsidR="00197878">
        <w:rPr>
          <w:i/>
        </w:rPr>
        <w:t xml:space="preserve">Section </w:t>
      </w:r>
      <w:r w:rsidR="00197878" w:rsidRPr="00197878">
        <w:rPr>
          <w:i/>
        </w:rPr>
        <w:t>22.3.3 Transmitter block diagram</w:t>
      </w:r>
      <w:r w:rsidR="00197878">
        <w:rPr>
          <w:i/>
        </w:rPr>
        <w:t>.</w:t>
      </w:r>
    </w:p>
    <w:p w:rsidR="00197878" w:rsidRDefault="00197878"/>
    <w:p w:rsidR="005A5DBD" w:rsidRDefault="005A5DBD" w:rsidP="005A5DBD">
      <w:r>
        <w:t>h) Constellation mapper</w:t>
      </w:r>
    </w:p>
    <w:p w:rsidR="005A5DBD" w:rsidRPr="00197878" w:rsidRDefault="005A5DBD" w:rsidP="005A5DBD">
      <w:pPr>
        <w:rPr>
          <w:u w:val="single"/>
        </w:rPr>
      </w:pPr>
      <w:r>
        <w:rPr>
          <w:u w:val="single"/>
        </w:rPr>
        <w:lastRenderedPageBreak/>
        <w:t>h’) Pilot insertion</w:t>
      </w:r>
    </w:p>
    <w:p w:rsidR="0070718E" w:rsidRDefault="005A5DBD" w:rsidP="005A5DBD">
      <w:r>
        <w:t>i) Replicate over multiple 20 MHz (if BW &gt; 20MHz)(#2369)</w:t>
      </w:r>
    </w:p>
    <w:p w:rsidR="0070718E" w:rsidRDefault="0070718E"/>
    <w:p w:rsidR="005A5DBD" w:rsidRDefault="005A5DBD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1"/>
        <w:gridCol w:w="828"/>
        <w:gridCol w:w="872"/>
        <w:gridCol w:w="3121"/>
        <w:gridCol w:w="2012"/>
        <w:gridCol w:w="2082"/>
      </w:tblGrid>
      <w:tr w:rsidR="005A5DBD" w:rsidRPr="00DA62C9" w:rsidTr="004E690E">
        <w:trPr>
          <w:trHeight w:val="70"/>
        </w:trPr>
        <w:tc>
          <w:tcPr>
            <w:tcW w:w="345" w:type="pct"/>
            <w:hideMark/>
          </w:tcPr>
          <w:p w:rsidR="005A5DBD" w:rsidRPr="00DA62C9" w:rsidRDefault="005A5DBD" w:rsidP="004E690E">
            <w:pPr>
              <w:rPr>
                <w:rFonts w:ascii="Arial" w:hAnsi="Arial" w:cs="Arial"/>
                <w:b/>
                <w:bCs/>
                <w:sz w:val="20"/>
                <w:lang w:val="en-US" w:eastAsia="ko-KR"/>
              </w:rPr>
            </w:pPr>
            <w:r w:rsidRPr="00DA62C9">
              <w:rPr>
                <w:rFonts w:ascii="Arial" w:hAnsi="Arial" w:cs="Arial"/>
                <w:b/>
                <w:bCs/>
                <w:sz w:val="20"/>
                <w:lang w:val="en-US" w:eastAsia="ko-KR"/>
              </w:rPr>
              <w:t>CID</w:t>
            </w:r>
          </w:p>
        </w:tc>
        <w:tc>
          <w:tcPr>
            <w:tcW w:w="432" w:type="pct"/>
            <w:hideMark/>
          </w:tcPr>
          <w:p w:rsidR="005A5DBD" w:rsidRPr="00DA62C9" w:rsidRDefault="005A5DBD" w:rsidP="004E690E">
            <w:pPr>
              <w:rPr>
                <w:rFonts w:ascii="Arial" w:hAnsi="Arial" w:cs="Arial"/>
                <w:b/>
                <w:bCs/>
                <w:sz w:val="20"/>
                <w:lang w:val="en-US" w:eastAsia="ko-KR"/>
              </w:rPr>
            </w:pPr>
            <w:r w:rsidRPr="00DA62C9">
              <w:rPr>
                <w:rFonts w:ascii="Arial" w:hAnsi="Arial" w:cs="Arial"/>
                <w:b/>
                <w:bCs/>
                <w:sz w:val="20"/>
                <w:lang w:val="en-US" w:eastAsia="ko-KR"/>
              </w:rPr>
              <w:t>Page</w:t>
            </w:r>
          </w:p>
        </w:tc>
        <w:tc>
          <w:tcPr>
            <w:tcW w:w="455" w:type="pct"/>
            <w:hideMark/>
          </w:tcPr>
          <w:p w:rsidR="005A5DBD" w:rsidRPr="00DA62C9" w:rsidRDefault="005A5DBD" w:rsidP="004E690E">
            <w:pPr>
              <w:rPr>
                <w:rFonts w:ascii="Arial" w:hAnsi="Arial" w:cs="Arial"/>
                <w:b/>
                <w:bCs/>
                <w:sz w:val="20"/>
                <w:lang w:val="en-US" w:eastAsia="ko-KR"/>
              </w:rPr>
            </w:pPr>
            <w:r w:rsidRPr="00DA62C9">
              <w:rPr>
                <w:rFonts w:ascii="Arial" w:hAnsi="Arial" w:cs="Arial"/>
                <w:b/>
                <w:bCs/>
                <w:sz w:val="20"/>
                <w:lang w:val="en-US" w:eastAsia="ko-KR"/>
              </w:rPr>
              <w:t>Clause</w:t>
            </w:r>
          </w:p>
        </w:tc>
        <w:tc>
          <w:tcPr>
            <w:tcW w:w="1630" w:type="pct"/>
            <w:hideMark/>
          </w:tcPr>
          <w:p w:rsidR="005A5DBD" w:rsidRPr="00DA62C9" w:rsidRDefault="005A5DBD" w:rsidP="004E690E">
            <w:pPr>
              <w:rPr>
                <w:rFonts w:ascii="Arial" w:hAnsi="Arial" w:cs="Arial"/>
                <w:b/>
                <w:bCs/>
                <w:sz w:val="20"/>
                <w:lang w:val="en-US" w:eastAsia="ko-KR"/>
              </w:rPr>
            </w:pPr>
            <w:r w:rsidRPr="00DA62C9">
              <w:rPr>
                <w:rFonts w:ascii="Arial" w:hAnsi="Arial" w:cs="Arial"/>
                <w:b/>
                <w:bCs/>
                <w:sz w:val="20"/>
                <w:lang w:val="en-US" w:eastAsia="ko-KR"/>
              </w:rPr>
              <w:t>Comment</w:t>
            </w:r>
          </w:p>
        </w:tc>
        <w:tc>
          <w:tcPr>
            <w:tcW w:w="1051" w:type="pct"/>
            <w:hideMark/>
          </w:tcPr>
          <w:p w:rsidR="005A5DBD" w:rsidRPr="00DA62C9" w:rsidRDefault="005A5DBD" w:rsidP="004E690E">
            <w:pPr>
              <w:rPr>
                <w:rFonts w:ascii="Arial" w:hAnsi="Arial" w:cs="Arial"/>
                <w:b/>
                <w:bCs/>
                <w:sz w:val="20"/>
                <w:lang w:val="en-US" w:eastAsia="ko-KR"/>
              </w:rPr>
            </w:pPr>
            <w:r w:rsidRPr="00DA62C9">
              <w:rPr>
                <w:rFonts w:ascii="Arial" w:hAnsi="Arial" w:cs="Arial"/>
                <w:b/>
                <w:bCs/>
                <w:sz w:val="20"/>
                <w:lang w:val="en-US" w:eastAsia="ko-KR"/>
              </w:rPr>
              <w:t>Proposed Change</w:t>
            </w:r>
          </w:p>
        </w:tc>
        <w:tc>
          <w:tcPr>
            <w:tcW w:w="1087" w:type="pct"/>
            <w:hideMark/>
          </w:tcPr>
          <w:p w:rsidR="005A5DBD" w:rsidRPr="00DA62C9" w:rsidRDefault="005A5DBD" w:rsidP="004E690E">
            <w:pPr>
              <w:rPr>
                <w:rFonts w:ascii="Arial" w:hAnsi="Arial" w:cs="Arial"/>
                <w:b/>
                <w:bCs/>
                <w:sz w:val="20"/>
                <w:lang w:val="en-US" w:eastAsia="ko-KR"/>
              </w:rPr>
            </w:pPr>
            <w:r w:rsidRPr="00DA62C9">
              <w:rPr>
                <w:rFonts w:ascii="Arial" w:hAnsi="Arial" w:cs="Arial"/>
                <w:b/>
                <w:bCs/>
                <w:sz w:val="20"/>
                <w:lang w:val="en-US" w:eastAsia="ko-KR"/>
              </w:rPr>
              <w:t>Resolution</w:t>
            </w:r>
          </w:p>
        </w:tc>
      </w:tr>
      <w:tr w:rsidR="005A5DBD" w:rsidRPr="00DA62C9" w:rsidTr="004E690E">
        <w:trPr>
          <w:trHeight w:val="765"/>
        </w:trPr>
        <w:tc>
          <w:tcPr>
            <w:tcW w:w="345" w:type="pct"/>
            <w:hideMark/>
          </w:tcPr>
          <w:p w:rsidR="005A5DBD" w:rsidRDefault="005A5DBD" w:rsidP="005A5DB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3036</w:t>
            </w:r>
          </w:p>
          <w:p w:rsidR="005A5DBD" w:rsidRPr="00D66703" w:rsidRDefault="005A5DBD" w:rsidP="004E690E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32" w:type="pct"/>
            <w:hideMark/>
          </w:tcPr>
          <w:p w:rsidR="005A5DBD" w:rsidRDefault="005A5DBD" w:rsidP="005A5DB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200.48</w:t>
            </w:r>
          </w:p>
          <w:p w:rsidR="005A5DBD" w:rsidRPr="00D66703" w:rsidRDefault="005A5DBD" w:rsidP="004E690E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55" w:type="pct"/>
            <w:hideMark/>
          </w:tcPr>
          <w:p w:rsidR="005A5DBD" w:rsidRDefault="005A5DBD" w:rsidP="005A5D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22.4.4</w:t>
            </w:r>
          </w:p>
          <w:p w:rsidR="005A5DBD" w:rsidRPr="00D66703" w:rsidRDefault="005A5DBD" w:rsidP="004E690E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630" w:type="pct"/>
            <w:hideMark/>
          </w:tcPr>
          <w:p w:rsidR="005A5DBD" w:rsidRDefault="005A5DBD" w:rsidP="005A5D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From clause 8.6.1, the A-MPDU max length is set as 1 048 575 octects. I believe, that number needs to be populated in the Table 22-24 (VHT PHY Characteristics) </w:t>
            </w:r>
          </w:p>
          <w:p w:rsidR="005A5DBD" w:rsidRPr="00D66703" w:rsidRDefault="005A5DBD" w:rsidP="004E690E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051" w:type="pct"/>
            <w:hideMark/>
          </w:tcPr>
          <w:p w:rsidR="005A5DBD" w:rsidRPr="00D66703" w:rsidRDefault="005A5DBD" w:rsidP="004E690E">
            <w:pPr>
              <w:rPr>
                <w:rFonts w:ascii="Arial" w:hAnsi="Arial" w:cs="Arial"/>
                <w:sz w:val="20"/>
                <w:lang w:val="en-US"/>
              </w:rPr>
            </w:pPr>
            <w:r w:rsidRPr="005A5DBD">
              <w:rPr>
                <w:rFonts w:ascii="Arial" w:hAnsi="Arial" w:cs="Arial"/>
                <w:sz w:val="20"/>
              </w:rPr>
              <w:t>Add A-MPDU max length to Table22-24 VHT PHY Characteristics</w:t>
            </w:r>
          </w:p>
        </w:tc>
        <w:tc>
          <w:tcPr>
            <w:tcW w:w="1087" w:type="pct"/>
            <w:hideMark/>
          </w:tcPr>
          <w:p w:rsidR="005A5DBD" w:rsidRPr="00DA62C9" w:rsidRDefault="005A5DBD" w:rsidP="004E690E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ACCEPT IN PRINCIPLE. See </w:t>
            </w:r>
            <w:r w:rsidR="006A5472">
              <w:rPr>
                <w:rFonts w:ascii="Arial" w:hAnsi="Arial" w:cs="Arial"/>
                <w:sz w:val="20"/>
                <w:lang w:val="en-US"/>
              </w:rPr>
              <w:t>11/1379</w:t>
            </w:r>
            <w:r>
              <w:rPr>
                <w:rFonts w:ascii="Arial" w:hAnsi="Arial" w:cs="Arial"/>
                <w:sz w:val="20"/>
                <w:lang w:val="en-US"/>
              </w:rPr>
              <w:t>r0.</w:t>
            </w:r>
          </w:p>
        </w:tc>
      </w:tr>
    </w:tbl>
    <w:p w:rsidR="005A5DBD" w:rsidRDefault="005A5DBD"/>
    <w:p w:rsidR="000044A6" w:rsidRDefault="005A5DBD">
      <w:pPr>
        <w:rPr>
          <w:b/>
        </w:rPr>
      </w:pPr>
      <w:r>
        <w:rPr>
          <w:b/>
        </w:rPr>
        <w:t>Discussion</w:t>
      </w:r>
    </w:p>
    <w:p w:rsidR="005A5DBD" w:rsidRDefault="005A5DBD">
      <w:pPr>
        <w:rPr>
          <w:b/>
        </w:rPr>
      </w:pPr>
    </w:p>
    <w:p w:rsidR="005A5DBD" w:rsidRDefault="009E5F3A">
      <w:r>
        <w:rPr>
          <w:rFonts w:hint="eastAsia"/>
          <w:lang w:eastAsia="ko-KR"/>
        </w:rPr>
        <w:t>The following editor</w:t>
      </w:r>
      <w:r>
        <w:rPr>
          <w:lang w:eastAsia="ko-KR"/>
        </w:rPr>
        <w:t>’</w:t>
      </w:r>
      <w:r>
        <w:rPr>
          <w:rFonts w:hint="eastAsia"/>
          <w:lang w:eastAsia="ko-KR"/>
        </w:rPr>
        <w:t>s note captures discussion on this CID in a previous TGac meeting</w:t>
      </w:r>
      <w:r w:rsidR="005A5DBD">
        <w:t>:</w:t>
      </w:r>
    </w:p>
    <w:p w:rsidR="005A5DBD" w:rsidRDefault="005A5DBD"/>
    <w:p w:rsidR="005A5DBD" w:rsidRDefault="005A5DBD" w:rsidP="005A5DBD">
      <w:pPr>
        <w:ind w:left="720"/>
      </w:pPr>
      <w:r>
        <w:t>“The parameters are listed in 19-25 unless otherwise listed here. Table 19-25 includes aPSDUMaxLength set to 65535. So there is an issue: aPSDUMaxLength needs a different value. However, I am not sure that value is 1048575 since that (as you point out) is the max A-MPDU pre-EOF padding length and not the max PSDU length (which may contain EOF padding).”</w:t>
      </w:r>
    </w:p>
    <w:p w:rsidR="005A5DBD" w:rsidRDefault="005A5DBD"/>
    <w:p w:rsidR="005B6EA7" w:rsidRDefault="005A5DBD" w:rsidP="005B6EA7">
      <w:r>
        <w:t xml:space="preserve">We probably shouldn’t add A-MPDU max length </w:t>
      </w:r>
      <w:r w:rsidR="005B6EA7">
        <w:t xml:space="preserve">to a PHY table, but instead follow the suggestion of </w:t>
      </w:r>
      <w:r w:rsidR="009E5F3A">
        <w:rPr>
          <w:rFonts w:hint="eastAsia"/>
          <w:lang w:eastAsia="ko-KR"/>
        </w:rPr>
        <w:t>this previous discussion</w:t>
      </w:r>
      <w:r w:rsidR="005B6EA7">
        <w:t xml:space="preserve"> to change the value for aPSDUMaxLength. </w:t>
      </w:r>
      <w:r w:rsidR="005B6EA7" w:rsidRPr="005B6EA7">
        <w:t xml:space="preserve">An interesting question is where we should base aPSDUMaxLength on. </w:t>
      </w:r>
      <w:r w:rsidR="005B6EA7">
        <w:t>Probably</w:t>
      </w:r>
      <w:r w:rsidR="005B6EA7" w:rsidRPr="005B6EA7">
        <w:t xml:space="preserve"> we should base it on the VHT-SIG-B length, which is optional to decode for SU, but the transmitter should still adhere to its length limits. Note, however, that it is different for SU and MU, and it is a function of BW.</w:t>
      </w:r>
      <w:r w:rsidR="005B6EA7">
        <w:t xml:space="preserve"> Moreover, L-SIG may put further restrictions on the max length. So </w:t>
      </w:r>
      <w:r w:rsidR="005B6EA7" w:rsidRPr="005B6EA7">
        <w:t xml:space="preserve">we </w:t>
      </w:r>
      <w:r w:rsidR="001A05BB">
        <w:t xml:space="preserve">also </w:t>
      </w:r>
      <w:r w:rsidR="005B6EA7" w:rsidRPr="005B6EA7">
        <w:t xml:space="preserve">need to take into account the aPPDUMaxTime. </w:t>
      </w:r>
      <w:r w:rsidR="00857E39">
        <w:t>1504 of 150</w:t>
      </w:r>
      <w:r w:rsidR="00447C5A">
        <w:t>6</w:t>
      </w:r>
      <w:r w:rsidR="005B6EA7" w:rsidRPr="005B6EA7">
        <w:t xml:space="preserve"> SGI symbols fit into </w:t>
      </w:r>
      <w:r w:rsidR="005B6EA7">
        <w:t>aPPD</w:t>
      </w:r>
      <w:r w:rsidR="00857E39">
        <w:t xml:space="preserve">UMaxTime minus preamble overhead for </w:t>
      </w:r>
      <w:r w:rsidR="009E5F3A">
        <w:rPr>
          <w:rFonts w:hint="eastAsia"/>
          <w:lang w:eastAsia="ko-KR"/>
        </w:rPr>
        <w:t>8 VHT-LTF symbols (8ss SU transmission) and 6 VHT-LTF symbols (MU transmission with two users, with one user using 4ss and another user using 1ss)</w:t>
      </w:r>
      <w:r w:rsidR="00857E39">
        <w:t>, respectively</w:t>
      </w:r>
      <w:r w:rsidR="005B6EA7">
        <w:t>. From this we get (noting that MCS9 is not valid in 20 MHz Nss=4/8):</w:t>
      </w:r>
    </w:p>
    <w:p w:rsidR="005B6EA7" w:rsidRDefault="005B6EA7" w:rsidP="005B6EA7"/>
    <w:p w:rsidR="005B6EA7" w:rsidRDefault="005B6EA7" w:rsidP="005B6EA7">
      <w:r>
        <w:t xml:space="preserve">aPSDUMaxLength for SU PPDUs with a bandwidth of 20 MHz is (2^17 – 1)*4 = min(524284, </w:t>
      </w:r>
      <w:r w:rsidR="00857E39" w:rsidRPr="00857E39">
        <w:t>469248</w:t>
      </w:r>
      <w:r>
        <w:t xml:space="preserve">) = </w:t>
      </w:r>
      <w:r w:rsidR="00857E39" w:rsidRPr="00857E39">
        <w:t>469248</w:t>
      </w:r>
    </w:p>
    <w:p w:rsidR="005B6EA7" w:rsidRDefault="005B6EA7" w:rsidP="005B6EA7">
      <w:r>
        <w:t xml:space="preserve">aPSDUMaxLength for SU PPDUs with a bandwidth of 40 MHz is (2^19 – 1)*4 = min(2097148, </w:t>
      </w:r>
      <w:r w:rsidR="00857E39" w:rsidRPr="00857E39">
        <w:t>1082880</w:t>
      </w:r>
      <w:r w:rsidR="00857E39">
        <w:t xml:space="preserve">) = </w:t>
      </w:r>
      <w:r w:rsidR="00857E39" w:rsidRPr="00857E39">
        <w:t>1082880</w:t>
      </w:r>
    </w:p>
    <w:p w:rsidR="005B6EA7" w:rsidRDefault="005B6EA7" w:rsidP="005B6EA7">
      <w:r>
        <w:t xml:space="preserve">aPSDUMaxLength for SU PPDUs with a bandwidth of 80 MHz is (2^21 – 1)*4 = min(8388604, </w:t>
      </w:r>
      <w:r w:rsidR="00857E39" w:rsidRPr="00857E39">
        <w:t>2346240</w:t>
      </w:r>
      <w:r>
        <w:t xml:space="preserve">) = </w:t>
      </w:r>
      <w:r w:rsidR="00857E39" w:rsidRPr="00857E39">
        <w:t>2346240</w:t>
      </w:r>
    </w:p>
    <w:p w:rsidR="005B6EA7" w:rsidRDefault="005B6EA7" w:rsidP="005B6EA7">
      <w:r>
        <w:t xml:space="preserve">aPSDUMaxLength for SU PPDUs with a bandwidth of 160/80+80 MHz is (2^21 – 1)*4 = min(8388604, </w:t>
      </w:r>
      <w:r w:rsidR="00857E39" w:rsidRPr="00857E39">
        <w:t>4692480</w:t>
      </w:r>
      <w:r>
        <w:t xml:space="preserve">) = </w:t>
      </w:r>
      <w:r w:rsidR="00857E39" w:rsidRPr="00857E39">
        <w:t>4692480</w:t>
      </w:r>
    </w:p>
    <w:p w:rsidR="005B6EA7" w:rsidRDefault="005B6EA7" w:rsidP="005B6EA7">
      <w:r>
        <w:t xml:space="preserve">aPSDUMaxLength for MU PPDUs with a bandwidth of 20 MHz is (2^16 – 1)*4 = min(262140, </w:t>
      </w:r>
      <w:r w:rsidR="009E5F3A">
        <w:rPr>
          <w:rFonts w:hint="eastAsia"/>
          <w:lang w:eastAsia="ko-KR"/>
        </w:rPr>
        <w:t>234936</w:t>
      </w:r>
      <w:r>
        <w:t xml:space="preserve">) = </w:t>
      </w:r>
      <w:r w:rsidR="00857E39" w:rsidRPr="00857E39">
        <w:t>235248</w:t>
      </w:r>
    </w:p>
    <w:p w:rsidR="005B6EA7" w:rsidRDefault="005B6EA7" w:rsidP="005B6EA7">
      <w:r>
        <w:t xml:space="preserve">aPSDUMaxLength for MU PPDUs with a bandwidth of 40 MHz is (2^17 – 1)*4 = min(524284, </w:t>
      </w:r>
      <w:r w:rsidR="009E5F3A">
        <w:rPr>
          <w:rFonts w:hint="eastAsia"/>
          <w:lang w:eastAsia="ko-KR"/>
        </w:rPr>
        <w:t>524284</w:t>
      </w:r>
      <w:r>
        <w:t>) = 524284</w:t>
      </w:r>
    </w:p>
    <w:p w:rsidR="005B6EA7" w:rsidRDefault="005B6EA7" w:rsidP="005B6EA7">
      <w:r>
        <w:t xml:space="preserve">aPSDUMaxLength for MU PPDUs with a bandwidth of 80 MHz is (2^19 – 1)*4 = min(2097148, </w:t>
      </w:r>
      <w:r w:rsidR="009E5F3A">
        <w:rPr>
          <w:rFonts w:hint="eastAsia"/>
          <w:lang w:eastAsia="ko-KR"/>
        </w:rPr>
        <w:t>1174680</w:t>
      </w:r>
      <w:r>
        <w:t xml:space="preserve">) = </w:t>
      </w:r>
      <w:r w:rsidR="005E11E5" w:rsidRPr="005E11E5">
        <w:t>1176240</w:t>
      </w:r>
    </w:p>
    <w:p w:rsidR="005A5DBD" w:rsidRPr="005A5DBD" w:rsidRDefault="005B6EA7" w:rsidP="005B6EA7">
      <w:r>
        <w:t xml:space="preserve">aPSDUMaxLength for MU PPDUs with a bandwidth of 160/80+80 MHz is (2^19 – 1)*4 = min(2097148, </w:t>
      </w:r>
      <w:r w:rsidR="009E5F3A">
        <w:rPr>
          <w:rFonts w:hint="eastAsia"/>
          <w:lang w:eastAsia="ko-KR"/>
        </w:rPr>
        <w:t>2349360</w:t>
      </w:r>
      <w:r>
        <w:t>) = 2097148</w:t>
      </w:r>
    </w:p>
    <w:p w:rsidR="005A5DBD" w:rsidRDefault="005A5DBD"/>
    <w:p w:rsidR="005B6EA7" w:rsidRDefault="005B6EA7">
      <w:r>
        <w:t xml:space="preserve">The maximum of these values is </w:t>
      </w:r>
      <w:r w:rsidR="00857E39" w:rsidRPr="00857E39">
        <w:t>4692480</w:t>
      </w:r>
      <w:r>
        <w:t>, so that is suggested as aPSDUMaxLength.</w:t>
      </w:r>
    </w:p>
    <w:p w:rsidR="005B6EA7" w:rsidRDefault="005B6EA7"/>
    <w:p w:rsidR="005B6EA7" w:rsidRDefault="005B6EA7">
      <w:pPr>
        <w:rPr>
          <w:b/>
        </w:rPr>
      </w:pPr>
      <w:r>
        <w:rPr>
          <w:b/>
        </w:rPr>
        <w:t>Resolution</w:t>
      </w:r>
    </w:p>
    <w:p w:rsidR="005B6EA7" w:rsidRDefault="005B6EA7">
      <w:pPr>
        <w:rPr>
          <w:b/>
        </w:rPr>
      </w:pPr>
    </w:p>
    <w:p w:rsidR="005B6EA7" w:rsidRDefault="005B6EA7">
      <w:pPr>
        <w:rPr>
          <w:i/>
        </w:rPr>
      </w:pPr>
      <w:r>
        <w:rPr>
          <w:i/>
        </w:rPr>
        <w:t xml:space="preserve">Editor, please add the following entry </w:t>
      </w:r>
      <w:r w:rsidR="00B75814">
        <w:rPr>
          <w:i/>
        </w:rPr>
        <w:t xml:space="preserve">and note </w:t>
      </w:r>
      <w:r>
        <w:rPr>
          <w:i/>
        </w:rPr>
        <w:t>to table 22-24 - VHT PHY characteristics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8"/>
        <w:gridCol w:w="4788"/>
      </w:tblGrid>
      <w:tr w:rsidR="005B6EA7" w:rsidTr="00E51A5D">
        <w:tc>
          <w:tcPr>
            <w:tcW w:w="4788" w:type="dxa"/>
          </w:tcPr>
          <w:p w:rsidR="005B6EA7" w:rsidRPr="00B75814" w:rsidRDefault="005B6EA7" w:rsidP="00E51A5D">
            <w:pPr>
              <w:jc w:val="center"/>
            </w:pPr>
            <w:r>
              <w:lastRenderedPageBreak/>
              <w:t>aPSDUMaxLength</w:t>
            </w:r>
          </w:p>
        </w:tc>
        <w:tc>
          <w:tcPr>
            <w:tcW w:w="4788" w:type="dxa"/>
          </w:tcPr>
          <w:p w:rsidR="005B6EA7" w:rsidRDefault="00857E39" w:rsidP="00E51A5D">
            <w:pPr>
              <w:jc w:val="center"/>
            </w:pPr>
            <w:r w:rsidRPr="00857E39">
              <w:t>4692480</w:t>
            </w:r>
            <w:r w:rsidR="00B75814">
              <w:t xml:space="preserve"> (see NOTE)</w:t>
            </w:r>
          </w:p>
        </w:tc>
      </w:tr>
      <w:tr w:rsidR="00B75814" w:rsidTr="00E51A5D">
        <w:tc>
          <w:tcPr>
            <w:tcW w:w="9576" w:type="dxa"/>
            <w:gridSpan w:val="2"/>
          </w:tcPr>
          <w:p w:rsidR="00B75814" w:rsidRDefault="00B75814" w:rsidP="00E51A5D">
            <w:pPr>
              <w:tabs>
                <w:tab w:val="left" w:pos="2866"/>
              </w:tabs>
            </w:pPr>
            <w:r>
              <w:t xml:space="preserve">NOTE – this is the maximum </w:t>
            </w:r>
            <w:r w:rsidR="00937450">
              <w:t xml:space="preserve">length in octets </w:t>
            </w:r>
            <w:r>
              <w:t>for SU PPDUs with a bandwidth of 160/80+80 MHz</w:t>
            </w:r>
            <w:r w:rsidR="00937450">
              <w:t xml:space="preserve">, MCS9, and 8 spatial streams, limited by </w:t>
            </w:r>
            <w:r w:rsidR="008E1B15">
              <w:t>1504 pos</w:t>
            </w:r>
            <w:bookmarkStart w:id="0" w:name="_GoBack"/>
            <w:bookmarkEnd w:id="0"/>
            <w:r w:rsidR="008E1B15">
              <w:t>sible Short GI data symbols in aPPDUMaxTime</w:t>
            </w:r>
            <w:r w:rsidR="00937450">
              <w:t>.</w:t>
            </w:r>
            <w:r>
              <w:t xml:space="preserve"> </w:t>
            </w:r>
          </w:p>
        </w:tc>
      </w:tr>
    </w:tbl>
    <w:p w:rsidR="005B6EA7" w:rsidRPr="005B6EA7" w:rsidRDefault="005B6EA7" w:rsidP="005E11E5"/>
    <w:sectPr w:rsidR="005B6EA7" w:rsidRPr="005B6EA7" w:rsidSect="00525C17">
      <w:headerReference w:type="default" r:id="rId13"/>
      <w:footerReference w:type="default" r:id="rId14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28C1" w:rsidRDefault="007928C1">
      <w:r>
        <w:separator/>
      </w:r>
    </w:p>
  </w:endnote>
  <w:endnote w:type="continuationSeparator" w:id="0">
    <w:p w:rsidR="007928C1" w:rsidRDefault="007928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20B" w:rsidRDefault="00433478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0044A6">
        <w:t>Submission</w:t>
      </w:r>
    </w:fldSimple>
    <w:r w:rsidR="0029020B">
      <w:tab/>
      <w:t xml:space="preserve">page </w:t>
    </w:r>
    <w:r>
      <w:fldChar w:fldCharType="begin"/>
    </w:r>
    <w:r w:rsidR="00E07A8E">
      <w:instrText xml:space="preserve">page </w:instrText>
    </w:r>
    <w:r>
      <w:fldChar w:fldCharType="separate"/>
    </w:r>
    <w:r w:rsidR="001A05BB">
      <w:rPr>
        <w:noProof/>
      </w:rPr>
      <w:t>4</w:t>
    </w:r>
    <w:r>
      <w:rPr>
        <w:noProof/>
      </w:rPr>
      <w:fldChar w:fldCharType="end"/>
    </w:r>
    <w:r w:rsidR="0029020B">
      <w:tab/>
    </w:r>
    <w:fldSimple w:instr=" COMMENTS  \* MERGEFORMAT ">
      <w:r w:rsidR="000044A6">
        <w:t>Allert van Zest, Qualcomm</w:t>
      </w:r>
    </w:fldSimple>
  </w:p>
  <w:p w:rsidR="0029020B" w:rsidRDefault="0029020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28C1" w:rsidRDefault="007928C1">
      <w:r>
        <w:separator/>
      </w:r>
    </w:p>
  </w:footnote>
  <w:footnote w:type="continuationSeparator" w:id="0">
    <w:p w:rsidR="007928C1" w:rsidRDefault="007928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20B" w:rsidRDefault="00433478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0044A6">
        <w:t>October 2011</w:t>
      </w:r>
    </w:fldSimple>
    <w:r w:rsidR="0029020B">
      <w:tab/>
    </w:r>
    <w:r w:rsidR="0029020B">
      <w:tab/>
    </w:r>
    <w:fldSimple w:instr=" TITLE  \* MERGEFORMAT ">
      <w:r w:rsidR="000044A6">
        <w:t>doc.: IEEE 802.11-</w:t>
      </w:r>
      <w:r w:rsidR="000F4342">
        <w:t>11</w:t>
      </w:r>
      <w:r w:rsidR="000044A6">
        <w:t>/</w:t>
      </w:r>
      <w:r w:rsidR="000F4342">
        <w:t>1379</w:t>
      </w:r>
      <w:r w:rsidR="000044A6">
        <w:t>r0</w:t>
      </w:r>
    </w:fldSimple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intFractionalCharacterWidth/>
  <w:mirrorMargins/>
  <w:hideSpellingErrors/>
  <w:attachedTemplate r:id="rId1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0718E"/>
    <w:rsid w:val="000044A6"/>
    <w:rsid w:val="000F4342"/>
    <w:rsid w:val="00197878"/>
    <w:rsid w:val="001A05BB"/>
    <w:rsid w:val="001D723B"/>
    <w:rsid w:val="00203BFE"/>
    <w:rsid w:val="0029020B"/>
    <w:rsid w:val="002D44BE"/>
    <w:rsid w:val="00433478"/>
    <w:rsid w:val="00442037"/>
    <w:rsid w:val="00447C5A"/>
    <w:rsid w:val="00525C17"/>
    <w:rsid w:val="005A5DBD"/>
    <w:rsid w:val="005B6EA7"/>
    <w:rsid w:val="005E11E5"/>
    <w:rsid w:val="0062440B"/>
    <w:rsid w:val="006A5472"/>
    <w:rsid w:val="006C0727"/>
    <w:rsid w:val="006C399A"/>
    <w:rsid w:val="006E145F"/>
    <w:rsid w:val="0070718E"/>
    <w:rsid w:val="00770572"/>
    <w:rsid w:val="007928C1"/>
    <w:rsid w:val="00857E39"/>
    <w:rsid w:val="008E1B15"/>
    <w:rsid w:val="00937450"/>
    <w:rsid w:val="009E5C10"/>
    <w:rsid w:val="009E5F3A"/>
    <w:rsid w:val="00A07C5B"/>
    <w:rsid w:val="00A82F6F"/>
    <w:rsid w:val="00AA427C"/>
    <w:rsid w:val="00B75814"/>
    <w:rsid w:val="00BB06EF"/>
    <w:rsid w:val="00BE68C2"/>
    <w:rsid w:val="00C67C8C"/>
    <w:rsid w:val="00CA09B2"/>
    <w:rsid w:val="00CA7F9A"/>
    <w:rsid w:val="00DC5A7B"/>
    <w:rsid w:val="00E07A8E"/>
    <w:rsid w:val="00E51A5D"/>
    <w:rsid w:val="00ED2FAC"/>
    <w:rsid w:val="00EE2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5C17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525C17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525C17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525C17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525C17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525C17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525C17"/>
    <w:pPr>
      <w:jc w:val="center"/>
    </w:pPr>
    <w:rPr>
      <w:b/>
      <w:sz w:val="28"/>
    </w:rPr>
  </w:style>
  <w:style w:type="paragraph" w:customStyle="1" w:styleId="T2">
    <w:name w:val="T2"/>
    <w:basedOn w:val="T1"/>
    <w:rsid w:val="00525C17"/>
    <w:pPr>
      <w:spacing w:after="240"/>
      <w:ind w:left="720" w:right="720"/>
    </w:pPr>
  </w:style>
  <w:style w:type="paragraph" w:customStyle="1" w:styleId="T3">
    <w:name w:val="T3"/>
    <w:basedOn w:val="T1"/>
    <w:rsid w:val="00525C17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525C17"/>
    <w:pPr>
      <w:ind w:left="720" w:hanging="720"/>
    </w:pPr>
  </w:style>
  <w:style w:type="character" w:styleId="Hyperlink">
    <w:name w:val="Hyperlink"/>
    <w:basedOn w:val="DefaultParagraphFont"/>
    <w:rsid w:val="00525C17"/>
    <w:rPr>
      <w:color w:val="0000FF"/>
      <w:u w:val="single"/>
    </w:rPr>
  </w:style>
  <w:style w:type="table" w:styleId="TableGrid">
    <w:name w:val="Table Grid"/>
    <w:basedOn w:val="TableNormal"/>
    <w:rsid w:val="005B6E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basedOn w:val="DefaultParagraphFont"/>
    <w:rPr>
      <w:color w:val="0000FF"/>
      <w:u w:val="single"/>
    </w:rPr>
  </w:style>
  <w:style w:type="table" w:styleId="TableGrid">
    <w:name w:val="Table Grid"/>
    <w:basedOn w:val="TableNormal"/>
    <w:rsid w:val="005B6E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9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ouhan.kim@qca.qualcomm.com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llert@qaulcomm.com" TargetMode="External"/><Relationship Id="rId12" Type="http://schemas.openxmlformats.org/officeDocument/2006/relationships/oleObject" Target="embeddings/oleObject2.bin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1.wmf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lert\Documents\IEEE\Submission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34FF8-5233-4A5B-BAD4-4CB1B3F90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19</TotalTime>
  <Pages>1</Pages>
  <Words>800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5356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802.11-11/1379r0</dc:title>
  <dc:subject>Submission</dc:subject>
  <dc:creator>Allert van Zelst</dc:creator>
  <cp:keywords>October 2011</cp:keywords>
  <dc:description>Allert van Zelst, Qualcomm</dc:description>
  <cp:lastModifiedBy>Allert van Zelst</cp:lastModifiedBy>
  <cp:revision>7</cp:revision>
  <cp:lastPrinted>2011-10-12T15:21:00Z</cp:lastPrinted>
  <dcterms:created xsi:type="dcterms:W3CDTF">2011-10-13T07:48:00Z</dcterms:created>
  <dcterms:modified xsi:type="dcterms:W3CDTF">2011-10-20T11:57:00Z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1190157387</vt:i4>
  </property>
  <property fmtid="{D5CDD505-2E9C-101B-9397-08002B2CF9AE}" pid="3" name="_NewReviewCycle">
    <vt:lpwstr/>
  </property>
  <property fmtid="{D5CDD505-2E9C-101B-9397-08002B2CF9AE}" pid="4" name="_EmailSubject">
    <vt:lpwstr>Resolutions to Miscellaneous PHY Comments</vt:lpwstr>
  </property>
  <property fmtid="{D5CDD505-2E9C-101B-9397-08002B2CF9AE}" pid="5" name="_AuthorEmail">
    <vt:lpwstr>allert@qualcomm.com</vt:lpwstr>
  </property>
  <property fmtid="{D5CDD505-2E9C-101B-9397-08002B2CF9AE}" pid="6" name="_AuthorEmailDisplayName">
    <vt:lpwstr>Van Zelst, Allert</vt:lpwstr>
  </property>
  <property fmtid="{D5CDD505-2E9C-101B-9397-08002B2CF9AE}" pid="7" name="_ReviewingToolsShownOnce">
    <vt:lpwstr/>
  </property>
</Properties>
</file>