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D701" w14:textId="77777777"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3969"/>
        <w:gridCol w:w="1559"/>
        <w:gridCol w:w="1530"/>
      </w:tblGrid>
      <w:tr w:rsidR="00F64569" w:rsidRPr="00F354EC" w14:paraId="2A52D543" w14:textId="77777777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921596" w14:textId="776C713E" w:rsidR="00F64569" w:rsidRPr="0056577C" w:rsidRDefault="00963967" w:rsidP="004724A5">
            <w:pPr>
              <w:pStyle w:val="T2"/>
            </w:pPr>
            <w:r>
              <w:t>CID 13300</w:t>
            </w:r>
            <w:r w:rsidR="00A3673C">
              <w:t xml:space="preserve"> </w:t>
            </w:r>
          </w:p>
        </w:tc>
      </w:tr>
      <w:tr w:rsidR="00F64569" w:rsidRPr="00F354EC" w14:paraId="25C8E469" w14:textId="77777777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CC46E7" w14:textId="5BE42802"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</w:t>
            </w:r>
            <w:r w:rsidR="00115BF1">
              <w:rPr>
                <w:b w:val="0"/>
                <w:sz w:val="20"/>
                <w:lang w:eastAsia="ko-KR"/>
              </w:rPr>
              <w:t>9</w:t>
            </w:r>
          </w:p>
        </w:tc>
      </w:tr>
      <w:tr w:rsidR="00F64569" w:rsidRPr="00F354EC" w14:paraId="46FBBA29" w14:textId="77777777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EF577A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14:paraId="5B28CB12" w14:textId="77777777" w:rsidTr="00354BCC">
        <w:trPr>
          <w:jc w:val="center"/>
        </w:trPr>
        <w:tc>
          <w:tcPr>
            <w:tcW w:w="1336" w:type="dxa"/>
            <w:vAlign w:val="center"/>
          </w:tcPr>
          <w:p w14:paraId="4221A4BD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14:paraId="1FB9CB71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14:paraId="35BE6D4B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65739569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14:paraId="1E37BBB5" w14:textId="77777777"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14:paraId="58D5823B" w14:textId="77777777" w:rsidTr="00354BCC">
        <w:trPr>
          <w:jc w:val="center"/>
        </w:trPr>
        <w:tc>
          <w:tcPr>
            <w:tcW w:w="1336" w:type="dxa"/>
            <w:vAlign w:val="center"/>
          </w:tcPr>
          <w:p w14:paraId="470353D8" w14:textId="77777777" w:rsidR="00F64569" w:rsidRPr="0056577C" w:rsidRDefault="003B1CAA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vAlign w:val="center"/>
          </w:tcPr>
          <w:p w14:paraId="65B46B4B" w14:textId="77777777" w:rsidR="00F64569" w:rsidRPr="0056577C" w:rsidRDefault="003B1CAA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969" w:type="dxa"/>
            <w:vAlign w:val="center"/>
          </w:tcPr>
          <w:p w14:paraId="558516AE" w14:textId="77777777" w:rsidR="00F64569" w:rsidRPr="0056577C" w:rsidRDefault="003B1CAA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Straatweg 66-s, Breukelen, the Netherlands</w:t>
            </w:r>
          </w:p>
        </w:tc>
        <w:tc>
          <w:tcPr>
            <w:tcW w:w="1559" w:type="dxa"/>
            <w:vAlign w:val="center"/>
          </w:tcPr>
          <w:p w14:paraId="6DC3E368" w14:textId="48B4BD58" w:rsidR="00F64569" w:rsidRPr="0056577C" w:rsidRDefault="003B1CAA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</w:t>
            </w:r>
            <w:r w:rsidR="00115BF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51836231</w:t>
            </w:r>
          </w:p>
        </w:tc>
        <w:tc>
          <w:tcPr>
            <w:tcW w:w="1530" w:type="dxa"/>
            <w:vAlign w:val="center"/>
          </w:tcPr>
          <w:p w14:paraId="0EF7F097" w14:textId="77777777" w:rsidR="00F64569" w:rsidRPr="0056577C" w:rsidRDefault="003B1CAA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mwentink@qualcomm.com</w:t>
            </w:r>
          </w:p>
        </w:tc>
      </w:tr>
    </w:tbl>
    <w:p w14:paraId="19137087" w14:textId="77777777" w:rsidR="00672532" w:rsidRDefault="00672532" w:rsidP="007D6459"/>
    <w:p w14:paraId="72CBD10C" w14:textId="77777777" w:rsidR="007D6459" w:rsidRDefault="007D6459" w:rsidP="007D6459"/>
    <w:p w14:paraId="19D0AFD4" w14:textId="77777777" w:rsidR="00F64569" w:rsidRPr="003608C1" w:rsidRDefault="00F64569" w:rsidP="003608C1">
      <w:pPr>
        <w:rPr>
          <w:b/>
        </w:rPr>
      </w:pPr>
      <w:r w:rsidRPr="003608C1">
        <w:rPr>
          <w:b/>
        </w:rPr>
        <w:t>Abstract</w:t>
      </w:r>
    </w:p>
    <w:p w14:paraId="2E8F431A" w14:textId="283D0F22" w:rsidR="00DF4C74" w:rsidRDefault="00F64569" w:rsidP="007D6459">
      <w:r w:rsidRPr="001D5A68">
        <w:t xml:space="preserve">This document provides </w:t>
      </w:r>
      <w:r w:rsidR="00DF4C74">
        <w:t xml:space="preserve">a proposed </w:t>
      </w:r>
      <w:r w:rsidRPr="001D5A68">
        <w:t>resoluti</w:t>
      </w:r>
      <w:r w:rsidR="00DF4C74">
        <w:t>on for CID 13300</w:t>
      </w:r>
      <w:r w:rsidR="00963967">
        <w:t xml:space="preserve"> on the Revmb sponsor ballot.</w:t>
      </w:r>
    </w:p>
    <w:p w14:paraId="497A4592" w14:textId="77777777" w:rsidR="007D6459" w:rsidRDefault="007D6459" w:rsidP="007D6459"/>
    <w:p w14:paraId="4A59FA01" w14:textId="66C82B96" w:rsidR="007477E7" w:rsidRDefault="00963967" w:rsidP="007D6459">
      <w:pPr>
        <w:rPr>
          <w:b/>
        </w:rPr>
      </w:pPr>
      <w:r w:rsidRPr="003608C1">
        <w:rPr>
          <w:b/>
        </w:rPr>
        <w:t>Comment</w:t>
      </w:r>
    </w:p>
    <w:tbl>
      <w:tblPr>
        <w:tblW w:w="8954" w:type="dxa"/>
        <w:tblInd w:w="93" w:type="dxa"/>
        <w:tblLook w:val="04A0" w:firstRow="1" w:lastRow="0" w:firstColumn="1" w:lastColumn="0" w:noHBand="0" w:noVBand="1"/>
      </w:tblPr>
      <w:tblGrid>
        <w:gridCol w:w="774"/>
        <w:gridCol w:w="1038"/>
        <w:gridCol w:w="1051"/>
        <w:gridCol w:w="3048"/>
        <w:gridCol w:w="3043"/>
      </w:tblGrid>
      <w:tr w:rsidR="00963967" w:rsidRPr="00963967" w14:paraId="1EFD71D8" w14:textId="77777777" w:rsidTr="00963967">
        <w:trPr>
          <w:trHeight w:val="48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3E81" w14:textId="77777777" w:rsidR="00963967" w:rsidRPr="00963967" w:rsidRDefault="00963967" w:rsidP="0096396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3967">
              <w:rPr>
                <w:rFonts w:ascii="Arial" w:eastAsia="Times New Roman" w:hAnsi="Arial" w:cs="Arial"/>
                <w:sz w:val="20"/>
                <w:szCs w:val="20"/>
              </w:rPr>
              <w:t>13300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B6A7" w14:textId="77777777" w:rsidR="00963967" w:rsidRPr="00963967" w:rsidRDefault="00963967" w:rsidP="0096396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3967">
              <w:rPr>
                <w:rFonts w:ascii="Arial" w:eastAsia="Times New Roman" w:hAnsi="Arial" w:cs="Arial"/>
                <w:sz w:val="20"/>
                <w:szCs w:val="20"/>
              </w:rPr>
              <w:t>1091.00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EBB3" w14:textId="77777777" w:rsidR="00963967" w:rsidRPr="00963967" w:rsidRDefault="00963967" w:rsidP="009639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3967">
              <w:rPr>
                <w:rFonts w:ascii="Arial" w:eastAsia="Times New Roman" w:hAnsi="Arial" w:cs="Arial"/>
                <w:sz w:val="20"/>
                <w:szCs w:val="20"/>
              </w:rPr>
              <w:t>10.22.6.3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213F" w14:textId="77777777" w:rsidR="00963967" w:rsidRPr="00963967" w:rsidRDefault="00963967" w:rsidP="009639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3967">
              <w:rPr>
                <w:rFonts w:ascii="Arial" w:eastAsia="Times New Roman" w:hAnsi="Arial" w:cs="Arial"/>
                <w:sz w:val="20"/>
                <w:szCs w:val="20"/>
              </w:rPr>
              <w:t xml:space="preserve">During Channel switch if the devices are in Power save and the buffered STA sets the EOSP=1, 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are the STA expected to remain in the off channel or switch to the base channel. The spec is 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unclear and could lead to interoperability issue as one STA may stay in off channel and the 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>other in base channel.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>Also a STA may enter Power save when it is in off channel.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3B36" w14:textId="77777777" w:rsidR="00963967" w:rsidRPr="00963967" w:rsidRDefault="00963967" w:rsidP="009639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>At the end of 10.22.6.3 (TDLS channel switching and power saving) add the following paragraphs: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>"A frame with EOSP=1 sent on an off-channel TDLS direct link by a STA that is not in power save mode on the TDLS direct link shall act as an unsolicited TDLS channel switch response frame at that STA."</w:t>
            </w:r>
            <w:r w:rsidRPr="00963967">
              <w:rPr>
                <w:rFonts w:ascii="Arial" w:eastAsia="Times New Roman" w:hAnsi="Arial" w:cs="Arial"/>
                <w:sz w:val="20"/>
                <w:szCs w:val="20"/>
              </w:rPr>
              <w:br/>
              <w:t>"A frame with PM=1 sent on an off-channel TDLS direct link to a STA that is not in power save mode on the TDLS direct link shall act as an unsolicited TDLS channel switch response frame at that STA."</w:t>
            </w:r>
          </w:p>
        </w:tc>
      </w:tr>
    </w:tbl>
    <w:p w14:paraId="0151643E" w14:textId="140471E6" w:rsidR="007477E7" w:rsidRDefault="00963967" w:rsidP="003608C1">
      <w:pPr>
        <w:rPr>
          <w:b/>
        </w:rPr>
      </w:pPr>
      <w:r>
        <w:rPr>
          <w:b/>
        </w:rPr>
        <w:t>Discussion</w:t>
      </w:r>
    </w:p>
    <w:p w14:paraId="3C58F717" w14:textId="1BF74FC2" w:rsidR="00963967" w:rsidRDefault="00155A23" w:rsidP="001E12EC">
      <w:r>
        <w:t>The</w:t>
      </w:r>
      <w:r w:rsidR="00963967">
        <w:t xml:space="preserve"> WFA has taken </w:t>
      </w:r>
      <w:r>
        <w:t xml:space="preserve">the direction </w:t>
      </w:r>
      <w:r w:rsidR="00963967">
        <w:t xml:space="preserve">that channel switching </w:t>
      </w:r>
      <w:r w:rsidR="009225E3">
        <w:t xml:space="preserve">may </w:t>
      </w:r>
      <w:r>
        <w:t>in the future be combined with Peer PSM, but</w:t>
      </w:r>
      <w:r w:rsidR="008B627D">
        <w:t xml:space="preserve"> it is</w:t>
      </w:r>
      <w:r>
        <w:t xml:space="preserve"> not </w:t>
      </w:r>
      <w:r w:rsidR="008B627D">
        <w:t xml:space="preserve">allowed in combination </w:t>
      </w:r>
      <w:r w:rsidR="00963967">
        <w:t>with Peer U-APSD, because the definition of Peer U-APSD mi</w:t>
      </w:r>
      <w:r w:rsidR="00397F02">
        <w:t>sses several implicit switch ba</w:t>
      </w:r>
      <w:r w:rsidR="00963967">
        <w:t>ck</w:t>
      </w:r>
      <w:r w:rsidR="009225E3">
        <w:t xml:space="preserve"> to the base channel conditions</w:t>
      </w:r>
      <w:r w:rsidR="00580361">
        <w:t>,</w:t>
      </w:r>
      <w:r w:rsidR="00963967">
        <w:t xml:space="preserve"> as indicated in the comment. Pe</w:t>
      </w:r>
      <w:r>
        <w:t>er PSM does not have this issue</w:t>
      </w:r>
      <w:r w:rsidR="00963967">
        <w:t xml:space="preserve"> because the next </w:t>
      </w:r>
      <w:r w:rsidR="005449B2">
        <w:t xml:space="preserve">wakeup window </w:t>
      </w:r>
      <w:r w:rsidR="00963967">
        <w:t>always happens on the channel where the direct link resides</w:t>
      </w:r>
      <w:r w:rsidR="00580361">
        <w:t xml:space="preserve"> based on channel switch request/response exchanges</w:t>
      </w:r>
      <w:r>
        <w:t>.</w:t>
      </w:r>
    </w:p>
    <w:p w14:paraId="2BF609FA" w14:textId="77777777" w:rsidR="004D05A7" w:rsidRDefault="004D05A7" w:rsidP="00963967"/>
    <w:p w14:paraId="2A7F51A0" w14:textId="3AF9A1C6" w:rsidR="007477E7" w:rsidRDefault="004D05A7" w:rsidP="00890606">
      <w:pPr>
        <w:keepNext/>
        <w:rPr>
          <w:b/>
        </w:rPr>
      </w:pPr>
      <w:r w:rsidRPr="003608C1">
        <w:rPr>
          <w:b/>
        </w:rPr>
        <w:lastRenderedPageBreak/>
        <w:t>Proposed Resolution</w:t>
      </w:r>
    </w:p>
    <w:p w14:paraId="219EEA2B" w14:textId="3EC5D045" w:rsidR="00564C86" w:rsidRDefault="00C732E1" w:rsidP="003608C1">
      <w:pPr>
        <w:keepNext/>
      </w:pPr>
      <w:r>
        <w:t>Replace the first paragraph of 10.22.6.</w:t>
      </w:r>
      <w:r w:rsidR="00564C86">
        <w:t>3</w:t>
      </w:r>
    </w:p>
    <w:p w14:paraId="716B3C51" w14:textId="77777777" w:rsidR="007477E7" w:rsidRDefault="007477E7" w:rsidP="003608C1">
      <w:pPr>
        <w:keepNext/>
      </w:pPr>
    </w:p>
    <w:p w14:paraId="0BE69165" w14:textId="463E18D7" w:rsidR="00564C86" w:rsidRDefault="00564C86" w:rsidP="003608C1">
      <w:pPr>
        <w:keepNext/>
      </w:pPr>
      <w:r>
        <w:t>"</w:t>
      </w:r>
      <w:r w:rsidRPr="00564C86">
        <w:rPr>
          <w:color w:val="000000"/>
          <w:sz w:val="19"/>
          <w:szCs w:val="19"/>
          <w:lang w:eastAsia="zh-CN"/>
        </w:rPr>
        <w:t xml:space="preserve"> </w:t>
      </w:r>
      <w:r w:rsidRPr="00564C86">
        <w:t>A TDLS direct link may be switched to an off-channel during a TLDS Peer U-APSD service period. When no active service period exists between two TDLS peer STAs, a new service period shall start on the base channel.</w:t>
      </w:r>
      <w:r>
        <w:t>"</w:t>
      </w:r>
    </w:p>
    <w:p w14:paraId="39F5E8EC" w14:textId="77777777" w:rsidR="007477E7" w:rsidRDefault="007477E7" w:rsidP="004D05A7">
      <w:pPr>
        <w:keepNext/>
      </w:pPr>
    </w:p>
    <w:p w14:paraId="304E8E68" w14:textId="77777777" w:rsidR="00564C86" w:rsidRDefault="00564C86" w:rsidP="00B52C1D">
      <w:r>
        <w:t>with</w:t>
      </w:r>
    </w:p>
    <w:p w14:paraId="29F580C6" w14:textId="77777777" w:rsidR="007477E7" w:rsidRDefault="007477E7" w:rsidP="00B52C1D"/>
    <w:p w14:paraId="25186C7F" w14:textId="50BA088B" w:rsidR="00C732E1" w:rsidRDefault="00B52C1D" w:rsidP="00B52C1D">
      <w:r>
        <w:t>"</w:t>
      </w:r>
      <w:r w:rsidRPr="00B52C1D">
        <w:t xml:space="preserve">A TDLS direct link </w:t>
      </w:r>
      <w:r>
        <w:t>shall not</w:t>
      </w:r>
      <w:r w:rsidRPr="00B52C1D">
        <w:t xml:space="preserve"> be switched to an off-channel during a </w:t>
      </w:r>
      <w:r>
        <w:t>TLDS Peer U-APSD service period".</w:t>
      </w:r>
    </w:p>
    <w:p w14:paraId="574BD1E3" w14:textId="77777777" w:rsidR="00564C86" w:rsidRPr="00963967" w:rsidRDefault="00564C86" w:rsidP="00B52C1D"/>
    <w:sectPr w:rsidR="00564C86" w:rsidRPr="00963967" w:rsidSect="00F043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16FB" w14:textId="77777777" w:rsidR="007477E7" w:rsidRDefault="007477E7" w:rsidP="00570894">
      <w:pPr>
        <w:spacing w:line="240" w:lineRule="auto"/>
      </w:pPr>
      <w:r>
        <w:separator/>
      </w:r>
    </w:p>
  </w:endnote>
  <w:endnote w:type="continuationSeparator" w:id="0">
    <w:p w14:paraId="70B21283" w14:textId="77777777" w:rsidR="007477E7" w:rsidRDefault="007477E7" w:rsidP="0057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35A1" w14:textId="77777777" w:rsidR="007477E7" w:rsidRDefault="007477E7" w:rsidP="003B1CAA">
    <w:pPr>
      <w:pStyle w:val="Footer"/>
      <w:jc w:val="right"/>
    </w:pPr>
    <w:r>
      <w:t>Menzo Wentink (Qualcomm)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A1E3" w14:textId="77777777" w:rsidR="007477E7" w:rsidRDefault="007477E7" w:rsidP="00570894">
      <w:pPr>
        <w:spacing w:line="240" w:lineRule="auto"/>
      </w:pPr>
      <w:r>
        <w:separator/>
      </w:r>
    </w:p>
  </w:footnote>
  <w:footnote w:type="continuationSeparator" w:id="0">
    <w:p w14:paraId="4F70E4FB" w14:textId="77777777" w:rsidR="007477E7" w:rsidRDefault="007477E7" w:rsidP="00570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8ECE" w14:textId="77777777" w:rsidR="007477E7" w:rsidRPr="00EA1AFC" w:rsidRDefault="007477E7" w:rsidP="00EA1AFC">
    <w:pPr>
      <w:pStyle w:val="Header"/>
      <w:tabs>
        <w:tab w:val="center" w:pos="4680"/>
        <w:tab w:val="right" w:pos="9360"/>
      </w:tabs>
      <w:jc w:val="both"/>
      <w:rPr>
        <w:sz w:val="28"/>
        <w:lang w:eastAsia="ko-KR"/>
      </w:rPr>
    </w:pPr>
    <w:r>
      <w:rPr>
        <w:sz w:val="28"/>
        <w:lang w:eastAsia="ko-KR"/>
      </w:rPr>
      <w:t>July</w:t>
    </w:r>
    <w:r>
      <w:rPr>
        <w:sz w:val="28"/>
      </w:rPr>
      <w:t xml:space="preserve"> 201</w:t>
    </w:r>
    <w:r>
      <w:rPr>
        <w:sz w:val="28"/>
        <w:lang w:eastAsia="ko-KR"/>
      </w:rPr>
      <w:t>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 w:rsidR="002B6507">
      <w:fldChar w:fldCharType="begin"/>
    </w:r>
    <w:r w:rsidR="002B6507">
      <w:instrText xml:space="preserve"> TITLE  \* MERGEFORMAT </w:instrText>
    </w:r>
    <w:r w:rsidR="002B6507">
      <w:fldChar w:fldCharType="separate"/>
    </w:r>
    <w:r w:rsidR="002B6507" w:rsidRPr="002B6507">
      <w:rPr>
        <w:sz w:val="28"/>
      </w:rPr>
      <w:t>IEEE P802.11-11/1044r0</w:t>
    </w:r>
    <w:r w:rsidR="002B6507">
      <w:rPr>
        <w:sz w:val="28"/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7"/>
  </w:num>
  <w:num w:numId="15">
    <w:abstractNumId w:val="15"/>
  </w:num>
  <w:num w:numId="16">
    <w:abstractNumId w:val="20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235"/>
    <w:rsid w:val="00010731"/>
    <w:rsid w:val="00010C58"/>
    <w:rsid w:val="00013E5D"/>
    <w:rsid w:val="000152AD"/>
    <w:rsid w:val="00017846"/>
    <w:rsid w:val="00020EA1"/>
    <w:rsid w:val="0002252C"/>
    <w:rsid w:val="000232B5"/>
    <w:rsid w:val="00024A8D"/>
    <w:rsid w:val="00026E2E"/>
    <w:rsid w:val="00057E73"/>
    <w:rsid w:val="000653B0"/>
    <w:rsid w:val="00075D76"/>
    <w:rsid w:val="00075DB4"/>
    <w:rsid w:val="00085460"/>
    <w:rsid w:val="0008550E"/>
    <w:rsid w:val="000A1E47"/>
    <w:rsid w:val="000A5BA8"/>
    <w:rsid w:val="000A7522"/>
    <w:rsid w:val="000B33D9"/>
    <w:rsid w:val="000B64B6"/>
    <w:rsid w:val="000B6D23"/>
    <w:rsid w:val="000C7235"/>
    <w:rsid w:val="000D4F93"/>
    <w:rsid w:val="000E557F"/>
    <w:rsid w:val="000F3168"/>
    <w:rsid w:val="00106985"/>
    <w:rsid w:val="001071A0"/>
    <w:rsid w:val="00111C55"/>
    <w:rsid w:val="0011520D"/>
    <w:rsid w:val="00115BF1"/>
    <w:rsid w:val="00116202"/>
    <w:rsid w:val="001400C2"/>
    <w:rsid w:val="001460F4"/>
    <w:rsid w:val="00152212"/>
    <w:rsid w:val="00155A23"/>
    <w:rsid w:val="00156D69"/>
    <w:rsid w:val="00160EE7"/>
    <w:rsid w:val="00164936"/>
    <w:rsid w:val="00167C65"/>
    <w:rsid w:val="00170631"/>
    <w:rsid w:val="0017171D"/>
    <w:rsid w:val="001825D2"/>
    <w:rsid w:val="001936DD"/>
    <w:rsid w:val="001A3B84"/>
    <w:rsid w:val="001A585B"/>
    <w:rsid w:val="001B591C"/>
    <w:rsid w:val="001C0C5D"/>
    <w:rsid w:val="001C2593"/>
    <w:rsid w:val="001D59F8"/>
    <w:rsid w:val="001D5A68"/>
    <w:rsid w:val="001E12EC"/>
    <w:rsid w:val="001F1597"/>
    <w:rsid w:val="001F243E"/>
    <w:rsid w:val="0020445C"/>
    <w:rsid w:val="00211F14"/>
    <w:rsid w:val="00220227"/>
    <w:rsid w:val="002306FB"/>
    <w:rsid w:val="002574E5"/>
    <w:rsid w:val="00257F63"/>
    <w:rsid w:val="00263DBE"/>
    <w:rsid w:val="002676F8"/>
    <w:rsid w:val="00281F60"/>
    <w:rsid w:val="002832BE"/>
    <w:rsid w:val="002B1CAC"/>
    <w:rsid w:val="002B6507"/>
    <w:rsid w:val="002C39B8"/>
    <w:rsid w:val="002D098C"/>
    <w:rsid w:val="002F4F6A"/>
    <w:rsid w:val="0030386C"/>
    <w:rsid w:val="003124D0"/>
    <w:rsid w:val="0031601B"/>
    <w:rsid w:val="0032047A"/>
    <w:rsid w:val="00331F7B"/>
    <w:rsid w:val="00344741"/>
    <w:rsid w:val="003528BC"/>
    <w:rsid w:val="00354BCC"/>
    <w:rsid w:val="003571B4"/>
    <w:rsid w:val="003608C1"/>
    <w:rsid w:val="003638DE"/>
    <w:rsid w:val="003768F2"/>
    <w:rsid w:val="00397F02"/>
    <w:rsid w:val="003A3016"/>
    <w:rsid w:val="003A4A7D"/>
    <w:rsid w:val="003B1CAA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775F"/>
    <w:rsid w:val="004A44DC"/>
    <w:rsid w:val="004A5C14"/>
    <w:rsid w:val="004A7250"/>
    <w:rsid w:val="004B0A09"/>
    <w:rsid w:val="004B440B"/>
    <w:rsid w:val="004B4625"/>
    <w:rsid w:val="004C1504"/>
    <w:rsid w:val="004C19A8"/>
    <w:rsid w:val="004C7E1F"/>
    <w:rsid w:val="004D05A7"/>
    <w:rsid w:val="004E54B2"/>
    <w:rsid w:val="004E7307"/>
    <w:rsid w:val="00501FC2"/>
    <w:rsid w:val="00506159"/>
    <w:rsid w:val="005227BC"/>
    <w:rsid w:val="00533083"/>
    <w:rsid w:val="005407E6"/>
    <w:rsid w:val="00544647"/>
    <w:rsid w:val="005449B2"/>
    <w:rsid w:val="00547B01"/>
    <w:rsid w:val="00552EBB"/>
    <w:rsid w:val="00555EA2"/>
    <w:rsid w:val="00564522"/>
    <w:rsid w:val="00564C86"/>
    <w:rsid w:val="0056577C"/>
    <w:rsid w:val="00570894"/>
    <w:rsid w:val="00580361"/>
    <w:rsid w:val="00583A5A"/>
    <w:rsid w:val="00587887"/>
    <w:rsid w:val="005911CD"/>
    <w:rsid w:val="0059776F"/>
    <w:rsid w:val="005A638B"/>
    <w:rsid w:val="005B1350"/>
    <w:rsid w:val="005B46ED"/>
    <w:rsid w:val="005C170B"/>
    <w:rsid w:val="005C547E"/>
    <w:rsid w:val="005F4B6F"/>
    <w:rsid w:val="005F7258"/>
    <w:rsid w:val="006011CF"/>
    <w:rsid w:val="0060167E"/>
    <w:rsid w:val="00603DFB"/>
    <w:rsid w:val="006164E0"/>
    <w:rsid w:val="00625D23"/>
    <w:rsid w:val="006360AA"/>
    <w:rsid w:val="006408A4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E13A7"/>
    <w:rsid w:val="006F0D42"/>
    <w:rsid w:val="006F4D1A"/>
    <w:rsid w:val="00706CF1"/>
    <w:rsid w:val="00706E67"/>
    <w:rsid w:val="00720196"/>
    <w:rsid w:val="00720872"/>
    <w:rsid w:val="0072374D"/>
    <w:rsid w:val="0072630C"/>
    <w:rsid w:val="0073326C"/>
    <w:rsid w:val="0073369D"/>
    <w:rsid w:val="007364A3"/>
    <w:rsid w:val="00737AA7"/>
    <w:rsid w:val="00747014"/>
    <w:rsid w:val="007477E7"/>
    <w:rsid w:val="00747EBE"/>
    <w:rsid w:val="0075347D"/>
    <w:rsid w:val="00756CB7"/>
    <w:rsid w:val="007613FD"/>
    <w:rsid w:val="00767A93"/>
    <w:rsid w:val="00775488"/>
    <w:rsid w:val="0078369F"/>
    <w:rsid w:val="007978CA"/>
    <w:rsid w:val="007A3955"/>
    <w:rsid w:val="007A40ED"/>
    <w:rsid w:val="007A54B0"/>
    <w:rsid w:val="007A6C81"/>
    <w:rsid w:val="007A7242"/>
    <w:rsid w:val="007D0FA6"/>
    <w:rsid w:val="007D2CFE"/>
    <w:rsid w:val="007D6459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ADC"/>
    <w:rsid w:val="008531EC"/>
    <w:rsid w:val="008658EF"/>
    <w:rsid w:val="008839EE"/>
    <w:rsid w:val="00886A6F"/>
    <w:rsid w:val="00890606"/>
    <w:rsid w:val="008A1449"/>
    <w:rsid w:val="008A52A9"/>
    <w:rsid w:val="008A54CF"/>
    <w:rsid w:val="008A5B17"/>
    <w:rsid w:val="008B490D"/>
    <w:rsid w:val="008B627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225E3"/>
    <w:rsid w:val="0093652B"/>
    <w:rsid w:val="00942D8E"/>
    <w:rsid w:val="00960223"/>
    <w:rsid w:val="00963718"/>
    <w:rsid w:val="00963967"/>
    <w:rsid w:val="00964BFB"/>
    <w:rsid w:val="00966B55"/>
    <w:rsid w:val="00970CDC"/>
    <w:rsid w:val="00980585"/>
    <w:rsid w:val="009818AE"/>
    <w:rsid w:val="009853D0"/>
    <w:rsid w:val="009907A9"/>
    <w:rsid w:val="009914F6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3F45"/>
    <w:rsid w:val="00A51EBF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F2806"/>
    <w:rsid w:val="00AF2FBC"/>
    <w:rsid w:val="00AF4CAB"/>
    <w:rsid w:val="00AF7ED9"/>
    <w:rsid w:val="00B107D6"/>
    <w:rsid w:val="00B151CD"/>
    <w:rsid w:val="00B20688"/>
    <w:rsid w:val="00B2769F"/>
    <w:rsid w:val="00B33C15"/>
    <w:rsid w:val="00B36DD3"/>
    <w:rsid w:val="00B42105"/>
    <w:rsid w:val="00B52C1D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C22A4"/>
    <w:rsid w:val="00BD3CB6"/>
    <w:rsid w:val="00BD4443"/>
    <w:rsid w:val="00BD6032"/>
    <w:rsid w:val="00BE3487"/>
    <w:rsid w:val="00BE391A"/>
    <w:rsid w:val="00BF209C"/>
    <w:rsid w:val="00C12EE2"/>
    <w:rsid w:val="00C164C2"/>
    <w:rsid w:val="00C20366"/>
    <w:rsid w:val="00C27FE4"/>
    <w:rsid w:val="00C40FB3"/>
    <w:rsid w:val="00C5021E"/>
    <w:rsid w:val="00C53CAC"/>
    <w:rsid w:val="00C66670"/>
    <w:rsid w:val="00C6747F"/>
    <w:rsid w:val="00C732E1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5C49"/>
    <w:rsid w:val="00CB7694"/>
    <w:rsid w:val="00CC2F08"/>
    <w:rsid w:val="00CE5333"/>
    <w:rsid w:val="00CE5373"/>
    <w:rsid w:val="00CE5ECF"/>
    <w:rsid w:val="00CE6C52"/>
    <w:rsid w:val="00CE7085"/>
    <w:rsid w:val="00CF24AB"/>
    <w:rsid w:val="00CF4437"/>
    <w:rsid w:val="00D0045F"/>
    <w:rsid w:val="00D040F1"/>
    <w:rsid w:val="00D1448A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7351"/>
    <w:rsid w:val="00D90D13"/>
    <w:rsid w:val="00D92C2C"/>
    <w:rsid w:val="00D92E40"/>
    <w:rsid w:val="00D944D9"/>
    <w:rsid w:val="00DB5043"/>
    <w:rsid w:val="00DB79A5"/>
    <w:rsid w:val="00DC2FE4"/>
    <w:rsid w:val="00DD6C25"/>
    <w:rsid w:val="00DF02FC"/>
    <w:rsid w:val="00DF4A28"/>
    <w:rsid w:val="00DF4C74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27EA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5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EC"/>
    <w:pPr>
      <w:spacing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line="240" w:lineRule="auto"/>
    </w:pPr>
    <w:rPr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line="240" w:lineRule="auto"/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FB3C-29A3-A543-B2AD-6F0F42D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1721</Characters>
  <Application>Microsoft Macintosh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P802.11-11/xxxxr0</vt:lpstr>
    </vt:vector>
  </TitlesOfParts>
  <Manager/>
  <Company>Qualcomm</Company>
  <LinksUpToDate>false</LinksUpToDate>
  <CharactersWithSpaces>2039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P802.11-11/1044r0</dc:title>
  <dc:subject/>
  <dc:creator>Menzo Wentink</dc:creator>
  <cp:keywords/>
  <dc:description/>
  <cp:lastModifiedBy>Menzo Wentink</cp:lastModifiedBy>
  <cp:revision>24</cp:revision>
  <dcterms:created xsi:type="dcterms:W3CDTF">2011-07-19T15:30:00Z</dcterms:created>
  <dcterms:modified xsi:type="dcterms:W3CDTF">2011-07-19T18:03:00Z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-1499906662</vt:i4>
  </property>
  <property fmtid="{D5CDD505-2E9C-101B-9397-08002B2CF9AE}" pid="3" name="_NewReviewCycle">
    <vt:lpwstr/>
  </property>
  <property fmtid="{D5CDD505-2E9C-101B-9397-08002B2CF9AE}" pid="4" name="_EmailSubject">
    <vt:lpwstr>PAID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</Properties>
</file>