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B71BD" w:rsidP="00331E46">
            <w:pPr>
              <w:pStyle w:val="T2"/>
            </w:pPr>
            <w:r>
              <w:t xml:space="preserve">Minutes From </w:t>
            </w:r>
            <w:r w:rsidR="00331E46">
              <w:t>June 22 Conference Call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F469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31E46">
              <w:rPr>
                <w:b w:val="0"/>
                <w:sz w:val="20"/>
              </w:rPr>
              <w:t xml:space="preserve">  2011-06</w:t>
            </w:r>
            <w:r>
              <w:rPr>
                <w:b w:val="0"/>
                <w:sz w:val="20"/>
              </w:rPr>
              <w:t>-</w:t>
            </w:r>
            <w:r w:rsidR="00331E46">
              <w:rPr>
                <w:b w:val="0"/>
                <w:sz w:val="20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DF46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D926D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F4691" w:rsidRPr="008367B2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926D9">
      <w:pPr>
        <w:pStyle w:val="T1"/>
        <w:spacing w:after="120"/>
        <w:rPr>
          <w:sz w:val="22"/>
        </w:rPr>
      </w:pPr>
      <w:r w:rsidRPr="00D926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F4691">
                  <w:pPr>
                    <w:jc w:val="both"/>
                  </w:pPr>
                  <w:r>
                    <w:t xml:space="preserve">This document contains the minutes of the </w:t>
                  </w:r>
                  <w:proofErr w:type="spellStart"/>
                  <w:r>
                    <w:t>TGae</w:t>
                  </w:r>
                  <w:proofErr w:type="spellEnd"/>
                  <w:r>
                    <w:t xml:space="preserve"> </w:t>
                  </w:r>
                  <w:r w:rsidR="00331E46">
                    <w:t>conference call</w:t>
                  </w:r>
                  <w:r>
                    <w:t xml:space="preserve"> held</w:t>
                  </w:r>
                  <w:r w:rsidR="00331E46">
                    <w:t xml:space="preserve"> on June 22, 2011,</w:t>
                  </w:r>
                  <w:r>
                    <w:t xml:space="preserve"> as recorded by the official secretary of </w:t>
                  </w:r>
                  <w:proofErr w:type="spellStart"/>
                  <w:r>
                    <w:t>TGae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DF4691" w:rsidRPr="00710846" w:rsidRDefault="00DF4691" w:rsidP="00DF4691">
      <w:pPr>
        <w:rPr>
          <w:b/>
          <w:u w:val="single"/>
        </w:rPr>
      </w:pPr>
      <w:r w:rsidRPr="00710846">
        <w:rPr>
          <w:b/>
          <w:u w:val="single"/>
        </w:rPr>
        <w:lastRenderedPageBreak/>
        <w:t xml:space="preserve">Minutes for </w:t>
      </w:r>
      <w:proofErr w:type="spellStart"/>
      <w:r w:rsidRPr="00710846">
        <w:rPr>
          <w:b/>
          <w:u w:val="single"/>
        </w:rPr>
        <w:t>TGae</w:t>
      </w:r>
      <w:proofErr w:type="spellEnd"/>
      <w:r w:rsidRPr="00710846">
        <w:rPr>
          <w:b/>
          <w:u w:val="single"/>
        </w:rPr>
        <w:t xml:space="preserve"> </w:t>
      </w:r>
      <w:r w:rsidR="008D1EFF">
        <w:rPr>
          <w:b/>
          <w:u w:val="single"/>
        </w:rPr>
        <w:t>June 22, 2011</w:t>
      </w:r>
    </w:p>
    <w:p w:rsidR="00DF4691" w:rsidRDefault="00DF4691" w:rsidP="00DF4691"/>
    <w:p w:rsidR="00DF4691" w:rsidRPr="004409FA" w:rsidRDefault="008D1EFF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08:09</w:t>
      </w:r>
      <w:r w:rsidR="00DF4691" w:rsidRPr="004409FA">
        <w:rPr>
          <w:b/>
          <w:u w:val="single"/>
        </w:rPr>
        <w:t xml:space="preserve"> AM </w:t>
      </w:r>
      <w:r>
        <w:rPr>
          <w:b/>
          <w:u w:val="single"/>
        </w:rPr>
        <w:t xml:space="preserve">PST </w:t>
      </w:r>
      <w:r w:rsidR="00DF4691" w:rsidRPr="004409FA">
        <w:rPr>
          <w:b/>
          <w:u w:val="single"/>
        </w:rPr>
        <w:t>– Chair calls meeting to order</w:t>
      </w:r>
    </w:p>
    <w:p w:rsidR="00DF4691" w:rsidRDefault="00DF4691" w:rsidP="00DF4691"/>
    <w:p w:rsidR="00DF4691" w:rsidRPr="00053243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Identification of officers and their affiliations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 identifies himself as Mike Montemurro, affiliated with Research in Motion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Secretary identifies himself as Matthew Fischer, affiliated with Broadcom Corporation</w:t>
      </w:r>
    </w:p>
    <w:p w:rsidR="008D1EFF" w:rsidRDefault="008D1EFF" w:rsidP="00DF4691">
      <w:pPr>
        <w:numPr>
          <w:ilvl w:val="1"/>
          <w:numId w:val="1"/>
        </w:numPr>
        <w:spacing w:line="276" w:lineRule="auto"/>
      </w:pPr>
      <w:r>
        <w:t xml:space="preserve">Henry Ptasinski, </w:t>
      </w:r>
      <w:proofErr w:type="spellStart"/>
      <w:r>
        <w:t>TGae</w:t>
      </w:r>
      <w:proofErr w:type="spellEnd"/>
      <w:r>
        <w:t xml:space="preserve"> Editor, affiliated with Broadcom Corporation is also on the call</w:t>
      </w:r>
    </w:p>
    <w:p w:rsidR="00DF4691" w:rsidRDefault="00DF4691" w:rsidP="00DF4691"/>
    <w:p w:rsidR="00B57C18" w:rsidRDefault="00B57C18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Roll call</w:t>
      </w:r>
    </w:p>
    <w:p w:rsidR="00B57C18" w:rsidRDefault="00B57C18" w:rsidP="00B57C18">
      <w:pPr>
        <w:numPr>
          <w:ilvl w:val="1"/>
          <w:numId w:val="1"/>
        </w:numPr>
        <w:spacing w:line="276" w:lineRule="auto"/>
      </w:pPr>
      <w:r>
        <w:t>Officers as noted above</w:t>
      </w:r>
    </w:p>
    <w:p w:rsidR="00B57C18" w:rsidRDefault="00B57C18" w:rsidP="00B57C18">
      <w:pPr>
        <w:numPr>
          <w:ilvl w:val="1"/>
          <w:numId w:val="1"/>
        </w:numPr>
        <w:spacing w:line="276" w:lineRule="auto"/>
      </w:pPr>
      <w:r>
        <w:t>Santosh Pandey, Cisco</w:t>
      </w:r>
    </w:p>
    <w:p w:rsidR="00B57C18" w:rsidRPr="00B57C18" w:rsidRDefault="00B57C18" w:rsidP="00B57C18">
      <w:pPr>
        <w:spacing w:line="276" w:lineRule="auto"/>
      </w:pPr>
    </w:p>
    <w:p w:rsidR="00DF4691" w:rsidRPr="00710846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710846">
        <w:rPr>
          <w:b/>
          <w:u w:val="single"/>
        </w:rPr>
        <w:t>Agenda:</w:t>
      </w:r>
    </w:p>
    <w:p w:rsidR="008D1EFF" w:rsidRDefault="00DF4691" w:rsidP="00DF4691">
      <w:pPr>
        <w:numPr>
          <w:ilvl w:val="1"/>
          <w:numId w:val="1"/>
        </w:numPr>
        <w:spacing w:line="276" w:lineRule="auto"/>
      </w:pPr>
      <w:r>
        <w:t xml:space="preserve">Chair: Agenda </w:t>
      </w:r>
      <w:r w:rsidR="008D1EFF">
        <w:t>was sent to the reflector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Agenda includes the following items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Roll call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Approval of agenda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 xml:space="preserve">IEEE patent policy -"Refer the correct section or IEEE </w:t>
      </w:r>
      <w:proofErr w:type="spellStart"/>
      <w:r>
        <w:t>Patcom</w:t>
      </w:r>
      <w:proofErr w:type="spellEnd"/>
      <w:r>
        <w:t xml:space="preserve"> URL"</w:t>
      </w:r>
      <w:r>
        <w:br/>
      </w:r>
      <w:hyperlink r:id="rId9" w:tgtFrame="_blank" w:history="1">
        <w:r>
          <w:rPr>
            <w:rStyle w:val="Hyperlink"/>
          </w:rPr>
          <w:t>http://standards.ieee.org/board/pat/pat-slideset.ppt</w:t>
        </w:r>
      </w:hyperlink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 xml:space="preserve">Update on MEC review and LB strategy for </w:t>
      </w:r>
      <w:proofErr w:type="spellStart"/>
      <w:r>
        <w:t>TGae</w:t>
      </w:r>
      <w:proofErr w:type="spellEnd"/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 xml:space="preserve">Comment Resolution on LB180. See document </w:t>
      </w:r>
      <w:hyperlink r:id="rId10" w:tgtFrame="_blank" w:history="1">
        <w:r>
          <w:rPr>
            <w:rStyle w:val="Hyperlink"/>
          </w:rPr>
          <w:t>https://mentor.ieee.org/802.11/dcn/11/11-11-0888-00-00ae-lb-180-comment-resolutions.xls</w:t>
        </w:r>
      </w:hyperlink>
    </w:p>
    <w:p w:rsidR="00DF4691" w:rsidRDefault="008D1EFF" w:rsidP="00DF4691">
      <w:pPr>
        <w:numPr>
          <w:ilvl w:val="2"/>
          <w:numId w:val="1"/>
        </w:numPr>
        <w:spacing w:line="276" w:lineRule="auto"/>
      </w:pPr>
      <w:r>
        <w:t>Other discussion</w:t>
      </w:r>
    </w:p>
    <w:p w:rsidR="008D1EFF" w:rsidRDefault="008D1EFF" w:rsidP="00DF4691">
      <w:pPr>
        <w:numPr>
          <w:ilvl w:val="2"/>
          <w:numId w:val="1"/>
        </w:numPr>
        <w:spacing w:line="276" w:lineRule="auto"/>
      </w:pPr>
      <w:r>
        <w:t>Attempt to adjourn before 12:00 EDT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Chair: Any objection to the agenda?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No objection noted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Chair: agenda approved by unanimous consent</w:t>
      </w:r>
    </w:p>
    <w:p w:rsidR="00DF4691" w:rsidRDefault="00DF4691" w:rsidP="00DF4691"/>
    <w:p w:rsidR="00DF4691" w:rsidRPr="00053243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>Chair: Are there any essential patents?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No response heard from the floor.</w:t>
      </w:r>
    </w:p>
    <w:p w:rsidR="00DF4691" w:rsidRDefault="00DF4691" w:rsidP="00DF4691"/>
    <w:p w:rsidR="008D1EFF" w:rsidRDefault="008D1EFF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Update on MEC review</w:t>
      </w:r>
      <w:r w:rsidR="00F63B9A">
        <w:rPr>
          <w:b/>
          <w:u w:val="single"/>
        </w:rPr>
        <w:t xml:space="preserve"> and LB strategy</w:t>
      </w:r>
    </w:p>
    <w:p w:rsidR="008D1EFF" w:rsidRDefault="008D1EFF" w:rsidP="00DF4691">
      <w:pPr>
        <w:numPr>
          <w:ilvl w:val="1"/>
          <w:numId w:val="1"/>
        </w:numPr>
        <w:spacing w:line="276" w:lineRule="auto"/>
      </w:pPr>
      <w:r>
        <w:t>Henry Ptasinski (</w:t>
      </w:r>
      <w:proofErr w:type="spellStart"/>
      <w:r>
        <w:t>TGae</w:t>
      </w:r>
      <w:proofErr w:type="spellEnd"/>
      <w:r>
        <w:t xml:space="preserve"> editor): 802.11 and SA MEC – IEEE MEC says everything is excellent.</w:t>
      </w:r>
    </w:p>
    <w:p w:rsidR="008D1EFF" w:rsidRDefault="008D1EFF" w:rsidP="00DF4691">
      <w:pPr>
        <w:numPr>
          <w:ilvl w:val="1"/>
          <w:numId w:val="1"/>
        </w:numPr>
        <w:spacing w:line="276" w:lineRule="auto"/>
      </w:pPr>
      <w:r>
        <w:t>HP: 802.11 MEC says that there are some necessary fixes – editor has no complaints with the proposed changes – implemented those changes and sent the document to the task group leadership for initial review</w:t>
      </w:r>
    </w:p>
    <w:p w:rsidR="008D1EFF" w:rsidRDefault="008D1EFF" w:rsidP="00DF4691">
      <w:pPr>
        <w:numPr>
          <w:ilvl w:val="1"/>
          <w:numId w:val="1"/>
        </w:numPr>
        <w:spacing w:line="276" w:lineRule="auto"/>
      </w:pPr>
      <w:r>
        <w:t>HP: MEC included two technical changes which the editor did not change</w:t>
      </w:r>
    </w:p>
    <w:p w:rsidR="008D1EFF" w:rsidRDefault="008D1EFF" w:rsidP="00DF4691">
      <w:pPr>
        <w:numPr>
          <w:ilvl w:val="1"/>
          <w:numId w:val="1"/>
        </w:numPr>
        <w:spacing w:line="276" w:lineRule="auto"/>
      </w:pPr>
      <w:r>
        <w:t>HP: Adrian Stephens notes that the technical changes are not required as part of MEC, just added for our benefit</w:t>
      </w:r>
    </w:p>
    <w:p w:rsidR="00DF4691" w:rsidRDefault="008D1EFF" w:rsidP="008D1EFF">
      <w:pPr>
        <w:numPr>
          <w:ilvl w:val="1"/>
          <w:numId w:val="1"/>
        </w:numPr>
        <w:spacing w:line="276" w:lineRule="auto"/>
      </w:pPr>
      <w:r>
        <w:t>HP: should examine the technical comments, or add them to the LB comments</w:t>
      </w:r>
    </w:p>
    <w:p w:rsidR="00B97DAF" w:rsidRDefault="00B97DAF" w:rsidP="008D1EFF">
      <w:pPr>
        <w:numPr>
          <w:ilvl w:val="1"/>
          <w:numId w:val="1"/>
        </w:numPr>
        <w:spacing w:line="276" w:lineRule="auto"/>
      </w:pPr>
      <w:r>
        <w:t>HP: some MEC comments are technical – may to might, may to can, etc. – a MIB that changed technically</w:t>
      </w:r>
    </w:p>
    <w:p w:rsidR="00B97DAF" w:rsidRDefault="00B97DAF" w:rsidP="008D1EFF">
      <w:pPr>
        <w:numPr>
          <w:ilvl w:val="1"/>
          <w:numId w:val="1"/>
        </w:numPr>
        <w:spacing w:line="276" w:lineRule="auto"/>
      </w:pPr>
      <w:r>
        <w:t>MF: those all sound tame</w:t>
      </w:r>
    </w:p>
    <w:p w:rsidR="00F63B9A" w:rsidRDefault="00F63B9A" w:rsidP="008D1EFF">
      <w:pPr>
        <w:numPr>
          <w:ilvl w:val="1"/>
          <w:numId w:val="1"/>
        </w:numPr>
        <w:spacing w:line="276" w:lineRule="auto"/>
      </w:pPr>
      <w:r>
        <w:t>MM: 180 affirmative, 8 negative = 4.3% negative – actually only 7 NO, because a voter has sent an email intending to change a NO to YES</w:t>
      </w:r>
    </w:p>
    <w:p w:rsidR="00F63B9A" w:rsidRDefault="00F63B9A" w:rsidP="008D1EFF">
      <w:pPr>
        <w:numPr>
          <w:ilvl w:val="1"/>
          <w:numId w:val="1"/>
        </w:numPr>
        <w:spacing w:line="276" w:lineRule="auto"/>
      </w:pPr>
      <w:r>
        <w:t>MM: about 45 technical comments of 77 comments total</w:t>
      </w:r>
    </w:p>
    <w:p w:rsidR="00F63B9A" w:rsidRDefault="005B64EA" w:rsidP="008D1EFF">
      <w:pPr>
        <w:numPr>
          <w:ilvl w:val="1"/>
          <w:numId w:val="1"/>
        </w:numPr>
        <w:spacing w:line="276" w:lineRule="auto"/>
      </w:pPr>
      <w:r>
        <w:lastRenderedPageBreak/>
        <w:t>MM: 40 comments from Mark Hamilton and David Hunter</w:t>
      </w:r>
    </w:p>
    <w:p w:rsidR="005B64EA" w:rsidRDefault="005B64EA" w:rsidP="008D1EFF">
      <w:pPr>
        <w:numPr>
          <w:ilvl w:val="1"/>
          <w:numId w:val="1"/>
        </w:numPr>
        <w:spacing w:line="276" w:lineRule="auto"/>
      </w:pPr>
      <w:r>
        <w:t xml:space="preserve">MM: when sponsor, when clean </w:t>
      </w:r>
      <w:proofErr w:type="spellStart"/>
      <w:r>
        <w:t>recirc</w:t>
      </w:r>
      <w:proofErr w:type="spellEnd"/>
      <w:r>
        <w:t xml:space="preserve">? I agreed to move comments to sponsor for some of the TG LB </w:t>
      </w:r>
      <w:proofErr w:type="spellStart"/>
      <w:r>
        <w:t>commenters</w:t>
      </w:r>
      <w:proofErr w:type="spellEnd"/>
      <w:r>
        <w:t>.</w:t>
      </w:r>
    </w:p>
    <w:p w:rsidR="005B64EA" w:rsidRDefault="005B64EA" w:rsidP="008D1EFF">
      <w:pPr>
        <w:numPr>
          <w:ilvl w:val="1"/>
          <w:numId w:val="1"/>
        </w:numPr>
        <w:spacing w:line="276" w:lineRule="auto"/>
      </w:pPr>
      <w:r>
        <w:t>HP: problem is MEC – these need to be included before sponsor, and that means two more ballots at TG level</w:t>
      </w:r>
    </w:p>
    <w:p w:rsidR="005B64EA" w:rsidRDefault="005B64EA" w:rsidP="008D1EFF">
      <w:pPr>
        <w:numPr>
          <w:ilvl w:val="1"/>
          <w:numId w:val="1"/>
        </w:numPr>
        <w:spacing w:line="276" w:lineRule="auto"/>
      </w:pPr>
      <w:r>
        <w:t>MM: so do we want to attempt to resolve these new comments?</w:t>
      </w:r>
    </w:p>
    <w:p w:rsidR="005B64EA" w:rsidRDefault="005B64EA" w:rsidP="008D1EFF">
      <w:pPr>
        <w:numPr>
          <w:ilvl w:val="1"/>
          <w:numId w:val="1"/>
        </w:numPr>
        <w:spacing w:line="276" w:lineRule="auto"/>
      </w:pPr>
      <w:r>
        <w:t>HP: yes</w:t>
      </w:r>
    </w:p>
    <w:p w:rsidR="005B64EA" w:rsidRDefault="00C55393" w:rsidP="008D1EFF">
      <w:pPr>
        <w:numPr>
          <w:ilvl w:val="1"/>
          <w:numId w:val="1"/>
        </w:numPr>
        <w:spacing w:line="276" w:lineRule="auto"/>
      </w:pPr>
      <w:r>
        <w:t>HP: plan for accelerated process – one ballot from July followed by the clean one – 15 day for all ballots – September is tight – with any delays, we do not finish before September</w:t>
      </w:r>
    </w:p>
    <w:p w:rsidR="00C55393" w:rsidRDefault="00C55393" w:rsidP="008D1EFF">
      <w:pPr>
        <w:numPr>
          <w:ilvl w:val="1"/>
          <w:numId w:val="1"/>
        </w:numPr>
        <w:spacing w:line="276" w:lineRule="auto"/>
      </w:pPr>
      <w:r>
        <w:t>HP: one way to make the dates is to start the ballot during the July meeting week</w:t>
      </w:r>
    </w:p>
    <w:p w:rsidR="00C55393" w:rsidRDefault="00C55393" w:rsidP="008D1EFF">
      <w:pPr>
        <w:numPr>
          <w:ilvl w:val="1"/>
          <w:numId w:val="1"/>
        </w:numPr>
        <w:spacing w:line="276" w:lineRule="auto"/>
      </w:pPr>
      <w:r>
        <w:t>HP: unsure of the turnaround time from end of clean TG LB to start of sponsor LB</w:t>
      </w:r>
    </w:p>
    <w:p w:rsidR="00DF4691" w:rsidRDefault="00DF4691" w:rsidP="00DF4691"/>
    <w:p w:rsidR="00DF4691" w:rsidRDefault="00DF4691" w:rsidP="00DF4691"/>
    <w:p w:rsidR="000F1588" w:rsidRDefault="000F1588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>LB 180 comment resolution</w:t>
      </w:r>
    </w:p>
    <w:p w:rsidR="000F1588" w:rsidRDefault="000F1588" w:rsidP="000F1588">
      <w:pPr>
        <w:numPr>
          <w:ilvl w:val="1"/>
          <w:numId w:val="1"/>
        </w:numPr>
        <w:spacing w:line="276" w:lineRule="auto"/>
      </w:pPr>
      <w:r>
        <w:t xml:space="preserve">MM: see document </w:t>
      </w:r>
      <w:hyperlink r:id="rId11" w:tgtFrame="_blank" w:history="1">
        <w:r>
          <w:rPr>
            <w:rStyle w:val="Hyperlink"/>
          </w:rPr>
          <w:t>https://mentor.ieee.org/802.11/dcn/11/11-11-0888-00-00ae-lb-180-comment-resolutions.xls</w:t>
        </w:r>
      </w:hyperlink>
    </w:p>
    <w:p w:rsidR="000F1588" w:rsidRDefault="000F1588" w:rsidP="000F1588">
      <w:pPr>
        <w:numPr>
          <w:ilvl w:val="1"/>
          <w:numId w:val="1"/>
        </w:numPr>
        <w:spacing w:line="276" w:lineRule="auto"/>
      </w:pPr>
      <w:r>
        <w:t xml:space="preserve">MM: </w:t>
      </w:r>
      <w:r w:rsidR="003049CB">
        <w:t>25 editorial – Henry – will you take these to resolve them?</w:t>
      </w:r>
    </w:p>
    <w:p w:rsidR="003049CB" w:rsidRDefault="003049CB" w:rsidP="000F1588">
      <w:pPr>
        <w:numPr>
          <w:ilvl w:val="1"/>
          <w:numId w:val="1"/>
        </w:numPr>
        <w:spacing w:line="276" w:lineRule="auto"/>
      </w:pPr>
      <w:r>
        <w:t>HP: some comments are from YES voters, right?</w:t>
      </w:r>
    </w:p>
    <w:p w:rsidR="003049CB" w:rsidRDefault="003049CB" w:rsidP="000F1588">
      <w:pPr>
        <w:numPr>
          <w:ilvl w:val="1"/>
          <w:numId w:val="1"/>
        </w:numPr>
        <w:spacing w:line="276" w:lineRule="auto"/>
      </w:pPr>
      <w:r>
        <w:t xml:space="preserve">MM: yes, </w:t>
      </w:r>
      <w:proofErr w:type="spellStart"/>
      <w:r>
        <w:t>MarkH</w:t>
      </w:r>
      <w:proofErr w:type="spellEnd"/>
      <w:r>
        <w:t xml:space="preserve">, </w:t>
      </w:r>
      <w:proofErr w:type="spellStart"/>
      <w:r>
        <w:t>LiwenC</w:t>
      </w:r>
      <w:proofErr w:type="spellEnd"/>
      <w:r>
        <w:t xml:space="preserve">, </w:t>
      </w:r>
      <w:proofErr w:type="spellStart"/>
      <w:r>
        <w:t>HarishR</w:t>
      </w:r>
      <w:proofErr w:type="spellEnd"/>
      <w:r w:rsidR="002F7D72">
        <w:t>, Guido, Jouni</w:t>
      </w:r>
    </w:p>
    <w:p w:rsidR="003049CB" w:rsidRDefault="002F7D72" w:rsidP="000F1588">
      <w:pPr>
        <w:numPr>
          <w:ilvl w:val="1"/>
          <w:numId w:val="1"/>
        </w:numPr>
        <w:spacing w:line="276" w:lineRule="auto"/>
      </w:pPr>
      <w:r>
        <w:t xml:space="preserve">MM: CID 4077 - </w:t>
      </w:r>
      <w:proofErr w:type="spellStart"/>
      <w:r>
        <w:t>HarishR</w:t>
      </w:r>
      <w:proofErr w:type="spellEnd"/>
      <w:r>
        <w:t xml:space="preserve"> – some mgmt frames have strict timing requirements and should be assigned SEQ values outside of the normal </w:t>
      </w:r>
      <w:proofErr w:type="spellStart"/>
      <w:r>
        <w:t>TGae</w:t>
      </w:r>
      <w:proofErr w:type="spellEnd"/>
      <w:r>
        <w:t xml:space="preserve"> process – </w:t>
      </w:r>
      <w:proofErr w:type="spellStart"/>
      <w:r>
        <w:t>TGmb</w:t>
      </w:r>
      <w:proofErr w:type="spellEnd"/>
      <w:r>
        <w:t xml:space="preserve"> is working on a solution to  this – that’s how we should resolve this</w:t>
      </w:r>
    </w:p>
    <w:p w:rsidR="002F7D72" w:rsidRDefault="002F7D72" w:rsidP="000F1588">
      <w:pPr>
        <w:numPr>
          <w:ilvl w:val="1"/>
          <w:numId w:val="1"/>
        </w:numPr>
        <w:spacing w:line="276" w:lineRule="auto"/>
      </w:pPr>
      <w:r>
        <w:t>MM: CID 4076 – Jouni – language allowing AC reassignment for mgmt frames is too broad – needs to exempt the IBSS case</w:t>
      </w:r>
    </w:p>
    <w:p w:rsidR="00B57C18" w:rsidRDefault="00B57C18" w:rsidP="000F1588">
      <w:pPr>
        <w:numPr>
          <w:ilvl w:val="1"/>
          <w:numId w:val="1"/>
        </w:numPr>
        <w:spacing w:line="276" w:lineRule="auto"/>
      </w:pPr>
      <w:r>
        <w:t>MM: HP suggests modifying by adding qualifier “in a BSS or MBSS”</w:t>
      </w:r>
    </w:p>
    <w:p w:rsidR="00B57C18" w:rsidRDefault="00144E67" w:rsidP="000F1588">
      <w:pPr>
        <w:numPr>
          <w:ilvl w:val="1"/>
          <w:numId w:val="1"/>
        </w:numPr>
        <w:spacing w:line="276" w:lineRule="auto"/>
      </w:pPr>
      <w:r>
        <w:t xml:space="preserve">MM: CID 4032 – QMF implemented </w:t>
      </w:r>
      <w:proofErr w:type="spellStart"/>
      <w:r>
        <w:t>vs</w:t>
      </w:r>
      <w:proofErr w:type="spellEnd"/>
      <w:r>
        <w:t xml:space="preserve"> enabled </w:t>
      </w:r>
      <w:proofErr w:type="spellStart"/>
      <w:r>
        <w:t>vs</w:t>
      </w:r>
      <w:proofErr w:type="spellEnd"/>
      <w:r>
        <w:t xml:space="preserve"> activated</w:t>
      </w:r>
    </w:p>
    <w:p w:rsidR="00AE0A7E" w:rsidRDefault="00AE0A7E" w:rsidP="000F1588">
      <w:pPr>
        <w:numPr>
          <w:ilvl w:val="1"/>
          <w:numId w:val="1"/>
        </w:numPr>
        <w:spacing w:line="276" w:lineRule="auto"/>
      </w:pPr>
      <w:r>
        <w:t>HP: existing text looks ok to me – no change needed that I can see – if any change, 10.25.1 would be the place to change, but does not look necessary to me</w:t>
      </w:r>
    </w:p>
    <w:p w:rsidR="00AE0A7E" w:rsidRDefault="008656D8" w:rsidP="000F1588">
      <w:pPr>
        <w:numPr>
          <w:ilvl w:val="1"/>
          <w:numId w:val="1"/>
        </w:numPr>
        <w:spacing w:line="276" w:lineRule="auto"/>
      </w:pPr>
      <w:r>
        <w:t xml:space="preserve">MM: </w:t>
      </w:r>
      <w:r w:rsidR="00016F4B">
        <w:t xml:space="preserve">propose </w:t>
      </w:r>
      <w:r>
        <w:t>P – behaviour clearly described in 10.25.1</w:t>
      </w:r>
    </w:p>
    <w:p w:rsidR="008656D8" w:rsidRDefault="008E7470" w:rsidP="000F1588">
      <w:pPr>
        <w:numPr>
          <w:ilvl w:val="1"/>
          <w:numId w:val="1"/>
        </w:numPr>
        <w:spacing w:line="276" w:lineRule="auto"/>
      </w:pPr>
      <w:r>
        <w:t xml:space="preserve">MM: CID 4030 </w:t>
      </w:r>
      <w:r w:rsidR="00C72818">
        <w:t>–</w:t>
      </w:r>
      <w:r>
        <w:t xml:space="preserve"> </w:t>
      </w:r>
    </w:p>
    <w:p w:rsidR="00C72818" w:rsidRDefault="00C72818" w:rsidP="000F1588">
      <w:pPr>
        <w:numPr>
          <w:ilvl w:val="1"/>
          <w:numId w:val="1"/>
        </w:numPr>
        <w:spacing w:line="276" w:lineRule="auto"/>
      </w:pPr>
      <w:r>
        <w:t xml:space="preserve">HP: do not see how sponsor ballot could close before the end of </w:t>
      </w:r>
      <w:proofErr w:type="spellStart"/>
      <w:r>
        <w:t>sept</w:t>
      </w:r>
      <w:proofErr w:type="spellEnd"/>
      <w:r>
        <w:t xml:space="preserve"> meeting</w:t>
      </w:r>
    </w:p>
    <w:p w:rsidR="00867808" w:rsidRDefault="00867808" w:rsidP="000F1588">
      <w:pPr>
        <w:numPr>
          <w:ilvl w:val="1"/>
          <w:numId w:val="1"/>
        </w:numPr>
        <w:spacing w:line="276" w:lineRule="auto"/>
      </w:pPr>
      <w:r>
        <w:t xml:space="preserve">MF: do not understand the complaint with CID 4030 – </w:t>
      </w:r>
    </w:p>
    <w:p w:rsidR="00867808" w:rsidRDefault="00867808" w:rsidP="000F1588">
      <w:pPr>
        <w:numPr>
          <w:ilvl w:val="1"/>
          <w:numId w:val="1"/>
        </w:numPr>
        <w:spacing w:line="276" w:lineRule="auto"/>
      </w:pPr>
      <w:r>
        <w:t>MM: do you think that he is misapplying the “</w:t>
      </w:r>
      <w:proofErr w:type="gramStart"/>
      <w:r>
        <w:t>non</w:t>
      </w:r>
      <w:proofErr w:type="gramEnd"/>
      <w:r>
        <w:t>” qualifier?</w:t>
      </w:r>
    </w:p>
    <w:p w:rsidR="00867808" w:rsidRDefault="00867808" w:rsidP="000F1588">
      <w:pPr>
        <w:numPr>
          <w:ilvl w:val="1"/>
          <w:numId w:val="1"/>
        </w:numPr>
        <w:spacing w:line="276" w:lineRule="auto"/>
      </w:pPr>
      <w:r>
        <w:t>MF: yes</w:t>
      </w:r>
    </w:p>
    <w:p w:rsidR="00D7733B" w:rsidRDefault="00D7733B" w:rsidP="000F1588">
      <w:pPr>
        <w:numPr>
          <w:ilvl w:val="1"/>
          <w:numId w:val="1"/>
        </w:numPr>
        <w:spacing w:line="276" w:lineRule="auto"/>
      </w:pPr>
      <w:r>
        <w:t xml:space="preserve">MM: if people would like to volunteer to create proposed resolutions for comments, please choose a </w:t>
      </w:r>
      <w:proofErr w:type="spellStart"/>
      <w:r>
        <w:t>subclause</w:t>
      </w:r>
      <w:proofErr w:type="spellEnd"/>
      <w:r>
        <w:t xml:space="preserve"> and before beginning, send a notice to the reflector to avoid collisions on choices</w:t>
      </w:r>
    </w:p>
    <w:p w:rsidR="00D7733B" w:rsidRDefault="00D7733B" w:rsidP="00D7733B">
      <w:pPr>
        <w:numPr>
          <w:ilvl w:val="1"/>
          <w:numId w:val="1"/>
        </w:numPr>
        <w:spacing w:line="276" w:lineRule="auto"/>
      </w:pPr>
      <w:r>
        <w:t>HP: I will handle all editorials</w:t>
      </w:r>
    </w:p>
    <w:p w:rsidR="000F1588" w:rsidRPr="000F1588" w:rsidRDefault="000F1588" w:rsidP="000F1588">
      <w:pPr>
        <w:spacing w:line="276" w:lineRule="auto"/>
      </w:pPr>
    </w:p>
    <w:p w:rsidR="0079180E" w:rsidRDefault="00DF4691" w:rsidP="00DF4691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053243">
        <w:rPr>
          <w:b/>
          <w:u w:val="single"/>
        </w:rPr>
        <w:t xml:space="preserve">Motion to </w:t>
      </w:r>
      <w:r w:rsidR="00F63B9A">
        <w:rPr>
          <w:b/>
          <w:u w:val="single"/>
        </w:rPr>
        <w:t>adjourn</w:t>
      </w:r>
    </w:p>
    <w:p w:rsidR="0079180E" w:rsidRPr="0079180E" w:rsidRDefault="0079180E" w:rsidP="0079180E">
      <w:pPr>
        <w:numPr>
          <w:ilvl w:val="1"/>
          <w:numId w:val="1"/>
        </w:numPr>
        <w:spacing w:line="276" w:lineRule="auto"/>
      </w:pPr>
      <w:r w:rsidRPr="0079180E">
        <w:t>Moved by the chair, to adjourn</w:t>
      </w:r>
    </w:p>
    <w:p w:rsidR="00DF4691" w:rsidRDefault="00DF4691" w:rsidP="00DF4691">
      <w:pPr>
        <w:numPr>
          <w:ilvl w:val="1"/>
          <w:numId w:val="1"/>
        </w:numPr>
        <w:spacing w:line="276" w:lineRule="auto"/>
      </w:pPr>
      <w:r>
        <w:t>No objection.</w:t>
      </w:r>
    </w:p>
    <w:p w:rsidR="00DF4691" w:rsidRDefault="00A76D4E" w:rsidP="00DF4691">
      <w:pPr>
        <w:numPr>
          <w:ilvl w:val="1"/>
          <w:numId w:val="1"/>
        </w:numPr>
        <w:spacing w:line="276" w:lineRule="auto"/>
      </w:pPr>
      <w:r>
        <w:t>08:57</w:t>
      </w:r>
      <w:r w:rsidR="0079180E">
        <w:t xml:space="preserve"> AM PDT - </w:t>
      </w:r>
      <w:proofErr w:type="spellStart"/>
      <w:r w:rsidR="0079180E">
        <w:t>TGae</w:t>
      </w:r>
      <w:proofErr w:type="spellEnd"/>
      <w:r w:rsidR="0079180E">
        <w:t xml:space="preserve"> is adjourned</w:t>
      </w:r>
      <w:r w:rsidR="00DF4691">
        <w:t>.</w:t>
      </w:r>
    </w:p>
    <w:p w:rsidR="00DF4691" w:rsidRDefault="00DF4691" w:rsidP="00DF4691"/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A0077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43" w:rsidRDefault="009B5E43">
      <w:r>
        <w:separator/>
      </w:r>
    </w:p>
  </w:endnote>
  <w:endnote w:type="continuationSeparator" w:id="0">
    <w:p w:rsidR="009B5E43" w:rsidRDefault="009B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926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4691">
        <w:t>Submission</w:t>
      </w:r>
    </w:fldSimple>
    <w:r w:rsidR="0029020B">
      <w:tab/>
      <w:t xml:space="preserve">page </w:t>
    </w:r>
    <w:fldSimple w:instr="page ">
      <w:r w:rsidR="008A6499">
        <w:rPr>
          <w:noProof/>
        </w:rPr>
        <w:t>2</w:t>
      </w:r>
    </w:fldSimple>
    <w:r w:rsidR="0029020B">
      <w:tab/>
    </w:r>
    <w:fldSimple w:instr=" COMMENTS  \* MERGEFORMAT ">
      <w:r w:rsidR="00DF4691">
        <w:t>Matthew Fischer, Broadcom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43" w:rsidRDefault="009B5E43">
      <w:r>
        <w:separator/>
      </w:r>
    </w:p>
  </w:footnote>
  <w:footnote w:type="continuationSeparator" w:id="0">
    <w:p w:rsidR="009B5E43" w:rsidRDefault="009B5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926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A6499">
        <w:t>July 2011</w:t>
      </w:r>
    </w:fldSimple>
    <w:r w:rsidR="0029020B">
      <w:tab/>
    </w:r>
    <w:r w:rsidR="0029020B">
      <w:tab/>
    </w:r>
    <w:fldSimple w:instr=" TITLE  \* MERGEFORMAT ">
      <w:r w:rsidR="008A6499">
        <w:t>doc.: IEEE 802.11-11/0894r0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16F4B"/>
    <w:rsid w:val="000F1588"/>
    <w:rsid w:val="00144E67"/>
    <w:rsid w:val="001D723B"/>
    <w:rsid w:val="0029020B"/>
    <w:rsid w:val="002D44BE"/>
    <w:rsid w:val="002F7D72"/>
    <w:rsid w:val="003049CB"/>
    <w:rsid w:val="00331E46"/>
    <w:rsid w:val="003B71BD"/>
    <w:rsid w:val="00442037"/>
    <w:rsid w:val="004C4E95"/>
    <w:rsid w:val="00514DC8"/>
    <w:rsid w:val="00533B04"/>
    <w:rsid w:val="005B64EA"/>
    <w:rsid w:val="0062440B"/>
    <w:rsid w:val="006C0727"/>
    <w:rsid w:val="006E145F"/>
    <w:rsid w:val="00710D60"/>
    <w:rsid w:val="00770572"/>
    <w:rsid w:val="0079180E"/>
    <w:rsid w:val="008656D8"/>
    <w:rsid w:val="00867808"/>
    <w:rsid w:val="008A6499"/>
    <w:rsid w:val="008D1EFF"/>
    <w:rsid w:val="008E7470"/>
    <w:rsid w:val="009B5E43"/>
    <w:rsid w:val="00A00773"/>
    <w:rsid w:val="00A05B8D"/>
    <w:rsid w:val="00A76D4E"/>
    <w:rsid w:val="00A93721"/>
    <w:rsid w:val="00AA427C"/>
    <w:rsid w:val="00AE0A7E"/>
    <w:rsid w:val="00B57C18"/>
    <w:rsid w:val="00B97DAF"/>
    <w:rsid w:val="00BE68C2"/>
    <w:rsid w:val="00C55393"/>
    <w:rsid w:val="00C72818"/>
    <w:rsid w:val="00CA09B2"/>
    <w:rsid w:val="00D7733B"/>
    <w:rsid w:val="00D926D9"/>
    <w:rsid w:val="00DC5A7B"/>
    <w:rsid w:val="00DF4691"/>
    <w:rsid w:val="00F6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her@broadco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0888-00-00ae-lb-180-comment-resolutions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1/11-11-0888-00-00ae-lb-180-comment-resolution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9F0-7A31-4C7D-BDCA-47E4F7F1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773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802.11-11/0827r0</vt:lpstr>
    </vt:vector>
  </TitlesOfParts>
  <Company>Some Company</Company>
  <LinksUpToDate>false</LinksUpToDate>
  <CharactersWithSpaces>4766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802.11-11/0894r0</dc:title>
  <dc:subject>Submission</dc:subject>
  <dc:creator>Matthew Fischer</dc:creator>
  <cp:keywords>July 2011</cp:keywords>
  <dc:description>Matthew Fischer, Broadcom</dc:description>
  <cp:lastModifiedBy>Matthew Fischer</cp:lastModifiedBy>
  <cp:revision>3</cp:revision>
  <cp:lastPrinted>2011-06-22T15:59:00Z</cp:lastPrinted>
  <dcterms:created xsi:type="dcterms:W3CDTF">2011-06-22T23:33:00Z</dcterms:created>
  <dcterms:modified xsi:type="dcterms:W3CDTF">2011-06-22T23:33:00Z</dcterms:modified>
</cp:coreProperties>
</file>