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32BDA" w:rsidP="00003188">
            <w:pPr>
              <w:pStyle w:val="T2"/>
            </w:pPr>
            <w:r>
              <w:t>C</w:t>
            </w:r>
            <w:r w:rsidR="00CD1846">
              <w:t>omment resolution</w:t>
            </w:r>
            <w:r>
              <w:t xml:space="preserve"> for CIDs: </w:t>
            </w:r>
            <w:r w:rsidR="00003188">
              <w:t>1792</w:t>
            </w:r>
            <w:r w:rsidR="00F369D2">
              <w:t>, 1791, 1790, 155, 1485, 708, 1275, 1793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C6B9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6B92">
              <w:rPr>
                <w:b w:val="0"/>
                <w:sz w:val="20"/>
              </w:rPr>
              <w:t>2011</w:t>
            </w:r>
            <w:r>
              <w:rPr>
                <w:b w:val="0"/>
                <w:sz w:val="20"/>
              </w:rPr>
              <w:t>-</w:t>
            </w:r>
            <w:r w:rsidR="00DC6B92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1D3E33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Patil Sandhya</w:t>
            </w:r>
          </w:p>
        </w:tc>
        <w:tc>
          <w:tcPr>
            <w:tcW w:w="2064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D40B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4227FB" w:rsidRPr="00A0449C">
                <w:rPr>
                  <w:rStyle w:val="Hyperlink"/>
                  <w:b w:val="0"/>
                  <w:sz w:val="16"/>
                </w:rPr>
                <w:t>sandhya.raga@samsung.com</w:t>
              </w:r>
            </w:hyperlink>
            <w:r w:rsidR="004227FB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D40B7">
      <w:pPr>
        <w:pStyle w:val="T1"/>
        <w:spacing w:after="120"/>
        <w:rPr>
          <w:sz w:val="22"/>
        </w:rPr>
      </w:pPr>
      <w:r w:rsidRPr="00CD40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B74330">
                  <w:pPr>
                    <w:jc w:val="both"/>
                  </w:pPr>
                  <w:r>
                    <w:t xml:space="preserve">The document provides the comment resolution for the CIDs: </w:t>
                  </w:r>
                  <w:r w:rsidR="00003188">
                    <w:t>1792</w:t>
                  </w:r>
                  <w:r w:rsidR="00123CAE">
                    <w:t>, 1791, 1790, 155, 1485, 708, 1275, 1793.</w:t>
                  </w:r>
                </w:p>
              </w:txbxContent>
            </v:textbox>
          </v:shape>
        </w:pict>
      </w:r>
    </w:p>
    <w:p w:rsidR="00B74330" w:rsidRDefault="00CA09B2">
      <w:r>
        <w:br w:type="page"/>
      </w:r>
    </w:p>
    <w:tbl>
      <w:tblPr>
        <w:tblStyle w:val="TableGrid"/>
        <w:tblW w:w="0" w:type="auto"/>
        <w:tblLook w:val="04A0"/>
      </w:tblPr>
      <w:tblGrid>
        <w:gridCol w:w="558"/>
        <w:gridCol w:w="900"/>
        <w:gridCol w:w="990"/>
        <w:gridCol w:w="540"/>
        <w:gridCol w:w="456"/>
        <w:gridCol w:w="450"/>
        <w:gridCol w:w="2068"/>
        <w:gridCol w:w="2067"/>
        <w:gridCol w:w="1547"/>
      </w:tblGrid>
      <w:tr w:rsidR="001F622A" w:rsidRPr="00DA05AC" w:rsidTr="003C2D85">
        <w:tc>
          <w:tcPr>
            <w:tcW w:w="558" w:type="dxa"/>
          </w:tcPr>
          <w:p w:rsidR="001F622A" w:rsidRPr="00DA05AC" w:rsidRDefault="001F622A" w:rsidP="003C2D85">
            <w:pPr>
              <w:jc w:val="right"/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lastRenderedPageBreak/>
              <w:t>708</w:t>
            </w:r>
          </w:p>
        </w:tc>
        <w:tc>
          <w:tcPr>
            <w:tcW w:w="900" w:type="dxa"/>
          </w:tcPr>
          <w:p w:rsidR="001F622A" w:rsidRPr="00DA05AC" w:rsidRDefault="001F622A" w:rsidP="003C2D85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Kneckt, Jarkko</w:t>
            </w:r>
          </w:p>
        </w:tc>
        <w:tc>
          <w:tcPr>
            <w:tcW w:w="990" w:type="dxa"/>
          </w:tcPr>
          <w:p w:rsidR="001F622A" w:rsidRPr="00DA05AC" w:rsidRDefault="001F622A" w:rsidP="003C2D85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9.2.0b.6a</w:t>
            </w:r>
          </w:p>
        </w:tc>
        <w:tc>
          <w:tcPr>
            <w:tcW w:w="540" w:type="dxa"/>
          </w:tcPr>
          <w:p w:rsidR="001F622A" w:rsidRPr="00DA05AC" w:rsidRDefault="001F622A" w:rsidP="003C2D85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6" w:type="dxa"/>
          </w:tcPr>
          <w:p w:rsidR="001F622A" w:rsidRPr="00DA05AC" w:rsidRDefault="001F622A" w:rsidP="003C2D85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0" w:type="dxa"/>
          </w:tcPr>
          <w:p w:rsidR="001F622A" w:rsidRPr="00DA05AC" w:rsidRDefault="001F622A" w:rsidP="003C2D85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TR</w:t>
            </w:r>
          </w:p>
        </w:tc>
        <w:tc>
          <w:tcPr>
            <w:tcW w:w="2068" w:type="dxa"/>
          </w:tcPr>
          <w:p w:rsidR="001F622A" w:rsidRPr="00DA05AC" w:rsidRDefault="001F622A" w:rsidP="003C2D85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The restriction for VHT STA not to transmit to legacy STA? What is a legacy STA? Is it non-VHT STA</w:t>
            </w:r>
          </w:p>
        </w:tc>
        <w:tc>
          <w:tcPr>
            <w:tcW w:w="2067" w:type="dxa"/>
          </w:tcPr>
          <w:p w:rsidR="001F622A" w:rsidRPr="00DA05AC" w:rsidRDefault="001F622A" w:rsidP="003C2D85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 xml:space="preserve">Delete the sentence or justify why it is needed. </w:t>
            </w:r>
          </w:p>
        </w:tc>
        <w:tc>
          <w:tcPr>
            <w:tcW w:w="1547" w:type="dxa"/>
          </w:tcPr>
          <w:p w:rsidR="001F622A" w:rsidRPr="00DA05AC" w:rsidRDefault="001F622A" w:rsidP="00014A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Clarification: If VHT STA that initiates the TXOP by RTS with Individual/Group bit set to 1,  and </w:t>
            </w:r>
            <w:r w:rsidR="00744D20">
              <w:rPr>
                <w:sz w:val="18"/>
                <w:szCs w:val="18"/>
              </w:rPr>
              <w:t xml:space="preserve">later </w:t>
            </w:r>
            <w:r w:rsidR="006268FB">
              <w:rPr>
                <w:sz w:val="18"/>
                <w:szCs w:val="18"/>
              </w:rPr>
              <w:t>if</w:t>
            </w:r>
            <w:r>
              <w:rPr>
                <w:sz w:val="18"/>
                <w:szCs w:val="18"/>
              </w:rPr>
              <w:t xml:space="preserve"> sends the RTS to legacy STA during </w:t>
            </w:r>
            <w:r w:rsidR="00014A0F">
              <w:rPr>
                <w:sz w:val="18"/>
                <w:szCs w:val="18"/>
              </w:rPr>
              <w:t>the same</w:t>
            </w:r>
            <w:r>
              <w:rPr>
                <w:sz w:val="18"/>
                <w:szCs w:val="18"/>
              </w:rPr>
              <w:t xml:space="preserve"> TXOP, the legacy STA will not respond since the TA address does not match (Individual/Group</w:t>
            </w:r>
            <w:r w:rsidR="006268FB">
              <w:rPr>
                <w:sz w:val="18"/>
                <w:szCs w:val="18"/>
              </w:rPr>
              <w:t xml:space="preserve"> bit for Legacy STA</w:t>
            </w:r>
            <w:r>
              <w:rPr>
                <w:sz w:val="18"/>
                <w:szCs w:val="18"/>
              </w:rPr>
              <w:t xml:space="preserve"> = 0) though it is from same TA.</w:t>
            </w:r>
          </w:p>
        </w:tc>
      </w:tr>
    </w:tbl>
    <w:p w:rsidR="00CA09B2" w:rsidRDefault="00CA09B2"/>
    <w:p w:rsidR="001F622A" w:rsidRDefault="001F622A"/>
    <w:p w:rsidR="00EF1766" w:rsidRDefault="00EF1766"/>
    <w:tbl>
      <w:tblPr>
        <w:tblStyle w:val="TableGrid"/>
        <w:tblW w:w="0" w:type="auto"/>
        <w:tblLook w:val="04A0"/>
      </w:tblPr>
      <w:tblGrid>
        <w:gridCol w:w="576"/>
        <w:gridCol w:w="899"/>
        <w:gridCol w:w="989"/>
        <w:gridCol w:w="539"/>
        <w:gridCol w:w="456"/>
        <w:gridCol w:w="450"/>
        <w:gridCol w:w="2064"/>
        <w:gridCol w:w="2060"/>
        <w:gridCol w:w="1543"/>
      </w:tblGrid>
      <w:tr w:rsidR="00D65E76" w:rsidRPr="00003188" w:rsidTr="00003188">
        <w:tc>
          <w:tcPr>
            <w:tcW w:w="558" w:type="dxa"/>
          </w:tcPr>
          <w:p w:rsidR="00003188" w:rsidRPr="00003188" w:rsidRDefault="00003188">
            <w:pPr>
              <w:jc w:val="right"/>
              <w:rPr>
                <w:color w:val="000000"/>
                <w:sz w:val="18"/>
                <w:szCs w:val="18"/>
              </w:rPr>
            </w:pPr>
            <w:r w:rsidRPr="00003188">
              <w:rPr>
                <w:color w:val="000000"/>
                <w:sz w:val="18"/>
                <w:szCs w:val="18"/>
              </w:rPr>
              <w:t>1792</w:t>
            </w:r>
          </w:p>
        </w:tc>
        <w:tc>
          <w:tcPr>
            <w:tcW w:w="900" w:type="dxa"/>
          </w:tcPr>
          <w:p w:rsidR="00003188" w:rsidRPr="00003188" w:rsidRDefault="00003188">
            <w:pPr>
              <w:rPr>
                <w:color w:val="000000"/>
                <w:sz w:val="18"/>
                <w:szCs w:val="18"/>
              </w:rPr>
            </w:pPr>
            <w:r w:rsidRPr="00003188">
              <w:rPr>
                <w:color w:val="000000"/>
                <w:sz w:val="18"/>
                <w:szCs w:val="18"/>
              </w:rPr>
              <w:t>Patil, Sandhya</w:t>
            </w:r>
          </w:p>
        </w:tc>
        <w:tc>
          <w:tcPr>
            <w:tcW w:w="990" w:type="dxa"/>
          </w:tcPr>
          <w:p w:rsidR="00003188" w:rsidRPr="00003188" w:rsidRDefault="00003188">
            <w:pPr>
              <w:rPr>
                <w:color w:val="000000"/>
                <w:sz w:val="18"/>
                <w:szCs w:val="18"/>
              </w:rPr>
            </w:pPr>
            <w:r w:rsidRPr="00003188">
              <w:rPr>
                <w:color w:val="000000"/>
                <w:sz w:val="18"/>
                <w:szCs w:val="18"/>
              </w:rPr>
              <w:t xml:space="preserve">9.2.0b.6a </w:t>
            </w:r>
          </w:p>
        </w:tc>
        <w:tc>
          <w:tcPr>
            <w:tcW w:w="540" w:type="dxa"/>
          </w:tcPr>
          <w:p w:rsidR="00003188" w:rsidRPr="00003188" w:rsidRDefault="00003188">
            <w:pPr>
              <w:rPr>
                <w:color w:val="000000"/>
                <w:sz w:val="18"/>
                <w:szCs w:val="18"/>
              </w:rPr>
            </w:pPr>
            <w:r w:rsidRPr="0000318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6" w:type="dxa"/>
          </w:tcPr>
          <w:p w:rsidR="00003188" w:rsidRPr="00003188" w:rsidRDefault="00003188">
            <w:pPr>
              <w:rPr>
                <w:color w:val="000000"/>
                <w:sz w:val="18"/>
                <w:szCs w:val="18"/>
              </w:rPr>
            </w:pPr>
            <w:r w:rsidRPr="0000318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50" w:type="dxa"/>
          </w:tcPr>
          <w:p w:rsidR="00003188" w:rsidRPr="00003188" w:rsidRDefault="00003188">
            <w:pPr>
              <w:rPr>
                <w:color w:val="000000"/>
                <w:sz w:val="18"/>
                <w:szCs w:val="18"/>
              </w:rPr>
            </w:pPr>
            <w:r w:rsidRPr="00003188">
              <w:rPr>
                <w:color w:val="000000"/>
                <w:sz w:val="18"/>
                <w:szCs w:val="18"/>
              </w:rPr>
              <w:t>TR</w:t>
            </w:r>
          </w:p>
        </w:tc>
        <w:tc>
          <w:tcPr>
            <w:tcW w:w="2068" w:type="dxa"/>
          </w:tcPr>
          <w:p w:rsidR="00003188" w:rsidRPr="00003188" w:rsidRDefault="00003188">
            <w:pPr>
              <w:rPr>
                <w:color w:val="000000"/>
                <w:sz w:val="18"/>
                <w:szCs w:val="18"/>
              </w:rPr>
            </w:pPr>
            <w:r w:rsidRPr="00003188">
              <w:rPr>
                <w:color w:val="000000"/>
                <w:sz w:val="18"/>
                <w:szCs w:val="18"/>
              </w:rPr>
              <w:t>A VHT STA that initiates a TXOP by transmitting a RTS with the Multicast/Unicast bit in the TA set to Multicast, shall not send a RTS to a legacy STA for the duration of the TXOP.</w:t>
            </w:r>
          </w:p>
        </w:tc>
        <w:tc>
          <w:tcPr>
            <w:tcW w:w="2067" w:type="dxa"/>
          </w:tcPr>
          <w:p w:rsidR="00003188" w:rsidRPr="00003188" w:rsidRDefault="00003188">
            <w:pPr>
              <w:rPr>
                <w:color w:val="000000"/>
                <w:sz w:val="18"/>
                <w:szCs w:val="18"/>
              </w:rPr>
            </w:pPr>
            <w:r w:rsidRPr="00003188">
              <w:rPr>
                <w:color w:val="000000"/>
                <w:sz w:val="18"/>
                <w:szCs w:val="18"/>
              </w:rPr>
              <w:t>Is it necessary to include this condition for the transmitting VHT STA? What in case when there is not CTS received by this STA?</w:t>
            </w:r>
          </w:p>
        </w:tc>
        <w:tc>
          <w:tcPr>
            <w:tcW w:w="1547" w:type="dxa"/>
          </w:tcPr>
          <w:p w:rsidR="00003188" w:rsidRPr="00003188" w:rsidRDefault="001F622A" w:rsidP="000C0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CID resolution #708</w:t>
            </w:r>
          </w:p>
        </w:tc>
      </w:tr>
    </w:tbl>
    <w:p w:rsidR="00EF1766" w:rsidRDefault="00EF1766"/>
    <w:p w:rsidR="00726376" w:rsidRDefault="00726376"/>
    <w:tbl>
      <w:tblPr>
        <w:tblStyle w:val="TableGrid"/>
        <w:tblW w:w="0" w:type="auto"/>
        <w:tblLook w:val="04A0"/>
      </w:tblPr>
      <w:tblGrid>
        <w:gridCol w:w="558"/>
        <w:gridCol w:w="900"/>
        <w:gridCol w:w="990"/>
        <w:gridCol w:w="540"/>
        <w:gridCol w:w="456"/>
        <w:gridCol w:w="450"/>
        <w:gridCol w:w="2068"/>
        <w:gridCol w:w="2067"/>
        <w:gridCol w:w="1547"/>
      </w:tblGrid>
      <w:tr w:rsidR="00A62026" w:rsidRPr="00DA05AC" w:rsidTr="003C2D85">
        <w:tc>
          <w:tcPr>
            <w:tcW w:w="558" w:type="dxa"/>
          </w:tcPr>
          <w:p w:rsidR="00A62026" w:rsidRPr="00DA05AC" w:rsidRDefault="00A62026" w:rsidP="003C2D85">
            <w:pPr>
              <w:jc w:val="right"/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900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Carney, Bill</w:t>
            </w:r>
          </w:p>
        </w:tc>
        <w:tc>
          <w:tcPr>
            <w:tcW w:w="990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9.2.0b.6a</w:t>
            </w:r>
          </w:p>
        </w:tc>
        <w:tc>
          <w:tcPr>
            <w:tcW w:w="540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6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50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TR</w:t>
            </w:r>
          </w:p>
        </w:tc>
        <w:tc>
          <w:tcPr>
            <w:tcW w:w="2068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In order to protect against hidden nodes, CTS must be sent by all STAs that are receivers of VHT frames.  To minimize overhead, a VHT RTS frame should be defined that requests all receiveing STAs to sequentially send CTSs.</w:t>
            </w:r>
          </w:p>
        </w:tc>
        <w:tc>
          <w:tcPr>
            <w:tcW w:w="2067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As specified</w:t>
            </w:r>
          </w:p>
        </w:tc>
        <w:tc>
          <w:tcPr>
            <w:tcW w:w="1547" w:type="dxa"/>
          </w:tcPr>
          <w:p w:rsidR="00A62026" w:rsidRPr="00DA05AC" w:rsidRDefault="00BE5143" w:rsidP="00B16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DISAGREE. </w:t>
            </w:r>
            <w:r w:rsidR="00CA1882">
              <w:rPr>
                <w:sz w:val="18"/>
                <w:szCs w:val="18"/>
              </w:rPr>
              <w:t>Fo</w:t>
            </w:r>
            <w:r>
              <w:rPr>
                <w:sz w:val="18"/>
                <w:szCs w:val="18"/>
              </w:rPr>
              <w:t xml:space="preserve">r MU, </w:t>
            </w:r>
            <w:r w:rsidR="00CA1882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group ID </w:t>
            </w:r>
            <w:r w:rsidR="00CA1882">
              <w:rPr>
                <w:sz w:val="18"/>
                <w:szCs w:val="18"/>
              </w:rPr>
              <w:t xml:space="preserve">may change for each frame </w:t>
            </w:r>
            <w:r>
              <w:rPr>
                <w:sz w:val="18"/>
                <w:szCs w:val="18"/>
              </w:rPr>
              <w:t xml:space="preserve">and </w:t>
            </w:r>
            <w:r w:rsidR="00CA1882">
              <w:rPr>
                <w:sz w:val="18"/>
                <w:szCs w:val="18"/>
              </w:rPr>
              <w:t xml:space="preserve">there can be more number of STAs that are members </w:t>
            </w:r>
            <w:r w:rsidR="00821396">
              <w:rPr>
                <w:sz w:val="18"/>
                <w:szCs w:val="18"/>
              </w:rPr>
              <w:t xml:space="preserve">each </w:t>
            </w:r>
            <w:r w:rsidR="00CA1882">
              <w:rPr>
                <w:sz w:val="18"/>
                <w:szCs w:val="18"/>
              </w:rPr>
              <w:t>group ID. H</w:t>
            </w:r>
            <w:r>
              <w:rPr>
                <w:sz w:val="18"/>
                <w:szCs w:val="18"/>
              </w:rPr>
              <w:t xml:space="preserve">ence </w:t>
            </w:r>
            <w:r w:rsidR="00CA1882">
              <w:rPr>
                <w:sz w:val="18"/>
                <w:szCs w:val="18"/>
              </w:rPr>
              <w:t xml:space="preserve">it is not feasible to </w:t>
            </w:r>
            <w:r w:rsidR="00821396">
              <w:rPr>
                <w:sz w:val="18"/>
                <w:szCs w:val="18"/>
              </w:rPr>
              <w:t>choose</w:t>
            </w:r>
            <w:r w:rsidR="00CA1882">
              <w:rPr>
                <w:sz w:val="18"/>
                <w:szCs w:val="18"/>
              </w:rPr>
              <w:t xml:space="preserve"> the reciepints per </w:t>
            </w:r>
            <w:r w:rsidR="00821396">
              <w:rPr>
                <w:sz w:val="18"/>
                <w:szCs w:val="18"/>
              </w:rPr>
              <w:t xml:space="preserve">group/ per </w:t>
            </w:r>
            <w:r w:rsidR="00CA1882">
              <w:rPr>
                <w:sz w:val="18"/>
                <w:szCs w:val="18"/>
              </w:rPr>
              <w:t>frame and request CTSs from each recipient in a group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7E0071" w:rsidRDefault="007E0071"/>
    <w:tbl>
      <w:tblPr>
        <w:tblStyle w:val="TableGrid"/>
        <w:tblW w:w="0" w:type="auto"/>
        <w:tblLook w:val="04A0"/>
      </w:tblPr>
      <w:tblGrid>
        <w:gridCol w:w="576"/>
        <w:gridCol w:w="899"/>
        <w:gridCol w:w="989"/>
        <w:gridCol w:w="539"/>
        <w:gridCol w:w="456"/>
        <w:gridCol w:w="450"/>
        <w:gridCol w:w="2065"/>
        <w:gridCol w:w="2062"/>
        <w:gridCol w:w="1540"/>
      </w:tblGrid>
      <w:tr w:rsidR="00072EB6" w:rsidRPr="00DA05AC" w:rsidTr="00A62026">
        <w:tc>
          <w:tcPr>
            <w:tcW w:w="576" w:type="dxa"/>
          </w:tcPr>
          <w:p w:rsidR="00A62026" w:rsidRPr="00DA05AC" w:rsidRDefault="00A62026" w:rsidP="003C2D85">
            <w:pPr>
              <w:jc w:val="right"/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1790</w:t>
            </w:r>
          </w:p>
        </w:tc>
        <w:tc>
          <w:tcPr>
            <w:tcW w:w="899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Patil, Sandhya</w:t>
            </w:r>
          </w:p>
        </w:tc>
        <w:tc>
          <w:tcPr>
            <w:tcW w:w="989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 xml:space="preserve">9.2.0b.6a </w:t>
            </w:r>
          </w:p>
        </w:tc>
        <w:tc>
          <w:tcPr>
            <w:tcW w:w="539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6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50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TR</w:t>
            </w:r>
          </w:p>
        </w:tc>
        <w:tc>
          <w:tcPr>
            <w:tcW w:w="2065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The Individual/Group bit is set to 1 only when the VHT STA is trying to transmit &gt;20MHz mask PPDU and  not 20MHz only</w:t>
            </w:r>
          </w:p>
        </w:tc>
        <w:tc>
          <w:tcPr>
            <w:tcW w:w="2062" w:type="dxa"/>
          </w:tcPr>
          <w:p w:rsidR="00A62026" w:rsidRPr="00DA05AC" w:rsidRDefault="00A62026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Include "when CH_BANDWIDTH TXVECTOR is greater than 20MHz"</w:t>
            </w:r>
          </w:p>
        </w:tc>
        <w:tc>
          <w:tcPr>
            <w:tcW w:w="1540" w:type="dxa"/>
          </w:tcPr>
          <w:p w:rsidR="003373E8" w:rsidRDefault="00B16ABE" w:rsidP="00945C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suggested resolution </w:t>
            </w:r>
            <w:r w:rsidR="004938DC">
              <w:rPr>
                <w:sz w:val="18"/>
                <w:szCs w:val="18"/>
              </w:rPr>
              <w:t>applies to</w:t>
            </w:r>
            <w:r w:rsidR="004B54ED">
              <w:rPr>
                <w:sz w:val="18"/>
                <w:szCs w:val="18"/>
              </w:rPr>
              <w:t xml:space="preserve"> the control frame </w:t>
            </w:r>
            <w:r w:rsidR="007A1E45">
              <w:rPr>
                <w:sz w:val="18"/>
                <w:szCs w:val="18"/>
              </w:rPr>
              <w:t xml:space="preserve">that is not </w:t>
            </w:r>
            <w:r w:rsidR="004938DC">
              <w:rPr>
                <w:sz w:val="18"/>
                <w:szCs w:val="18"/>
              </w:rPr>
              <w:t>RTS.</w:t>
            </w:r>
            <w:r w:rsidR="00014A0F">
              <w:rPr>
                <w:sz w:val="18"/>
                <w:szCs w:val="18"/>
              </w:rPr>
              <w:t xml:space="preserve"> See 11-11-0616r2.</w:t>
            </w:r>
          </w:p>
          <w:p w:rsidR="00A07F92" w:rsidRPr="00DA05AC" w:rsidRDefault="00A07F92" w:rsidP="00742D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7E0071" w:rsidRDefault="007E0071"/>
    <w:tbl>
      <w:tblPr>
        <w:tblStyle w:val="TableGrid"/>
        <w:tblW w:w="0" w:type="auto"/>
        <w:tblLayout w:type="fixed"/>
        <w:tblLook w:val="04A0"/>
      </w:tblPr>
      <w:tblGrid>
        <w:gridCol w:w="577"/>
        <w:gridCol w:w="839"/>
        <w:gridCol w:w="885"/>
        <w:gridCol w:w="402"/>
        <w:gridCol w:w="398"/>
        <w:gridCol w:w="447"/>
        <w:gridCol w:w="2140"/>
        <w:gridCol w:w="2430"/>
        <w:gridCol w:w="1458"/>
      </w:tblGrid>
      <w:tr w:rsidR="00DB0766" w:rsidRPr="00BA0840" w:rsidTr="00040E7B">
        <w:tc>
          <w:tcPr>
            <w:tcW w:w="577" w:type="dxa"/>
          </w:tcPr>
          <w:p w:rsidR="00BA0840" w:rsidRPr="00BA0840" w:rsidRDefault="00BA0840" w:rsidP="003C2D85">
            <w:pPr>
              <w:jc w:val="right"/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1791</w:t>
            </w:r>
          </w:p>
          <w:p w:rsidR="00BA0840" w:rsidRPr="00BA0840" w:rsidRDefault="00BA0840" w:rsidP="003C2D8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Patil, Sandhya</w:t>
            </w:r>
          </w:p>
        </w:tc>
        <w:tc>
          <w:tcPr>
            <w:tcW w:w="885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 xml:space="preserve">9.2.0b.6a </w:t>
            </w:r>
          </w:p>
        </w:tc>
        <w:tc>
          <w:tcPr>
            <w:tcW w:w="402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47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TR</w:t>
            </w:r>
          </w:p>
        </w:tc>
        <w:tc>
          <w:tcPr>
            <w:tcW w:w="2140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If the VHT STA sending the RTS frame is using dynamic bandwidth operation, it shall set the INDICATED_DYN_BA</w:t>
            </w:r>
            <w:r w:rsidRPr="00BA0840">
              <w:rPr>
                <w:color w:val="000000"/>
                <w:sz w:val="18"/>
                <w:szCs w:val="18"/>
              </w:rPr>
              <w:lastRenderedPageBreak/>
              <w:t>NDWIDTH TXVECTOR parameter to Dynamic. Otherwise, the STA shall set the TXVECTOR parameter INDICATED_DYN_BANDWIDTH to Static.</w:t>
            </w:r>
          </w:p>
        </w:tc>
        <w:tc>
          <w:tcPr>
            <w:tcW w:w="2430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lastRenderedPageBreak/>
              <w:t>INDICATED_DYN_BANDWIDTH is more meaningful if it is boolean and change the dynamic or static to true of false in the sentence</w:t>
            </w:r>
            <w:r w:rsidR="00242D9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458" w:type="dxa"/>
          </w:tcPr>
          <w:p w:rsidR="00B72F7B" w:rsidRPr="00BA0840" w:rsidRDefault="00040E7B" w:rsidP="00726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AGREE IN PRINCIPLE. CID #1798 which is same as this for </w:t>
            </w:r>
            <w:r>
              <w:rPr>
                <w:sz w:val="18"/>
                <w:szCs w:val="18"/>
              </w:rPr>
              <w:lastRenderedPageBreak/>
              <w:t xml:space="preserve">TXVECTOR parameters </w:t>
            </w:r>
            <w:r w:rsidR="00A11D12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has been resolved</w:t>
            </w:r>
            <w:r w:rsidR="0072668A">
              <w:rPr>
                <w:sz w:val="18"/>
                <w:szCs w:val="18"/>
              </w:rPr>
              <w:t xml:space="preserve"> with</w:t>
            </w:r>
            <w:r>
              <w:rPr>
                <w:sz w:val="18"/>
                <w:szCs w:val="18"/>
              </w:rPr>
              <w:t xml:space="preserve"> CID #197</w:t>
            </w:r>
            <w:r w:rsidR="0072668A">
              <w:rPr>
                <w:sz w:val="18"/>
                <w:szCs w:val="18"/>
              </w:rPr>
              <w:t xml:space="preserve"> (TXVECTOR table)</w:t>
            </w:r>
            <w:r w:rsidR="00A11D12">
              <w:rPr>
                <w:sz w:val="18"/>
                <w:szCs w:val="18"/>
              </w:rPr>
              <w:t>.</w:t>
            </w:r>
          </w:p>
        </w:tc>
      </w:tr>
    </w:tbl>
    <w:p w:rsidR="007E0071" w:rsidRDefault="007E0071"/>
    <w:tbl>
      <w:tblPr>
        <w:tblStyle w:val="TableGrid"/>
        <w:tblW w:w="0" w:type="auto"/>
        <w:tblLook w:val="04A0"/>
      </w:tblPr>
      <w:tblGrid>
        <w:gridCol w:w="577"/>
        <w:gridCol w:w="839"/>
        <w:gridCol w:w="885"/>
        <w:gridCol w:w="402"/>
        <w:gridCol w:w="398"/>
        <w:gridCol w:w="447"/>
        <w:gridCol w:w="2230"/>
        <w:gridCol w:w="2520"/>
        <w:gridCol w:w="1278"/>
      </w:tblGrid>
      <w:tr w:rsidR="00BA0840" w:rsidRPr="00DA05AC" w:rsidTr="00DB0766">
        <w:tc>
          <w:tcPr>
            <w:tcW w:w="577" w:type="dxa"/>
          </w:tcPr>
          <w:p w:rsidR="00BA0840" w:rsidRPr="00DA05AC" w:rsidRDefault="00BA0840" w:rsidP="003C2D85">
            <w:pPr>
              <w:jc w:val="right"/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1485</w:t>
            </w:r>
          </w:p>
        </w:tc>
        <w:tc>
          <w:tcPr>
            <w:tcW w:w="839" w:type="dxa"/>
          </w:tcPr>
          <w:p w:rsidR="00BA0840" w:rsidRPr="00DA05AC" w:rsidRDefault="00BA0840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Lv, Kaiying</w:t>
            </w:r>
          </w:p>
        </w:tc>
        <w:tc>
          <w:tcPr>
            <w:tcW w:w="885" w:type="dxa"/>
          </w:tcPr>
          <w:p w:rsidR="00BA0840" w:rsidRPr="00DA05AC" w:rsidRDefault="00BA0840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9.2.0b.6a</w:t>
            </w:r>
          </w:p>
        </w:tc>
        <w:tc>
          <w:tcPr>
            <w:tcW w:w="402" w:type="dxa"/>
          </w:tcPr>
          <w:p w:rsidR="00BA0840" w:rsidRPr="00DA05AC" w:rsidRDefault="00BA0840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</w:tcPr>
          <w:p w:rsidR="00BA0840" w:rsidRPr="00DA05AC" w:rsidRDefault="00BA0840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47" w:type="dxa"/>
          </w:tcPr>
          <w:p w:rsidR="00BA0840" w:rsidRPr="00DA05AC" w:rsidRDefault="00BA0840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TR</w:t>
            </w:r>
          </w:p>
        </w:tc>
        <w:tc>
          <w:tcPr>
            <w:tcW w:w="2230" w:type="dxa"/>
          </w:tcPr>
          <w:p w:rsidR="00BA0840" w:rsidRPr="00DA05AC" w:rsidRDefault="00BA0840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 xml:space="preserve">"Multicast/Unicast "bit in TA has been changed into " Individual/Group bit" </w:t>
            </w:r>
          </w:p>
        </w:tc>
        <w:tc>
          <w:tcPr>
            <w:tcW w:w="2520" w:type="dxa"/>
          </w:tcPr>
          <w:p w:rsidR="00BA0840" w:rsidRPr="00DA05AC" w:rsidRDefault="00BA0840">
            <w:pPr>
              <w:rPr>
                <w:color w:val="000000"/>
                <w:sz w:val="18"/>
                <w:szCs w:val="18"/>
              </w:rPr>
            </w:pPr>
            <w:r w:rsidRPr="00DA05AC">
              <w:rPr>
                <w:color w:val="000000"/>
                <w:sz w:val="18"/>
                <w:szCs w:val="18"/>
              </w:rPr>
              <w:t>A VHT STA that initiates a TXOP by transmitting a RTS with the Multicast/Unicast Individual/Group bit in the TA set to Multicast 1, shall not send a RTS to a legacy STA for the duration of the TXOP.</w:t>
            </w:r>
          </w:p>
        </w:tc>
        <w:tc>
          <w:tcPr>
            <w:tcW w:w="1278" w:type="dxa"/>
          </w:tcPr>
          <w:p w:rsidR="00BA0840" w:rsidRPr="00DA05AC" w:rsidRDefault="00DB0766" w:rsidP="003C2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AGREE. Changed in document </w:t>
            </w:r>
            <w:r w:rsidR="001F622A">
              <w:rPr>
                <w:sz w:val="18"/>
                <w:szCs w:val="18"/>
              </w:rPr>
              <w:t>11-11-</w:t>
            </w:r>
            <w:r>
              <w:rPr>
                <w:sz w:val="18"/>
                <w:szCs w:val="18"/>
              </w:rPr>
              <w:t>0616r2.</w:t>
            </w:r>
          </w:p>
        </w:tc>
      </w:tr>
    </w:tbl>
    <w:p w:rsidR="007E0071" w:rsidRDefault="007E0071"/>
    <w:p w:rsidR="007E0071" w:rsidRDefault="007E0071"/>
    <w:tbl>
      <w:tblPr>
        <w:tblStyle w:val="TableGrid"/>
        <w:tblW w:w="0" w:type="auto"/>
        <w:tblLook w:val="04A0"/>
      </w:tblPr>
      <w:tblGrid>
        <w:gridCol w:w="576"/>
        <w:gridCol w:w="911"/>
        <w:gridCol w:w="989"/>
        <w:gridCol w:w="538"/>
        <w:gridCol w:w="456"/>
        <w:gridCol w:w="450"/>
        <w:gridCol w:w="2060"/>
        <w:gridCol w:w="2058"/>
        <w:gridCol w:w="1538"/>
      </w:tblGrid>
      <w:tr w:rsidR="00E62FBB" w:rsidRPr="00BA0840" w:rsidTr="00BA0840">
        <w:tc>
          <w:tcPr>
            <w:tcW w:w="576" w:type="dxa"/>
          </w:tcPr>
          <w:p w:rsidR="00BA0840" w:rsidRPr="00BA0840" w:rsidRDefault="00BA0840" w:rsidP="003C2D85">
            <w:pPr>
              <w:jc w:val="right"/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1275</w:t>
            </w:r>
          </w:p>
        </w:tc>
        <w:tc>
          <w:tcPr>
            <w:tcW w:w="899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Stephens, Adrian</w:t>
            </w:r>
          </w:p>
        </w:tc>
        <w:tc>
          <w:tcPr>
            <w:tcW w:w="989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9.2.0b.6a</w:t>
            </w:r>
          </w:p>
        </w:tc>
        <w:tc>
          <w:tcPr>
            <w:tcW w:w="539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6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0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TR</w:t>
            </w:r>
          </w:p>
        </w:tc>
        <w:tc>
          <w:tcPr>
            <w:tcW w:w="2065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"legacy STA"  -  no, no, no, no, no.</w:t>
            </w:r>
            <w:r w:rsidRPr="00BA0840">
              <w:rPr>
                <w:color w:val="000000"/>
                <w:sz w:val="18"/>
                <w:szCs w:val="18"/>
              </w:rPr>
              <w:br/>
            </w:r>
            <w:r w:rsidRPr="00BA0840">
              <w:rPr>
                <w:color w:val="000000"/>
                <w:sz w:val="18"/>
                <w:szCs w:val="18"/>
              </w:rPr>
              <w:br/>
              <w:t>There is no such thing as a legacy STA.</w:t>
            </w:r>
          </w:p>
        </w:tc>
        <w:tc>
          <w:tcPr>
            <w:tcW w:w="2062" w:type="dxa"/>
          </w:tcPr>
          <w:p w:rsidR="00BA0840" w:rsidRPr="00BA0840" w:rsidRDefault="000248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Say what you mean, </w:t>
            </w:r>
            <w:r w:rsidR="00BA0840" w:rsidRPr="00BA0840">
              <w:rPr>
                <w:color w:val="000000"/>
                <w:sz w:val="18"/>
                <w:szCs w:val="18"/>
              </w:rPr>
              <w:t>i.e. what combination of capabilities are you trying to express with use of the evil word "legacy".</w:t>
            </w:r>
          </w:p>
        </w:tc>
        <w:tc>
          <w:tcPr>
            <w:tcW w:w="1540" w:type="dxa"/>
          </w:tcPr>
          <w:p w:rsidR="00BA0840" w:rsidRPr="00BA0840" w:rsidRDefault="00E62FBB" w:rsidP="000E3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AGREE. </w:t>
            </w:r>
            <w:r w:rsidR="004549F0">
              <w:rPr>
                <w:sz w:val="18"/>
                <w:szCs w:val="18"/>
              </w:rPr>
              <w:t>Changed</w:t>
            </w:r>
            <w:r w:rsidR="00CC0300">
              <w:rPr>
                <w:sz w:val="18"/>
                <w:szCs w:val="18"/>
              </w:rPr>
              <w:t xml:space="preserve"> to non-VHT STA in d</w:t>
            </w:r>
            <w:r>
              <w:rPr>
                <w:sz w:val="18"/>
                <w:szCs w:val="18"/>
              </w:rPr>
              <w:t xml:space="preserve">ocument </w:t>
            </w:r>
            <w:r w:rsidR="001F622A">
              <w:rPr>
                <w:sz w:val="18"/>
                <w:szCs w:val="18"/>
              </w:rPr>
              <w:t>11-11-</w:t>
            </w:r>
            <w:r w:rsidR="00716EE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616r2</w:t>
            </w:r>
            <w:r w:rsidR="00CC0300">
              <w:rPr>
                <w:sz w:val="18"/>
                <w:szCs w:val="18"/>
              </w:rPr>
              <w:t>.</w:t>
            </w:r>
          </w:p>
        </w:tc>
      </w:tr>
    </w:tbl>
    <w:p w:rsidR="007E0071" w:rsidRDefault="007E0071"/>
    <w:tbl>
      <w:tblPr>
        <w:tblStyle w:val="TableGrid"/>
        <w:tblW w:w="0" w:type="auto"/>
        <w:tblLook w:val="04A0"/>
      </w:tblPr>
      <w:tblGrid>
        <w:gridCol w:w="576"/>
        <w:gridCol w:w="870"/>
        <w:gridCol w:w="903"/>
        <w:gridCol w:w="473"/>
        <w:gridCol w:w="428"/>
        <w:gridCol w:w="449"/>
        <w:gridCol w:w="1541"/>
        <w:gridCol w:w="2876"/>
        <w:gridCol w:w="1460"/>
      </w:tblGrid>
      <w:tr w:rsidR="00716EEA" w:rsidRPr="00BA0840" w:rsidTr="00BA0840">
        <w:tc>
          <w:tcPr>
            <w:tcW w:w="576" w:type="dxa"/>
          </w:tcPr>
          <w:p w:rsidR="00BA0840" w:rsidRPr="00BA0840" w:rsidRDefault="00BA0840" w:rsidP="003C2D85">
            <w:pPr>
              <w:jc w:val="right"/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1793</w:t>
            </w:r>
          </w:p>
        </w:tc>
        <w:tc>
          <w:tcPr>
            <w:tcW w:w="899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Patil, Sandhya</w:t>
            </w:r>
          </w:p>
        </w:tc>
        <w:tc>
          <w:tcPr>
            <w:tcW w:w="989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9.2.0b.7</w:t>
            </w:r>
          </w:p>
        </w:tc>
        <w:tc>
          <w:tcPr>
            <w:tcW w:w="539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6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50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TR</w:t>
            </w:r>
          </w:p>
        </w:tc>
        <w:tc>
          <w:tcPr>
            <w:tcW w:w="2065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A non-VHT STA that is addressed by an RTS frame shall transmit a CTS frame after a SIFS period if the NAV at the STA receiving the RTS frame indicates that the medium is idle.</w:t>
            </w:r>
          </w:p>
        </w:tc>
        <w:tc>
          <w:tcPr>
            <w:tcW w:w="2062" w:type="dxa"/>
          </w:tcPr>
          <w:p w:rsidR="00BA0840" w:rsidRPr="00BA0840" w:rsidRDefault="00BA0840">
            <w:pPr>
              <w:rPr>
                <w:color w:val="000000"/>
                <w:sz w:val="18"/>
                <w:szCs w:val="18"/>
              </w:rPr>
            </w:pPr>
            <w:r w:rsidRPr="00BA0840">
              <w:rPr>
                <w:color w:val="000000"/>
                <w:sz w:val="18"/>
                <w:szCs w:val="18"/>
              </w:rPr>
              <w:t>It is for all STAs and applies to VHT STA also. In addition to this when the RXVECTOR parameter INDICATED_DYN_BANDWIDTH is valid the conditions in the next two paragraphs need to be met.</w:t>
            </w:r>
          </w:p>
        </w:tc>
        <w:tc>
          <w:tcPr>
            <w:tcW w:w="1540" w:type="dxa"/>
          </w:tcPr>
          <w:p w:rsidR="00326753" w:rsidRDefault="00326753" w:rsidP="00F2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WITHDRAWN</w:t>
            </w:r>
          </w:p>
          <w:p w:rsidR="00BA0840" w:rsidRPr="00BA0840" w:rsidRDefault="00716EEA" w:rsidP="00F2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section </w:t>
            </w:r>
            <w:r w:rsidR="00F225A0">
              <w:rPr>
                <w:sz w:val="18"/>
                <w:szCs w:val="18"/>
              </w:rPr>
              <w:t>has been</w:t>
            </w:r>
            <w:r>
              <w:rPr>
                <w:sz w:val="18"/>
                <w:szCs w:val="18"/>
              </w:rPr>
              <w:t xml:space="preserve"> revised in document </w:t>
            </w:r>
            <w:r w:rsidR="001F622A">
              <w:rPr>
                <w:sz w:val="18"/>
                <w:szCs w:val="18"/>
              </w:rPr>
              <w:t>11-11-</w:t>
            </w:r>
            <w:r>
              <w:rPr>
                <w:sz w:val="18"/>
                <w:szCs w:val="18"/>
              </w:rPr>
              <w:t>0616r2 and comment is no more valid.</w:t>
            </w:r>
          </w:p>
        </w:tc>
      </w:tr>
    </w:tbl>
    <w:p w:rsidR="00945C86" w:rsidRDefault="00945C86"/>
    <w:p w:rsidR="00A94491" w:rsidRDefault="00A94491" w:rsidP="00CD1846">
      <w:pPr>
        <w:rPr>
          <w:szCs w:val="22"/>
        </w:rPr>
      </w:pPr>
    </w:p>
    <w:p w:rsidR="00A94491" w:rsidRDefault="00A94491" w:rsidP="00CD1846">
      <w:pPr>
        <w:rPr>
          <w:szCs w:val="22"/>
        </w:rPr>
      </w:pPr>
    </w:p>
    <w:p w:rsidR="00A94491" w:rsidRDefault="00A94491" w:rsidP="00CD1846">
      <w:pPr>
        <w:rPr>
          <w:szCs w:val="22"/>
        </w:rPr>
      </w:pPr>
    </w:p>
    <w:p w:rsidR="00A94491" w:rsidRDefault="00A94491" w:rsidP="00CD1846">
      <w:pPr>
        <w:rPr>
          <w:szCs w:val="22"/>
        </w:rPr>
      </w:pPr>
    </w:p>
    <w:p w:rsidR="00C7188E" w:rsidRDefault="00C7188E" w:rsidP="00CD1846">
      <w:pPr>
        <w:rPr>
          <w:szCs w:val="22"/>
        </w:rPr>
      </w:pPr>
      <w:r>
        <w:rPr>
          <w:szCs w:val="22"/>
        </w:rPr>
        <w:t>Pre-Motion 1:</w:t>
      </w:r>
    </w:p>
    <w:p w:rsidR="00C7188E" w:rsidRDefault="00C7188E" w:rsidP="00C7188E">
      <w:pPr>
        <w:jc w:val="both"/>
      </w:pPr>
      <w:r>
        <w:rPr>
          <w:szCs w:val="22"/>
        </w:rPr>
        <w:t xml:space="preserve">Do you accept the resolutions provided to the CIDs </w:t>
      </w:r>
      <w:r w:rsidR="00123CAE">
        <w:t>1792, 1791, 1790, 155, 1485, 708, 1275, 1793?</w:t>
      </w:r>
    </w:p>
    <w:p w:rsidR="00C7188E" w:rsidRDefault="00C7188E" w:rsidP="00C7188E">
      <w:pPr>
        <w:jc w:val="both"/>
      </w:pPr>
    </w:p>
    <w:p w:rsidR="00C7188E" w:rsidRDefault="00C7188E" w:rsidP="00C7188E">
      <w:pPr>
        <w:jc w:val="both"/>
      </w:pPr>
      <w:r>
        <w:t>Yes:</w:t>
      </w:r>
    </w:p>
    <w:p w:rsidR="00C7188E" w:rsidRDefault="00C7188E" w:rsidP="00C7188E">
      <w:pPr>
        <w:jc w:val="both"/>
      </w:pPr>
      <w:r>
        <w:t>No:</w:t>
      </w:r>
    </w:p>
    <w:p w:rsidR="00C7188E" w:rsidRDefault="00C7188E" w:rsidP="00C7188E">
      <w:pPr>
        <w:jc w:val="both"/>
      </w:pPr>
      <w:r>
        <w:t>Abstain:</w:t>
      </w:r>
    </w:p>
    <w:p w:rsidR="00CD1846" w:rsidRPr="00CD1846" w:rsidRDefault="00193C7D" w:rsidP="00CD1846">
      <w:pPr>
        <w:rPr>
          <w:b/>
          <w:sz w:val="24"/>
        </w:rPr>
      </w:pPr>
      <w:r w:rsidRPr="00193C7D">
        <w:rPr>
          <w:szCs w:val="22"/>
        </w:rPr>
        <w:br w:type="page"/>
      </w:r>
      <w:r w:rsidR="00CA09B2">
        <w:rPr>
          <w:b/>
          <w:sz w:val="24"/>
        </w:rPr>
        <w:lastRenderedPageBreak/>
        <w:t>References:</w:t>
      </w:r>
    </w:p>
    <w:p w:rsidR="00CD1846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Pr="00D373FD">
        <w:rPr>
          <w:szCs w:val="22"/>
        </w:rPr>
        <w:t>Draft P802.11ac_D0.1</w:t>
      </w:r>
    </w:p>
    <w:p w:rsidR="00CD1846" w:rsidRPr="00D373FD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Pr="005143AB">
        <w:rPr>
          <w:szCs w:val="22"/>
        </w:rPr>
        <w:t>11-11-0276-05-00ac-tgac-d0-1-comments</w:t>
      </w:r>
    </w:p>
    <w:p w:rsidR="00CA09B2" w:rsidRDefault="00CA09B2"/>
    <w:sectPr w:rsidR="00CA09B2" w:rsidSect="00055D6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0A" w:rsidRDefault="00151E0A">
      <w:r>
        <w:separator/>
      </w:r>
    </w:p>
  </w:endnote>
  <w:endnote w:type="continuationSeparator" w:id="0">
    <w:p w:rsidR="00151E0A" w:rsidRDefault="00151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D40B7" w:rsidP="007307B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44790">
        <w:t>Submission</w:t>
      </w:r>
    </w:fldSimple>
    <w:r w:rsidR="0029020B">
      <w:tab/>
      <w:t xml:space="preserve">page </w:t>
    </w:r>
    <w:fldSimple w:instr="page ">
      <w:r w:rsidR="007A1E45">
        <w:rPr>
          <w:noProof/>
        </w:rPr>
        <w:t>2</w:t>
      </w:r>
    </w:fldSimple>
    <w:r w:rsidR="0029020B">
      <w:tab/>
    </w:r>
    <w:r w:rsidR="007307BC">
      <w:t>Patil Sandhya, Samsung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0A" w:rsidRDefault="00151E0A">
      <w:r>
        <w:separator/>
      </w:r>
    </w:p>
  </w:footnote>
  <w:footnote w:type="continuationSeparator" w:id="0">
    <w:p w:rsidR="00151E0A" w:rsidRDefault="00151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5623C1">
    <w:pPr>
      <w:pStyle w:val="Header"/>
      <w:tabs>
        <w:tab w:val="clear" w:pos="6480"/>
        <w:tab w:val="center" w:pos="4680"/>
        <w:tab w:val="right" w:pos="9360"/>
      </w:tabs>
    </w:pPr>
    <w:r>
      <w:t>May 2011</w:t>
    </w:r>
    <w:r w:rsidR="0029020B">
      <w:tab/>
    </w:r>
    <w:r w:rsidR="0029020B">
      <w:tab/>
    </w:r>
    <w:fldSimple w:instr=" TITLE  \* MERGEFORMAT ">
      <w:r w:rsidR="00F44790">
        <w:t>doc.: IEEE 802.11-</w:t>
      </w:r>
      <w:r w:rsidR="00D7711C">
        <w:t>11</w:t>
      </w:r>
      <w:r w:rsidR="00F44790">
        <w:t>/</w:t>
      </w:r>
      <w:r w:rsidR="000C0517">
        <w:t>0775</w:t>
      </w:r>
      <w:r w:rsidR="00F44790">
        <w:t>r</w:t>
      </w:r>
    </w:fldSimple>
    <w:r w:rsidR="000C0517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F2F"/>
    <w:multiLevelType w:val="hybridMultilevel"/>
    <w:tmpl w:val="FAA2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56F6"/>
    <w:rsid w:val="00003188"/>
    <w:rsid w:val="00006FC5"/>
    <w:rsid w:val="000103C7"/>
    <w:rsid w:val="000114CD"/>
    <w:rsid w:val="00014A0F"/>
    <w:rsid w:val="00024875"/>
    <w:rsid w:val="00025F5B"/>
    <w:rsid w:val="00040E7B"/>
    <w:rsid w:val="00047608"/>
    <w:rsid w:val="000556FE"/>
    <w:rsid w:val="00055D65"/>
    <w:rsid w:val="00072EB6"/>
    <w:rsid w:val="00085436"/>
    <w:rsid w:val="000C0517"/>
    <w:rsid w:val="000C09BE"/>
    <w:rsid w:val="000C63BF"/>
    <w:rsid w:val="000E3982"/>
    <w:rsid w:val="000E61FD"/>
    <w:rsid w:val="001002F6"/>
    <w:rsid w:val="00123CAE"/>
    <w:rsid w:val="00137AFF"/>
    <w:rsid w:val="00151E0A"/>
    <w:rsid w:val="001534FE"/>
    <w:rsid w:val="00167F7C"/>
    <w:rsid w:val="00181D67"/>
    <w:rsid w:val="00193C7D"/>
    <w:rsid w:val="001C5F71"/>
    <w:rsid w:val="001D3E33"/>
    <w:rsid w:val="001D723B"/>
    <w:rsid w:val="001F622A"/>
    <w:rsid w:val="00242D99"/>
    <w:rsid w:val="0025704B"/>
    <w:rsid w:val="0029020B"/>
    <w:rsid w:val="002D44BE"/>
    <w:rsid w:val="002E058A"/>
    <w:rsid w:val="002E3416"/>
    <w:rsid w:val="003123C6"/>
    <w:rsid w:val="0032158F"/>
    <w:rsid w:val="003242DD"/>
    <w:rsid w:val="00326753"/>
    <w:rsid w:val="00327006"/>
    <w:rsid w:val="0032766C"/>
    <w:rsid w:val="003373E8"/>
    <w:rsid w:val="003446A2"/>
    <w:rsid w:val="0036411A"/>
    <w:rsid w:val="00385ED1"/>
    <w:rsid w:val="003C0F88"/>
    <w:rsid w:val="003C46EB"/>
    <w:rsid w:val="003E41BE"/>
    <w:rsid w:val="003F1BF3"/>
    <w:rsid w:val="00407955"/>
    <w:rsid w:val="00416CA3"/>
    <w:rsid w:val="00420287"/>
    <w:rsid w:val="004227FB"/>
    <w:rsid w:val="00422B75"/>
    <w:rsid w:val="00425198"/>
    <w:rsid w:val="00442037"/>
    <w:rsid w:val="004549F0"/>
    <w:rsid w:val="00455912"/>
    <w:rsid w:val="004639FA"/>
    <w:rsid w:val="0046410C"/>
    <w:rsid w:val="00486C9A"/>
    <w:rsid w:val="004938DC"/>
    <w:rsid w:val="004A7D3B"/>
    <w:rsid w:val="004B54ED"/>
    <w:rsid w:val="004B7DEC"/>
    <w:rsid w:val="004C094F"/>
    <w:rsid w:val="004F7523"/>
    <w:rsid w:val="00505F45"/>
    <w:rsid w:val="00523DF9"/>
    <w:rsid w:val="005279B0"/>
    <w:rsid w:val="00547286"/>
    <w:rsid w:val="00550FAC"/>
    <w:rsid w:val="005623C1"/>
    <w:rsid w:val="00563FFD"/>
    <w:rsid w:val="00565CF0"/>
    <w:rsid w:val="005A24D7"/>
    <w:rsid w:val="005A7336"/>
    <w:rsid w:val="005B0C61"/>
    <w:rsid w:val="005B3B7C"/>
    <w:rsid w:val="005C357C"/>
    <w:rsid w:val="005E40FA"/>
    <w:rsid w:val="005E6825"/>
    <w:rsid w:val="00617302"/>
    <w:rsid w:val="00621200"/>
    <w:rsid w:val="0062440B"/>
    <w:rsid w:val="006268FB"/>
    <w:rsid w:val="00644655"/>
    <w:rsid w:val="006736B6"/>
    <w:rsid w:val="006A1ACF"/>
    <w:rsid w:val="006A43BD"/>
    <w:rsid w:val="006A6CF9"/>
    <w:rsid w:val="006B20AE"/>
    <w:rsid w:val="006C0727"/>
    <w:rsid w:val="006D616B"/>
    <w:rsid w:val="006E145F"/>
    <w:rsid w:val="006E5511"/>
    <w:rsid w:val="00716EEA"/>
    <w:rsid w:val="007209C3"/>
    <w:rsid w:val="00726376"/>
    <w:rsid w:val="0072668A"/>
    <w:rsid w:val="007307BC"/>
    <w:rsid w:val="00742D20"/>
    <w:rsid w:val="00744D20"/>
    <w:rsid w:val="007662C0"/>
    <w:rsid w:val="00770572"/>
    <w:rsid w:val="00781661"/>
    <w:rsid w:val="00784129"/>
    <w:rsid w:val="00796640"/>
    <w:rsid w:val="007A1E45"/>
    <w:rsid w:val="007B237A"/>
    <w:rsid w:val="007C56F6"/>
    <w:rsid w:val="007D01D6"/>
    <w:rsid w:val="007E0071"/>
    <w:rsid w:val="007F4CBD"/>
    <w:rsid w:val="008032F7"/>
    <w:rsid w:val="00810F4F"/>
    <w:rsid w:val="00812D60"/>
    <w:rsid w:val="00815702"/>
    <w:rsid w:val="00821396"/>
    <w:rsid w:val="0087086D"/>
    <w:rsid w:val="00870C47"/>
    <w:rsid w:val="0089331E"/>
    <w:rsid w:val="008B3F58"/>
    <w:rsid w:val="008B5928"/>
    <w:rsid w:val="008B6187"/>
    <w:rsid w:val="008C41AA"/>
    <w:rsid w:val="008E1A92"/>
    <w:rsid w:val="009063C3"/>
    <w:rsid w:val="00945C86"/>
    <w:rsid w:val="00990FEB"/>
    <w:rsid w:val="009C4F24"/>
    <w:rsid w:val="009D3EC6"/>
    <w:rsid w:val="00A07F92"/>
    <w:rsid w:val="00A1050B"/>
    <w:rsid w:val="00A11D12"/>
    <w:rsid w:val="00A12AB7"/>
    <w:rsid w:val="00A51738"/>
    <w:rsid w:val="00A60A1E"/>
    <w:rsid w:val="00A62026"/>
    <w:rsid w:val="00A94491"/>
    <w:rsid w:val="00AA427C"/>
    <w:rsid w:val="00AA67A9"/>
    <w:rsid w:val="00AB27BB"/>
    <w:rsid w:val="00AC6F4C"/>
    <w:rsid w:val="00AD5D5E"/>
    <w:rsid w:val="00AE5E60"/>
    <w:rsid w:val="00B11AF4"/>
    <w:rsid w:val="00B16ABE"/>
    <w:rsid w:val="00B32BDA"/>
    <w:rsid w:val="00B476D2"/>
    <w:rsid w:val="00B54F00"/>
    <w:rsid w:val="00B72DFC"/>
    <w:rsid w:val="00B72F7B"/>
    <w:rsid w:val="00B73743"/>
    <w:rsid w:val="00B74330"/>
    <w:rsid w:val="00B74722"/>
    <w:rsid w:val="00B826F2"/>
    <w:rsid w:val="00B85383"/>
    <w:rsid w:val="00BA0840"/>
    <w:rsid w:val="00BA1EF7"/>
    <w:rsid w:val="00BD4749"/>
    <w:rsid w:val="00BD5A30"/>
    <w:rsid w:val="00BE5143"/>
    <w:rsid w:val="00BE68C2"/>
    <w:rsid w:val="00C0379D"/>
    <w:rsid w:val="00C63BA7"/>
    <w:rsid w:val="00C7188E"/>
    <w:rsid w:val="00CA09B2"/>
    <w:rsid w:val="00CA1861"/>
    <w:rsid w:val="00CA1882"/>
    <w:rsid w:val="00CA2CE6"/>
    <w:rsid w:val="00CC0300"/>
    <w:rsid w:val="00CD1846"/>
    <w:rsid w:val="00CD40B7"/>
    <w:rsid w:val="00CE7DC8"/>
    <w:rsid w:val="00CF5719"/>
    <w:rsid w:val="00D05526"/>
    <w:rsid w:val="00D26F96"/>
    <w:rsid w:val="00D65E76"/>
    <w:rsid w:val="00D7711C"/>
    <w:rsid w:val="00D80520"/>
    <w:rsid w:val="00DA05AC"/>
    <w:rsid w:val="00DB0766"/>
    <w:rsid w:val="00DB426D"/>
    <w:rsid w:val="00DC5A7B"/>
    <w:rsid w:val="00DC6B92"/>
    <w:rsid w:val="00DF32F3"/>
    <w:rsid w:val="00E41FAB"/>
    <w:rsid w:val="00E42C05"/>
    <w:rsid w:val="00E62FBB"/>
    <w:rsid w:val="00E707EB"/>
    <w:rsid w:val="00EA3F9E"/>
    <w:rsid w:val="00EB7C4B"/>
    <w:rsid w:val="00EE0862"/>
    <w:rsid w:val="00EE363F"/>
    <w:rsid w:val="00EF1766"/>
    <w:rsid w:val="00EF2EDE"/>
    <w:rsid w:val="00F225A0"/>
    <w:rsid w:val="00F369D2"/>
    <w:rsid w:val="00F44790"/>
    <w:rsid w:val="00F84322"/>
    <w:rsid w:val="00FB5450"/>
    <w:rsid w:val="00FD3161"/>
    <w:rsid w:val="00FF1A82"/>
    <w:rsid w:val="00FF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D6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055D6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55D6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55D6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5D6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055D6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055D65"/>
    <w:pPr>
      <w:jc w:val="center"/>
    </w:pPr>
    <w:rPr>
      <w:b/>
      <w:sz w:val="28"/>
    </w:rPr>
  </w:style>
  <w:style w:type="paragraph" w:customStyle="1" w:styleId="T2">
    <w:name w:val="T2"/>
    <w:basedOn w:val="T1"/>
    <w:rsid w:val="00055D65"/>
    <w:pPr>
      <w:spacing w:after="240"/>
      <w:ind w:left="720" w:right="720"/>
    </w:pPr>
  </w:style>
  <w:style w:type="paragraph" w:customStyle="1" w:styleId="T3">
    <w:name w:val="T3"/>
    <w:basedOn w:val="T1"/>
    <w:rsid w:val="00055D6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055D65"/>
    <w:pPr>
      <w:ind w:left="720" w:hanging="720"/>
    </w:pPr>
  </w:style>
  <w:style w:type="character" w:styleId="Hyperlink">
    <w:name w:val="Hyperlink"/>
    <w:basedOn w:val="DefaultParagraphFont"/>
    <w:rsid w:val="00055D65"/>
    <w:rPr>
      <w:color w:val="0000FF"/>
      <w:u w:val="single"/>
    </w:rPr>
  </w:style>
  <w:style w:type="table" w:styleId="TableGrid">
    <w:name w:val="Table Grid"/>
    <w:basedOn w:val="TableNormal"/>
    <w:rsid w:val="00EF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B743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74330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AC6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F4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hya.raga@sams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sandhya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565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p.sandhya</dc:creator>
  <cp:keywords>Month Year</cp:keywords>
  <dc:description>John Doe, Some Company</dc:description>
  <cp:lastModifiedBy>p.sandhya</cp:lastModifiedBy>
  <cp:revision>74</cp:revision>
  <cp:lastPrinted>2011-04-29T10:53:00Z</cp:lastPrinted>
  <dcterms:created xsi:type="dcterms:W3CDTF">2011-05-10T12:49:00Z</dcterms:created>
  <dcterms:modified xsi:type="dcterms:W3CDTF">2011-05-11T19:51:00Z</dcterms:modified>
</cp:coreProperties>
</file>