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32EB" w:rsidRDefault="0049423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532EB">
        <w:trPr>
          <w:trHeight w:val="485"/>
          <w:jc w:val="center"/>
        </w:trPr>
        <w:tc>
          <w:tcPr>
            <w:tcW w:w="9576" w:type="dxa"/>
            <w:gridSpan w:val="5"/>
            <w:vAlign w:val="center"/>
          </w:tcPr>
          <w:p w:rsidR="004532EB" w:rsidRDefault="001A224D" w:rsidP="00B636A1">
            <w:pPr>
              <w:pStyle w:val="T2"/>
            </w:pPr>
            <w:r>
              <w:t>TGai Requirements</w:t>
            </w:r>
            <w:r w:rsidR="00B636A1">
              <w:t xml:space="preserve"> Document</w:t>
            </w:r>
          </w:p>
        </w:tc>
      </w:tr>
      <w:tr w:rsidR="004532EB">
        <w:trPr>
          <w:trHeight w:val="359"/>
          <w:jc w:val="center"/>
        </w:trPr>
        <w:tc>
          <w:tcPr>
            <w:tcW w:w="9576" w:type="dxa"/>
            <w:gridSpan w:val="5"/>
            <w:vAlign w:val="center"/>
          </w:tcPr>
          <w:p w:rsidR="004532EB" w:rsidRDefault="00494238" w:rsidP="00F02B63">
            <w:pPr>
              <w:pStyle w:val="T2"/>
              <w:ind w:left="0"/>
              <w:rPr>
                <w:sz w:val="20"/>
              </w:rPr>
            </w:pPr>
            <w:r>
              <w:rPr>
                <w:sz w:val="20"/>
              </w:rPr>
              <w:t>Date:</w:t>
            </w:r>
            <w:r>
              <w:rPr>
                <w:b w:val="0"/>
                <w:sz w:val="20"/>
              </w:rPr>
              <w:t xml:space="preserve">  </w:t>
            </w:r>
            <w:r w:rsidR="00F02B63">
              <w:rPr>
                <w:b w:val="0"/>
                <w:sz w:val="20"/>
              </w:rPr>
              <w:t>2011</w:t>
            </w:r>
            <w:r>
              <w:rPr>
                <w:b w:val="0"/>
                <w:sz w:val="20"/>
              </w:rPr>
              <w:t>-</w:t>
            </w:r>
            <w:r w:rsidR="00F02B63">
              <w:rPr>
                <w:b w:val="0"/>
                <w:sz w:val="20"/>
              </w:rPr>
              <w:t>05</w:t>
            </w:r>
            <w:r>
              <w:rPr>
                <w:b w:val="0"/>
                <w:sz w:val="20"/>
              </w:rPr>
              <w:t>-</w:t>
            </w:r>
            <w:r w:rsidR="00F02B63">
              <w:rPr>
                <w:b w:val="0"/>
                <w:sz w:val="20"/>
              </w:rPr>
              <w:t>1</w:t>
            </w:r>
            <w:r w:rsidR="00817538">
              <w:rPr>
                <w:b w:val="0"/>
                <w:sz w:val="20"/>
              </w:rPr>
              <w:t>2</w:t>
            </w:r>
          </w:p>
        </w:tc>
      </w:tr>
      <w:tr w:rsidR="004532EB">
        <w:trPr>
          <w:cantSplit/>
          <w:jc w:val="center"/>
        </w:trPr>
        <w:tc>
          <w:tcPr>
            <w:tcW w:w="9576" w:type="dxa"/>
            <w:gridSpan w:val="5"/>
            <w:vAlign w:val="center"/>
          </w:tcPr>
          <w:p w:rsidR="004532EB" w:rsidRDefault="00494238">
            <w:pPr>
              <w:pStyle w:val="T2"/>
              <w:spacing w:after="0"/>
              <w:ind w:left="0" w:right="0"/>
              <w:jc w:val="left"/>
              <w:rPr>
                <w:sz w:val="20"/>
              </w:rPr>
            </w:pPr>
            <w:r>
              <w:rPr>
                <w:sz w:val="20"/>
              </w:rPr>
              <w:t>Author(s):</w:t>
            </w:r>
          </w:p>
        </w:tc>
      </w:tr>
      <w:tr w:rsidR="004532EB">
        <w:trPr>
          <w:jc w:val="center"/>
        </w:trPr>
        <w:tc>
          <w:tcPr>
            <w:tcW w:w="1336" w:type="dxa"/>
            <w:vAlign w:val="center"/>
          </w:tcPr>
          <w:p w:rsidR="004532EB" w:rsidRDefault="00494238">
            <w:pPr>
              <w:pStyle w:val="T2"/>
              <w:spacing w:after="0"/>
              <w:ind w:left="0" w:right="0"/>
              <w:jc w:val="left"/>
              <w:rPr>
                <w:sz w:val="20"/>
              </w:rPr>
            </w:pPr>
            <w:r>
              <w:rPr>
                <w:sz w:val="20"/>
              </w:rPr>
              <w:t>Name</w:t>
            </w:r>
          </w:p>
        </w:tc>
        <w:tc>
          <w:tcPr>
            <w:tcW w:w="2064" w:type="dxa"/>
            <w:vAlign w:val="center"/>
          </w:tcPr>
          <w:p w:rsidR="004532EB" w:rsidRDefault="00494238">
            <w:pPr>
              <w:pStyle w:val="T2"/>
              <w:spacing w:after="0"/>
              <w:ind w:left="0" w:right="0"/>
              <w:jc w:val="left"/>
              <w:rPr>
                <w:sz w:val="20"/>
              </w:rPr>
            </w:pPr>
            <w:r>
              <w:rPr>
                <w:sz w:val="20"/>
              </w:rPr>
              <w:t>Affiliation</w:t>
            </w:r>
          </w:p>
        </w:tc>
        <w:tc>
          <w:tcPr>
            <w:tcW w:w="2814" w:type="dxa"/>
            <w:vAlign w:val="center"/>
          </w:tcPr>
          <w:p w:rsidR="004532EB" w:rsidRDefault="00494238">
            <w:pPr>
              <w:pStyle w:val="T2"/>
              <w:spacing w:after="0"/>
              <w:ind w:left="0" w:right="0"/>
              <w:jc w:val="left"/>
              <w:rPr>
                <w:sz w:val="20"/>
              </w:rPr>
            </w:pPr>
            <w:r>
              <w:rPr>
                <w:sz w:val="20"/>
              </w:rPr>
              <w:t>Address</w:t>
            </w:r>
          </w:p>
        </w:tc>
        <w:tc>
          <w:tcPr>
            <w:tcW w:w="1715" w:type="dxa"/>
            <w:vAlign w:val="center"/>
          </w:tcPr>
          <w:p w:rsidR="004532EB" w:rsidRDefault="00494238">
            <w:pPr>
              <w:pStyle w:val="T2"/>
              <w:spacing w:after="0"/>
              <w:ind w:left="0" w:right="0"/>
              <w:jc w:val="left"/>
              <w:rPr>
                <w:sz w:val="20"/>
              </w:rPr>
            </w:pPr>
            <w:r>
              <w:rPr>
                <w:sz w:val="20"/>
              </w:rPr>
              <w:t>Phone</w:t>
            </w:r>
          </w:p>
        </w:tc>
        <w:tc>
          <w:tcPr>
            <w:tcW w:w="1647" w:type="dxa"/>
            <w:vAlign w:val="center"/>
          </w:tcPr>
          <w:p w:rsidR="004532EB" w:rsidRDefault="00494238">
            <w:pPr>
              <w:pStyle w:val="T2"/>
              <w:spacing w:after="0"/>
              <w:ind w:left="0" w:right="0"/>
              <w:jc w:val="left"/>
              <w:rPr>
                <w:sz w:val="20"/>
              </w:rPr>
            </w:pPr>
            <w:r>
              <w:rPr>
                <w:sz w:val="20"/>
              </w:rPr>
              <w:t>email</w:t>
            </w:r>
          </w:p>
        </w:tc>
      </w:tr>
      <w:tr w:rsidR="004532EB">
        <w:trPr>
          <w:jc w:val="center"/>
        </w:trPr>
        <w:tc>
          <w:tcPr>
            <w:tcW w:w="1336" w:type="dxa"/>
            <w:vAlign w:val="center"/>
          </w:tcPr>
          <w:p w:rsidR="004532EB" w:rsidRDefault="00494238">
            <w:pPr>
              <w:pStyle w:val="T2"/>
              <w:spacing w:after="0"/>
              <w:ind w:left="0" w:right="0"/>
              <w:rPr>
                <w:b w:val="0"/>
                <w:sz w:val="20"/>
              </w:rPr>
            </w:pPr>
            <w:r>
              <w:rPr>
                <w:b w:val="0"/>
                <w:sz w:val="20"/>
              </w:rPr>
              <w:t>Marc Emmelmann</w:t>
            </w:r>
          </w:p>
        </w:tc>
        <w:tc>
          <w:tcPr>
            <w:tcW w:w="2064" w:type="dxa"/>
            <w:vAlign w:val="center"/>
          </w:tcPr>
          <w:p w:rsidR="004532EB" w:rsidRDefault="00494238">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4532EB" w:rsidRDefault="00494238">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4532EB" w:rsidRDefault="00494238">
            <w:pPr>
              <w:pStyle w:val="T2"/>
              <w:spacing w:after="0"/>
              <w:ind w:left="0" w:right="0"/>
              <w:rPr>
                <w:b w:val="0"/>
                <w:sz w:val="20"/>
              </w:rPr>
            </w:pPr>
            <w:r>
              <w:rPr>
                <w:b w:val="0"/>
                <w:sz w:val="20"/>
              </w:rPr>
              <w:t>+49 30 34637268</w:t>
            </w:r>
          </w:p>
        </w:tc>
        <w:tc>
          <w:tcPr>
            <w:tcW w:w="1647" w:type="dxa"/>
            <w:vAlign w:val="center"/>
          </w:tcPr>
          <w:p w:rsidR="004532EB" w:rsidRDefault="00494238">
            <w:pPr>
              <w:pStyle w:val="T2"/>
              <w:spacing w:after="0"/>
              <w:ind w:left="0" w:right="0"/>
              <w:rPr>
                <w:b w:val="0"/>
                <w:sz w:val="16"/>
              </w:rPr>
            </w:pPr>
            <w:r>
              <w:rPr>
                <w:b w:val="0"/>
                <w:sz w:val="16"/>
              </w:rPr>
              <w:t>emmelmann@ieee.org</w:t>
            </w:r>
          </w:p>
        </w:tc>
      </w:tr>
      <w:tr w:rsidR="004532EB">
        <w:trPr>
          <w:jc w:val="center"/>
        </w:trPr>
        <w:tc>
          <w:tcPr>
            <w:tcW w:w="1336" w:type="dxa"/>
            <w:vAlign w:val="center"/>
          </w:tcPr>
          <w:p w:rsidR="004532EB" w:rsidRDefault="004532EB">
            <w:pPr>
              <w:pStyle w:val="T2"/>
              <w:spacing w:after="0"/>
              <w:ind w:left="0" w:right="0"/>
              <w:rPr>
                <w:b w:val="0"/>
                <w:sz w:val="20"/>
              </w:rPr>
            </w:pPr>
          </w:p>
        </w:tc>
        <w:tc>
          <w:tcPr>
            <w:tcW w:w="2064" w:type="dxa"/>
            <w:vAlign w:val="center"/>
          </w:tcPr>
          <w:p w:rsidR="004532EB" w:rsidRDefault="004532EB">
            <w:pPr>
              <w:pStyle w:val="T2"/>
              <w:spacing w:after="0"/>
              <w:ind w:left="0" w:right="0"/>
              <w:rPr>
                <w:b w:val="0"/>
                <w:sz w:val="20"/>
              </w:rPr>
            </w:pPr>
          </w:p>
        </w:tc>
        <w:tc>
          <w:tcPr>
            <w:tcW w:w="2814" w:type="dxa"/>
            <w:vAlign w:val="center"/>
          </w:tcPr>
          <w:p w:rsidR="004532EB" w:rsidRDefault="004532EB">
            <w:pPr>
              <w:pStyle w:val="T2"/>
              <w:spacing w:after="0"/>
              <w:ind w:left="0" w:right="0"/>
              <w:rPr>
                <w:b w:val="0"/>
                <w:sz w:val="20"/>
              </w:rPr>
            </w:pPr>
          </w:p>
        </w:tc>
        <w:tc>
          <w:tcPr>
            <w:tcW w:w="1715" w:type="dxa"/>
            <w:vAlign w:val="center"/>
          </w:tcPr>
          <w:p w:rsidR="004532EB" w:rsidRDefault="004532EB">
            <w:pPr>
              <w:pStyle w:val="T2"/>
              <w:spacing w:after="0"/>
              <w:ind w:left="0" w:right="0"/>
              <w:rPr>
                <w:b w:val="0"/>
                <w:sz w:val="20"/>
              </w:rPr>
            </w:pPr>
          </w:p>
        </w:tc>
        <w:tc>
          <w:tcPr>
            <w:tcW w:w="1647" w:type="dxa"/>
            <w:vAlign w:val="center"/>
          </w:tcPr>
          <w:p w:rsidR="004532EB" w:rsidRDefault="004532EB">
            <w:pPr>
              <w:pStyle w:val="T2"/>
              <w:spacing w:after="0"/>
              <w:ind w:left="0" w:right="0"/>
              <w:rPr>
                <w:b w:val="0"/>
                <w:sz w:val="16"/>
              </w:rPr>
            </w:pPr>
          </w:p>
        </w:tc>
      </w:tr>
    </w:tbl>
    <w:p w:rsidR="004532EB" w:rsidRDefault="00025696">
      <w:pPr>
        <w:pStyle w:val="T1"/>
        <w:spacing w:after="120"/>
        <w:rPr>
          <w:sz w:val="22"/>
        </w:rPr>
      </w:pPr>
      <w:r w:rsidRPr="00025696">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00517" w:rsidRDefault="00200517">
                  <w:pPr>
                    <w:pStyle w:val="T1"/>
                    <w:spacing w:after="120"/>
                  </w:pPr>
                  <w:r>
                    <w:t>Abstract</w:t>
                  </w:r>
                </w:p>
                <w:p w:rsidR="00200517" w:rsidRDefault="00200517">
                  <w:pPr>
                    <w:jc w:val="both"/>
                  </w:pPr>
                  <w:r>
                    <w:t xml:space="preserve">This document summarizes the </w:t>
                  </w:r>
                  <w:proofErr w:type="spellStart"/>
                  <w:r>
                    <w:t>TGai</w:t>
                  </w:r>
                  <w:proofErr w:type="spellEnd"/>
                  <w:r>
                    <w:t xml:space="preserve"> requirements as derived from the PAR and from analyzing the </w:t>
                  </w:r>
                  <w:proofErr w:type="spellStart"/>
                  <w:r>
                    <w:t>TGai</w:t>
                  </w:r>
                  <w:proofErr w:type="spellEnd"/>
                  <w:r>
                    <w:t xml:space="preserve"> use cases.</w:t>
                  </w:r>
                </w:p>
                <w:p w:rsidR="00200517" w:rsidRDefault="00200517">
                  <w:pPr>
                    <w:jc w:val="both"/>
                  </w:pPr>
                  <w:r>
                    <w:t xml:space="preserve">The methodology on how to show compliance to these </w:t>
                  </w:r>
                  <w:proofErr w:type="spellStart"/>
                  <w:r>
                    <w:t>requirents</w:t>
                  </w:r>
                  <w:proofErr w:type="spellEnd"/>
                  <w:r>
                    <w:t xml:space="preserve"> will be specified in a TGai Evaluation Methodology Document that will also specify the subset of </w:t>
                  </w:r>
                  <w:proofErr w:type="gramStart"/>
                  <w:r>
                    <w:t>requirements which</w:t>
                  </w:r>
                  <w:proofErr w:type="gramEnd"/>
                  <w:r>
                    <w:t xml:space="preserve"> are mandatory to be met in order for a proposal to be considered for inclusion in the TGai amendment.</w:t>
                  </w:r>
                </w:p>
              </w:txbxContent>
            </v:textbox>
          </v:shape>
        </w:pict>
      </w:r>
    </w:p>
    <w:p w:rsidR="004532EB" w:rsidRDefault="004532EB" w:rsidP="002A4F65"/>
    <w:p w:rsidR="001A224D" w:rsidRDefault="00494238" w:rsidP="001A224D">
      <w:pPr>
        <w:pStyle w:val="berschrift1"/>
      </w:pPr>
      <w:r>
        <w:br w:type="page"/>
      </w:r>
      <w:r w:rsidR="00B636A1">
        <w:t>Introduction</w:t>
      </w:r>
    </w:p>
    <w:p w:rsidR="007025EB" w:rsidRDefault="007025EB" w:rsidP="007025EB">
      <w:pPr>
        <w:pStyle w:val="berschrift2"/>
      </w:pPr>
      <w:r>
        <w:t>Purpose</w:t>
      </w:r>
    </w:p>
    <w:p w:rsidR="00740293" w:rsidRDefault="00E64A23" w:rsidP="00E64A23">
      <w:r>
        <w:t>Thi</w:t>
      </w:r>
      <w:r w:rsidR="00740293">
        <w:t>s document defines requirements</w:t>
      </w:r>
      <w:r w:rsidR="004911B7">
        <w:t xml:space="preserve"> </w:t>
      </w:r>
      <w:r w:rsidR="00740293">
        <w:t xml:space="preserve">for solutions addressing functionality to be provided by the </w:t>
      </w:r>
      <w:proofErr w:type="spellStart"/>
      <w:r w:rsidR="00740293">
        <w:t>TGai</w:t>
      </w:r>
      <w:proofErr w:type="spellEnd"/>
      <w:r w:rsidR="00740293">
        <w:t xml:space="preserve"> amendment.</w:t>
      </w:r>
    </w:p>
    <w:p w:rsidR="00F00A5B" w:rsidRPr="007025EB" w:rsidRDefault="00740293" w:rsidP="00740293">
      <w:r>
        <w:t xml:space="preserve">Apart from setting functional requirements, this documents specifies performance requirements and constrains for solutions addressing functionality to be provided by the </w:t>
      </w:r>
      <w:proofErr w:type="spellStart"/>
      <w:r>
        <w:t>TGai</w:t>
      </w:r>
      <w:proofErr w:type="spellEnd"/>
      <w:r>
        <w:t xml:space="preserve"> amendment.</w:t>
      </w:r>
    </w:p>
    <w:p w:rsidR="007025EB" w:rsidRDefault="007025EB" w:rsidP="007025EB">
      <w:pPr>
        <w:pStyle w:val="berschrift2"/>
      </w:pPr>
      <w:r>
        <w:t>S</w:t>
      </w:r>
      <w:r w:rsidRPr="007025EB">
        <w:t>cope</w:t>
      </w:r>
    </w:p>
    <w:p w:rsidR="00DF21E1" w:rsidRDefault="00B20721" w:rsidP="00B20721">
      <w:r>
        <w:t xml:space="preserve">The scope </w:t>
      </w:r>
      <w:r w:rsidR="003C0F7D">
        <w:t xml:space="preserve">for </w:t>
      </w:r>
      <w:r w:rsidR="001121D3">
        <w:t>deriving</w:t>
      </w:r>
      <w:r>
        <w:t xml:space="preserve"> requirements is set by the </w:t>
      </w:r>
      <w:r w:rsidR="001424E3">
        <w:t>P802.11ai PAR [1]</w:t>
      </w:r>
      <w:r w:rsidR="003C0F7D">
        <w:t>,</w:t>
      </w:r>
      <w:r w:rsidR="001424E3">
        <w:t xml:space="preserve"> as well as </w:t>
      </w:r>
      <w:r>
        <w:t>by</w:t>
      </w:r>
      <w:r w:rsidR="001424E3">
        <w:t xml:space="preserve"> the TGai use case document [2].</w:t>
      </w:r>
    </w:p>
    <w:p w:rsidR="009A27C5" w:rsidRDefault="009A27C5" w:rsidP="00B20721">
      <w:r>
        <w:t xml:space="preserve">Requirements are identified by a </w:t>
      </w:r>
      <w:proofErr w:type="spellStart"/>
      <w:r>
        <w:t>preceeding</w:t>
      </w:r>
      <w:proofErr w:type="spellEnd"/>
      <w:r>
        <w:t xml:space="preserve"> unique number </w:t>
      </w:r>
      <w:proofErr w:type="gramStart"/>
      <w:r>
        <w:t>( [</w:t>
      </w:r>
      <w:proofErr w:type="spellStart"/>
      <w:proofErr w:type="gramEnd"/>
      <w:r>
        <w:t>Reqx.x.x</w:t>
      </w:r>
      <w:proofErr w:type="spellEnd"/>
      <w:r>
        <w:t>] ) and may be followed by additional, informative text starting with “Note—“.</w:t>
      </w:r>
    </w:p>
    <w:p w:rsidR="007025EB" w:rsidRDefault="007025EB" w:rsidP="007025EB">
      <w:pPr>
        <w:pStyle w:val="berschrift2"/>
      </w:pPr>
      <w:r w:rsidRPr="007025EB">
        <w:t>Definitions, acronym</w:t>
      </w:r>
      <w:r>
        <w:t>s, and abbreviations</w:t>
      </w:r>
    </w:p>
    <w:p w:rsidR="003B0730" w:rsidRDefault="003B0730" w:rsidP="003B0730">
      <w:r>
        <w:t xml:space="preserve">&lt;&lt;&lt; Relevant </w:t>
      </w:r>
      <w:proofErr w:type="spellStart"/>
      <w:r>
        <w:t>defintions</w:t>
      </w:r>
      <w:proofErr w:type="spellEnd"/>
      <w:r>
        <w:t>, e.g. based on the use case document, to be included here. &gt;&gt;&gt;</w:t>
      </w:r>
    </w:p>
    <w:p w:rsidR="00DD6E31" w:rsidRDefault="00965B63" w:rsidP="003B0730">
      <w:r>
        <w:t>FILS:</w:t>
      </w:r>
      <w:r>
        <w:tab/>
        <w:t>Fast Initial Link Setup</w:t>
      </w:r>
      <w:r w:rsidR="00193703">
        <w:t xml:space="preserve"> [1]</w:t>
      </w:r>
    </w:p>
    <w:p w:rsidR="00DD6E31" w:rsidRDefault="00DD6E31" w:rsidP="003B0730">
      <w:r>
        <w:t xml:space="preserve">Link </w:t>
      </w:r>
      <w:proofErr w:type="spellStart"/>
      <w:r>
        <w:t>Setup</w:t>
      </w:r>
      <w:proofErr w:type="spellEnd"/>
      <w:r>
        <w:t>:</w:t>
      </w:r>
      <w:r>
        <w:tab/>
      </w:r>
      <w:r w:rsidRPr="00DD6E31">
        <w:t>the process of gaining the ability to send IP traffic with a valid IP address through the AP. Link Setup may involve more than one AP in an ESS. This includes AP/Network discovery and (secure) A</w:t>
      </w:r>
      <w:r w:rsidR="000F7E8C">
        <w:t>ssociation and Authentication. [3]</w:t>
      </w:r>
    </w:p>
    <w:p w:rsidR="00965B63" w:rsidRPr="003B0730" w:rsidRDefault="00DD6E31" w:rsidP="003B0730">
      <w:r>
        <w:t xml:space="preserve">Link Setup </w:t>
      </w:r>
      <w:proofErr w:type="spellStart"/>
      <w:r>
        <w:t>Time</w:t>
      </w:r>
      <w:proofErr w:type="spellEnd"/>
      <w:r>
        <w:t>:</w:t>
      </w:r>
      <w:r>
        <w:tab/>
      </w:r>
      <w:r w:rsidRPr="00DD6E31">
        <w:t xml:space="preserve"> the amount time require</w:t>
      </w:r>
      <w:r w:rsidR="003C6935">
        <w:t xml:space="preserve">d in the use case to establish </w:t>
      </w:r>
      <w:r w:rsidRPr="00DD6E31">
        <w:t>link setup. Timing starts when the STA elects to perform Link Setup.</w:t>
      </w:r>
      <w:r w:rsidR="000F7E8C">
        <w:t xml:space="preserve"> [3]</w:t>
      </w:r>
    </w:p>
    <w:p w:rsidR="007025EB" w:rsidRDefault="007025EB" w:rsidP="007025EB">
      <w:pPr>
        <w:pStyle w:val="berschrift2"/>
      </w:pPr>
      <w:r w:rsidRPr="007025EB">
        <w:t>References</w:t>
      </w:r>
    </w:p>
    <w:p w:rsidR="007025EB" w:rsidRDefault="007025EB" w:rsidP="007025EB">
      <w:r>
        <w:t>[1]</w:t>
      </w:r>
      <w:r>
        <w:tab/>
        <w:t xml:space="preserve">11-10/1152r01:  Fast Initial Link Set-UP Project </w:t>
      </w:r>
      <w:proofErr w:type="spellStart"/>
      <w:r>
        <w:t>Authorizaiton</w:t>
      </w:r>
      <w:proofErr w:type="spellEnd"/>
      <w:r>
        <w:t xml:space="preserve"> Request</w:t>
      </w:r>
    </w:p>
    <w:p w:rsidR="009A27C5" w:rsidRDefault="009A27C5" w:rsidP="007025EB">
      <w:r>
        <w:t>[2</w:t>
      </w:r>
      <w:r w:rsidR="007025EB">
        <w:t>]</w:t>
      </w:r>
      <w:r w:rsidR="007025EB">
        <w:tab/>
        <w:t>11-10/1152r01:  Fast Initial Link Set-Up PAR</w:t>
      </w:r>
    </w:p>
    <w:p w:rsidR="007025EB" w:rsidRDefault="009A27C5" w:rsidP="007025EB">
      <w:r>
        <w:t>[3]</w:t>
      </w:r>
      <w:r>
        <w:tab/>
        <w:t xml:space="preserve">11-10/0238:  </w:t>
      </w:r>
      <w:proofErr w:type="spellStart"/>
      <w:r>
        <w:t>TGai</w:t>
      </w:r>
      <w:proofErr w:type="spellEnd"/>
      <w:r>
        <w:t xml:space="preserve"> Use Cases</w:t>
      </w:r>
    </w:p>
    <w:p w:rsidR="009A27C5" w:rsidRDefault="007025EB" w:rsidP="007025EB">
      <w:r>
        <w:t>[4]</w:t>
      </w:r>
      <w:r>
        <w:tab/>
      </w:r>
      <w:r w:rsidR="00663062">
        <w:t xml:space="preserve">11-11-0811:  </w:t>
      </w:r>
      <w:proofErr w:type="spellStart"/>
      <w:r>
        <w:t>TGai</w:t>
      </w:r>
      <w:proofErr w:type="spellEnd"/>
      <w:r>
        <w:t xml:space="preserve"> Evaluation Methodology</w:t>
      </w:r>
    </w:p>
    <w:p w:rsidR="004C0C7C" w:rsidRPr="004C0C7C" w:rsidRDefault="004C0C7C" w:rsidP="004C0C7C">
      <w:pPr>
        <w:pStyle w:val="berschrift1"/>
      </w:pPr>
      <w:bookmarkStart w:id="0" w:name="_Ref166740285"/>
      <w:r>
        <w:t>Requirements</w:t>
      </w:r>
    </w:p>
    <w:bookmarkEnd w:id="0"/>
    <w:p w:rsidR="00924FBF" w:rsidRDefault="00B636A1">
      <w:pPr>
        <w:pStyle w:val="berschrift2"/>
        <w:rPr>
          <w:lang w:val="de-DE" w:eastAsia="de-DE"/>
        </w:rPr>
      </w:pPr>
      <w:r w:rsidRPr="00B636A1">
        <w:rPr>
          <w:lang w:val="de-DE" w:eastAsia="de-DE"/>
        </w:rPr>
        <w:t xml:space="preserve">Functional </w:t>
      </w:r>
      <w:proofErr w:type="spellStart"/>
      <w:r w:rsidRPr="00B636A1">
        <w:rPr>
          <w:lang w:val="de-DE" w:eastAsia="de-DE"/>
        </w:rPr>
        <w:t>requirements</w:t>
      </w:r>
      <w:proofErr w:type="spellEnd"/>
      <w:r w:rsidRPr="00B636A1">
        <w:rPr>
          <w:lang w:val="de-DE" w:eastAsia="de-DE"/>
        </w:rPr>
        <w:t xml:space="preserve"> [What the system shall do]</w:t>
      </w:r>
    </w:p>
    <w:p w:rsidR="00216D87" w:rsidRDefault="00216D87" w:rsidP="007A1B4D">
      <w:pPr>
        <w:pStyle w:val="berschrift3"/>
      </w:pPr>
      <w:r>
        <w:t xml:space="preserve">Link Set-Up </w:t>
      </w:r>
    </w:p>
    <w:p w:rsidR="00216D87" w:rsidRDefault="00216D87" w:rsidP="00216D87">
      <w:r>
        <w:t>[Req</w:t>
      </w:r>
      <w:r w:rsidR="00740293">
        <w:t>2.1.1.1</w:t>
      </w:r>
      <w:r>
        <w:t xml:space="preserve">] The </w:t>
      </w:r>
      <w:proofErr w:type="spellStart"/>
      <w:r>
        <w:t>TGai</w:t>
      </w:r>
      <w:proofErr w:type="spellEnd"/>
      <w:r>
        <w:t xml:space="preserve"> amendment shall support a </w:t>
      </w:r>
      <w:r w:rsidRPr="00216D87">
        <w:rPr>
          <w:b/>
        </w:rPr>
        <w:t>link set-up</w:t>
      </w:r>
      <w:r>
        <w:t xml:space="preserve">. The solutions shall provide mechanisms for AP &amp; network discovery, network discovery, </w:t>
      </w:r>
      <w:r w:rsidR="00193703">
        <w:t>association</w:t>
      </w:r>
      <w:r>
        <w:t xml:space="preserve"> and authentication, as well as IP-address assignment.</w:t>
      </w:r>
    </w:p>
    <w:p w:rsidR="00216D87" w:rsidRDefault="00216D87" w:rsidP="00216D87">
      <w:pPr>
        <w:pStyle w:val="berschrift3"/>
      </w:pPr>
      <w:r>
        <w:t>Scalability</w:t>
      </w:r>
    </w:p>
    <w:p w:rsidR="00216D87" w:rsidRPr="00216D87" w:rsidRDefault="00740293" w:rsidP="00216D87">
      <w:r>
        <w:t>[Req2.1.2.1</w:t>
      </w:r>
      <w:r w:rsidR="00216D87">
        <w:t xml:space="preserve">] The </w:t>
      </w:r>
      <w:proofErr w:type="spellStart"/>
      <w:r w:rsidR="00216D87">
        <w:t>TGai</w:t>
      </w:r>
      <w:proofErr w:type="spellEnd"/>
      <w:r w:rsidR="00216D87">
        <w:t xml:space="preserve"> amendment shall support </w:t>
      </w:r>
      <w:r w:rsidR="00216D87" w:rsidRPr="00575399">
        <w:rPr>
          <w:b/>
        </w:rPr>
        <w:t xml:space="preserve">robustness </w:t>
      </w:r>
      <w:r w:rsidR="00193703">
        <w:rPr>
          <w:b/>
        </w:rPr>
        <w:t>in the presence of a</w:t>
      </w:r>
      <w:r w:rsidR="00216D87" w:rsidRPr="00575399">
        <w:rPr>
          <w:b/>
        </w:rPr>
        <w:t xml:space="preserve"> </w:t>
      </w:r>
      <w:r w:rsidR="00193703">
        <w:rPr>
          <w:b/>
        </w:rPr>
        <w:t>large</w:t>
      </w:r>
      <w:r w:rsidR="00216D87" w:rsidRPr="00575399">
        <w:rPr>
          <w:b/>
        </w:rPr>
        <w:t xml:space="preserve"> </w:t>
      </w:r>
      <w:r w:rsidR="00216D87">
        <w:rPr>
          <w:b/>
        </w:rPr>
        <w:t xml:space="preserve">number of </w:t>
      </w:r>
      <w:r w:rsidR="00216D87" w:rsidRPr="00575399">
        <w:rPr>
          <w:b/>
        </w:rPr>
        <w:t>user</w:t>
      </w:r>
      <w:r w:rsidR="00193703">
        <w:rPr>
          <w:b/>
        </w:rPr>
        <w:t>s</w:t>
      </w:r>
      <w:r w:rsidR="00216D87">
        <w:t xml:space="preserve">. Solutions shall demonstrate that they scale with a high number of users simultaneously entering an ESS. </w:t>
      </w:r>
    </w:p>
    <w:p w:rsidR="007A1B4D" w:rsidRDefault="007A1B4D" w:rsidP="007A1B4D">
      <w:pPr>
        <w:pStyle w:val="berschrift3"/>
      </w:pPr>
      <w:r>
        <w:t>Concurrency in information exchange</w:t>
      </w:r>
    </w:p>
    <w:p w:rsidR="007A1B4D" w:rsidRPr="007A1B4D" w:rsidRDefault="007A1B4D" w:rsidP="007A1B4D">
      <w:r>
        <w:t xml:space="preserve">Reducing the number of messages transmitted over the air per user frees airtime and may increase the number of users that may simultaneously enter an ESS. Concurrency in the exchange of higher layer protocol messages while setting up the 802.11 MAC link is </w:t>
      </w:r>
      <w:proofErr w:type="spellStart"/>
      <w:r w:rsidR="00193703">
        <w:t>desireable</w:t>
      </w:r>
      <w:proofErr w:type="spellEnd"/>
      <w:r>
        <w:t>.</w:t>
      </w:r>
      <w:r w:rsidR="00983CC7">
        <w:t xml:space="preserve"> [1]</w:t>
      </w:r>
    </w:p>
    <w:p w:rsidR="0088484D" w:rsidRDefault="006D74A3" w:rsidP="00711694">
      <w:r w:rsidRPr="007A1B4D">
        <w:t>[</w:t>
      </w:r>
      <w:r w:rsidR="00965B63" w:rsidRPr="007A1B4D">
        <w:t>Req</w:t>
      </w:r>
      <w:r w:rsidR="00740293">
        <w:t>2.1.3</w:t>
      </w:r>
      <w:r w:rsidR="00965B63">
        <w:t>.1</w:t>
      </w:r>
      <w:r w:rsidR="0088484D">
        <w:t xml:space="preserve">] The </w:t>
      </w:r>
      <w:proofErr w:type="spellStart"/>
      <w:r w:rsidR="0088484D">
        <w:t>TGai</w:t>
      </w:r>
      <w:proofErr w:type="spellEnd"/>
      <w:r w:rsidR="0088484D">
        <w:t xml:space="preserve"> amendment shall support </w:t>
      </w:r>
      <w:r w:rsidR="0088484D" w:rsidRPr="0088484D">
        <w:rPr>
          <w:b/>
        </w:rPr>
        <w:t>concurrency in information exchange</w:t>
      </w:r>
      <w:r w:rsidR="0088484D">
        <w:t xml:space="preserve">. The solution shall provide mechanisms to exchange </w:t>
      </w:r>
      <w:r w:rsidR="00193703">
        <w:t xml:space="preserve">appropriate information </w:t>
      </w:r>
      <w:r w:rsidR="0088484D">
        <w:t xml:space="preserve">during the </w:t>
      </w:r>
      <w:r w:rsidR="00193703">
        <w:t>link set-up phase</w:t>
      </w:r>
      <w:r w:rsidR="0088484D">
        <w:t>.</w:t>
      </w:r>
      <w:r w:rsidR="00193703">
        <w:t xml:space="preserve"> This information is usually contained in higher layer protocol messages.</w:t>
      </w:r>
    </w:p>
    <w:p w:rsidR="0088484D" w:rsidRDefault="0088484D" w:rsidP="00711694">
      <w:r>
        <w:t xml:space="preserve">Note—An example for such concurrency is the </w:t>
      </w:r>
      <w:proofErr w:type="spellStart"/>
      <w:r>
        <w:t>exhange</w:t>
      </w:r>
      <w:proofErr w:type="spellEnd"/>
      <w:r>
        <w:t xml:space="preserve"> if information for IP-address assignment as part of the </w:t>
      </w:r>
      <w:proofErr w:type="spellStart"/>
      <w:r>
        <w:t>messege</w:t>
      </w:r>
      <w:proofErr w:type="spellEnd"/>
      <w:r>
        <w:t xml:space="preserve"> sequence used for 802.11 authentication or association.</w:t>
      </w:r>
    </w:p>
    <w:p w:rsidR="00924FBF" w:rsidRDefault="00B636A1">
      <w:pPr>
        <w:pStyle w:val="berschrift2"/>
        <w:rPr>
          <w:lang w:val="de-DE" w:eastAsia="de-DE"/>
        </w:rPr>
      </w:pPr>
      <w:bookmarkStart w:id="1" w:name="_Ref166821347"/>
      <w:r w:rsidRPr="00B636A1">
        <w:rPr>
          <w:lang w:val="de-DE" w:eastAsia="de-DE"/>
        </w:rPr>
        <w:t xml:space="preserve">Performance </w:t>
      </w:r>
      <w:proofErr w:type="spellStart"/>
      <w:r w:rsidRPr="00B636A1">
        <w:rPr>
          <w:lang w:val="de-DE" w:eastAsia="de-DE"/>
        </w:rPr>
        <w:t>requirements</w:t>
      </w:r>
      <w:proofErr w:type="spellEnd"/>
      <w:r w:rsidRPr="00B636A1">
        <w:rPr>
          <w:lang w:val="de-DE" w:eastAsia="de-DE"/>
        </w:rPr>
        <w:t xml:space="preserve"> [</w:t>
      </w:r>
      <w:proofErr w:type="spellStart"/>
      <w:r w:rsidRPr="00B636A1">
        <w:rPr>
          <w:lang w:val="de-DE" w:eastAsia="de-DE"/>
        </w:rPr>
        <w:t>How</w:t>
      </w:r>
      <w:proofErr w:type="spellEnd"/>
      <w:r w:rsidRPr="00B636A1">
        <w:rPr>
          <w:lang w:val="de-DE" w:eastAsia="de-DE"/>
        </w:rPr>
        <w:t xml:space="preserve"> well the requirements should perform]</w:t>
      </w:r>
      <w:bookmarkEnd w:id="1"/>
    </w:p>
    <w:p w:rsidR="00216D87" w:rsidRDefault="00B334AC" w:rsidP="00EA31C3">
      <w:r>
        <w:t>T</w:t>
      </w:r>
      <w:r w:rsidR="00EA31C3">
        <w:t xml:space="preserve">he </w:t>
      </w:r>
      <w:proofErr w:type="spellStart"/>
      <w:r w:rsidR="00EA31C3">
        <w:t>TGai</w:t>
      </w:r>
      <w:proofErr w:type="spellEnd"/>
      <w:r w:rsidR="00EA31C3">
        <w:t xml:space="preserve"> amendment shall enable </w:t>
      </w:r>
      <w:r w:rsidR="006D4415">
        <w:t xml:space="preserve">IEEE 802.11 </w:t>
      </w:r>
      <w:r w:rsidR="00EA31C3">
        <w:t>devices to effectively work in an environment where mobile devices are constantly entering and leaving the coverage area of an existing extended service set (ESS) and thereby have to do an initial link set-up to establish wireless local area network connectivity.</w:t>
      </w:r>
      <w:r w:rsidR="006D4415">
        <w:t xml:space="preserve"> [1]</w:t>
      </w:r>
    </w:p>
    <w:p w:rsidR="00216D87" w:rsidRDefault="00216D87" w:rsidP="00216D87">
      <w:pPr>
        <w:pStyle w:val="berschrift3"/>
      </w:pPr>
      <w:r>
        <w:t>Link Set-Up Time</w:t>
      </w:r>
    </w:p>
    <w:p w:rsidR="00565D22" w:rsidRDefault="00740293" w:rsidP="00EA31C3">
      <w:r>
        <w:t>[Req2.2.1.1</w:t>
      </w:r>
      <w:r w:rsidR="00216D87">
        <w:t xml:space="preserve">] The </w:t>
      </w:r>
      <w:proofErr w:type="spellStart"/>
      <w:r w:rsidR="00216D87">
        <w:t>TGai</w:t>
      </w:r>
      <w:proofErr w:type="spellEnd"/>
      <w:r w:rsidR="00216D87">
        <w:t xml:space="preserve"> amendment shall support a</w:t>
      </w:r>
      <w:r w:rsidR="00B334AC">
        <w:t>n</w:t>
      </w:r>
      <w:r w:rsidR="00216D87">
        <w:t xml:space="preserve"> </w:t>
      </w:r>
      <w:r w:rsidR="00216D87" w:rsidRPr="00216D87">
        <w:rPr>
          <w:b/>
        </w:rPr>
        <w:t>initial link set-up</w:t>
      </w:r>
      <w:r w:rsidR="00216D87">
        <w:rPr>
          <w:b/>
        </w:rPr>
        <w:t xml:space="preserve"> </w:t>
      </w:r>
      <w:proofErr w:type="gramStart"/>
      <w:r w:rsidR="00216D87">
        <w:rPr>
          <w:b/>
        </w:rPr>
        <w:t>time</w:t>
      </w:r>
      <w:r w:rsidR="00B334AC">
        <w:rPr>
          <w:b/>
        </w:rPr>
        <w:t xml:space="preserve"> </w:t>
      </w:r>
      <w:r w:rsidR="00B334AC" w:rsidRPr="00B334AC">
        <w:t>which</w:t>
      </w:r>
      <w:proofErr w:type="gramEnd"/>
      <w:r w:rsidR="00B334AC" w:rsidRPr="00B334AC">
        <w:t xml:space="preserve"> is an improvement over IEEE 802.11</w:t>
      </w:r>
      <w:r w:rsidR="00216D87">
        <w:t>. Solutions shall demonstrate that they can provide a secure link set-up in less than 100 ms.</w:t>
      </w:r>
    </w:p>
    <w:p w:rsidR="008E27C1" w:rsidRDefault="00CA6992" w:rsidP="00CA6992">
      <w:pPr>
        <w:pStyle w:val="berschrift3"/>
      </w:pPr>
      <w:r>
        <w:t>Scalability</w:t>
      </w:r>
    </w:p>
    <w:p w:rsidR="00200517" w:rsidRDefault="00740293" w:rsidP="00711694">
      <w:r>
        <w:t>[Req2.2.2.1</w:t>
      </w:r>
      <w:r w:rsidR="00711694">
        <w:t xml:space="preserve">] </w:t>
      </w:r>
      <w:r w:rsidR="00575399">
        <w:t xml:space="preserve">The </w:t>
      </w:r>
      <w:proofErr w:type="spellStart"/>
      <w:r w:rsidR="00575399">
        <w:t>TGai</w:t>
      </w:r>
      <w:proofErr w:type="spellEnd"/>
      <w:r w:rsidR="00575399">
        <w:t xml:space="preserve"> amendment shall support a </w:t>
      </w:r>
      <w:r w:rsidR="00575399" w:rsidRPr="00575399">
        <w:rPr>
          <w:b/>
        </w:rPr>
        <w:t xml:space="preserve">minimum user </w:t>
      </w:r>
      <w:proofErr w:type="spellStart"/>
      <w:r w:rsidR="00575399" w:rsidRPr="00575399">
        <w:rPr>
          <w:b/>
        </w:rPr>
        <w:t>load</w:t>
      </w:r>
      <w:proofErr w:type="spellEnd"/>
      <w:r w:rsidR="00575399">
        <w:t xml:space="preserve">. Solutions shall demonstrate that they support at least 100 non-AP </w:t>
      </w:r>
      <w:proofErr w:type="spellStart"/>
      <w:r w:rsidR="00575399">
        <w:t>STAs</w:t>
      </w:r>
      <w:proofErr w:type="spellEnd"/>
      <w:r w:rsidR="00575399">
        <w:t xml:space="preserve"> </w:t>
      </w:r>
      <w:r w:rsidR="006D4415">
        <w:t>entering an ESS within 1 second</w:t>
      </w:r>
      <w:r w:rsidR="00216D87">
        <w:t>,</w:t>
      </w:r>
      <w:r w:rsidR="006D4415">
        <w:t xml:space="preserve"> and</w:t>
      </w:r>
      <w:r w:rsidR="00575399">
        <w:t xml:space="preserve"> </w:t>
      </w:r>
      <w:proofErr w:type="spellStart"/>
      <w:r w:rsidR="00575399">
        <w:t>sucsessfully</w:t>
      </w:r>
      <w:proofErr w:type="spellEnd"/>
      <w:r w:rsidR="00575399">
        <w:t xml:space="preserve"> conducting a link set-up.</w:t>
      </w:r>
    </w:p>
    <w:p w:rsidR="00575399" w:rsidRDefault="00200517" w:rsidP="00711694">
      <w:r>
        <w:t>Note—</w:t>
      </w:r>
      <w:proofErr w:type="spellStart"/>
      <w:r>
        <w:t>TGai</w:t>
      </w:r>
      <w:proofErr w:type="spellEnd"/>
      <w:r>
        <w:t xml:space="preserve"> entertains submissions on the theoretical limits of the number of packet exchanges achievable in 1 second as a function of packet size and data rate.</w:t>
      </w:r>
    </w:p>
    <w:p w:rsidR="00711694" w:rsidRDefault="00740293" w:rsidP="00711694">
      <w:r>
        <w:t>[Req2.2.2.2</w:t>
      </w:r>
      <w:r w:rsidR="00B86198">
        <w:t xml:space="preserve">] The </w:t>
      </w:r>
      <w:proofErr w:type="spellStart"/>
      <w:r w:rsidR="00B86198">
        <w:t>TGai</w:t>
      </w:r>
      <w:proofErr w:type="spellEnd"/>
      <w:r w:rsidR="00B86198">
        <w:t xml:space="preserve"> amendment shall support </w:t>
      </w:r>
      <w:r w:rsidR="00B86198" w:rsidRPr="00B86198">
        <w:rPr>
          <w:b/>
        </w:rPr>
        <w:t xml:space="preserve">robustness </w:t>
      </w:r>
      <w:r w:rsidR="003C6935">
        <w:rPr>
          <w:b/>
        </w:rPr>
        <w:t>in the presence of</w:t>
      </w:r>
      <w:r w:rsidR="00B86198" w:rsidRPr="00B86198">
        <w:rPr>
          <w:b/>
        </w:rPr>
        <w:t xml:space="preserve"> </w:t>
      </w:r>
      <w:r w:rsidR="008E27C1">
        <w:rPr>
          <w:b/>
        </w:rPr>
        <w:t xml:space="preserve">high </w:t>
      </w:r>
      <w:r w:rsidR="00B86198" w:rsidRPr="00B86198">
        <w:rPr>
          <w:b/>
        </w:rPr>
        <w:t>background load</w:t>
      </w:r>
      <w:r w:rsidR="00B86198">
        <w:t>. Solutions shall demonstrate that they can provide a link set-up for media loads of at least 50%.</w:t>
      </w:r>
    </w:p>
    <w:p w:rsidR="00740293" w:rsidRDefault="00B636A1">
      <w:pPr>
        <w:pStyle w:val="berschrift2"/>
        <w:rPr>
          <w:lang w:val="de-DE" w:eastAsia="de-DE"/>
        </w:rPr>
      </w:pPr>
      <w:proofErr w:type="spellStart"/>
      <w:r w:rsidRPr="00B636A1">
        <w:rPr>
          <w:lang w:val="de-DE" w:eastAsia="de-DE"/>
        </w:rPr>
        <w:t>Non-Functional</w:t>
      </w:r>
      <w:proofErr w:type="spellEnd"/>
      <w:r w:rsidRPr="00B636A1">
        <w:rPr>
          <w:lang w:val="de-DE" w:eastAsia="de-DE"/>
        </w:rPr>
        <w:t xml:space="preserve"> requirements, such as reliability, safety, environmental [temperature]</w:t>
      </w:r>
    </w:p>
    <w:p w:rsidR="00924FBF" w:rsidRPr="00740293" w:rsidRDefault="00740293" w:rsidP="00740293">
      <w:proofErr w:type="spellStart"/>
      <w:r>
        <w:t>TGai</w:t>
      </w:r>
      <w:proofErr w:type="spellEnd"/>
      <w:r>
        <w:t xml:space="preserve"> has not identified non-functional requirements.</w:t>
      </w:r>
    </w:p>
    <w:p w:rsidR="00740293" w:rsidRDefault="00B636A1">
      <w:pPr>
        <w:pStyle w:val="berschrift2"/>
        <w:rPr>
          <w:lang w:val="de-DE" w:eastAsia="de-DE"/>
        </w:rPr>
      </w:pPr>
      <w:proofErr w:type="spellStart"/>
      <w:r w:rsidRPr="00B636A1">
        <w:rPr>
          <w:lang w:val="de-DE" w:eastAsia="de-DE"/>
        </w:rPr>
        <w:t>Enabling</w:t>
      </w:r>
      <w:proofErr w:type="spellEnd"/>
      <w:r w:rsidRPr="00B636A1">
        <w:rPr>
          <w:lang w:val="de-DE" w:eastAsia="de-DE"/>
        </w:rPr>
        <w:t xml:space="preserve"> </w:t>
      </w:r>
      <w:proofErr w:type="spellStart"/>
      <w:r w:rsidRPr="00B636A1">
        <w:rPr>
          <w:lang w:val="de-DE" w:eastAsia="de-DE"/>
        </w:rPr>
        <w:t>requirements</w:t>
      </w:r>
      <w:proofErr w:type="spellEnd"/>
      <w:r w:rsidRPr="00B636A1">
        <w:rPr>
          <w:lang w:val="de-DE" w:eastAsia="de-DE"/>
        </w:rPr>
        <w:t xml:space="preserve"> [Production, development, testing, training, support, deployment, and disposal]. </w:t>
      </w:r>
    </w:p>
    <w:p w:rsidR="00924FBF" w:rsidRPr="00740293" w:rsidRDefault="00740293" w:rsidP="00740293">
      <w:proofErr w:type="spellStart"/>
      <w:r>
        <w:t>TGai</w:t>
      </w:r>
      <w:proofErr w:type="spellEnd"/>
      <w:r>
        <w:t xml:space="preserve"> has not indentified enabling requirements.</w:t>
      </w:r>
    </w:p>
    <w:p w:rsidR="00924FBF" w:rsidRDefault="00B636A1">
      <w:pPr>
        <w:pStyle w:val="berschrift2"/>
        <w:rPr>
          <w:lang w:val="de-DE" w:eastAsia="de-DE"/>
        </w:rPr>
      </w:pPr>
      <w:proofErr w:type="spellStart"/>
      <w:r w:rsidRPr="00B636A1">
        <w:rPr>
          <w:lang w:val="de-DE" w:eastAsia="de-DE"/>
        </w:rPr>
        <w:t>Constraints</w:t>
      </w:r>
      <w:proofErr w:type="spellEnd"/>
      <w:r w:rsidRPr="00B636A1">
        <w:rPr>
          <w:lang w:val="de-DE" w:eastAsia="de-DE"/>
        </w:rPr>
        <w:t xml:space="preserve"> – [e.g. Technology, design, tools, and/or standards]</w:t>
      </w:r>
    </w:p>
    <w:p w:rsidR="0054374C" w:rsidRPr="00AB5D3B" w:rsidRDefault="0054374C" w:rsidP="0054374C">
      <w:pPr>
        <w:pStyle w:val="berschrift3"/>
      </w:pPr>
      <w:r>
        <w:t>Maintaining existing security level</w:t>
      </w:r>
    </w:p>
    <w:p w:rsidR="00BC7B50" w:rsidRDefault="00665A5F" w:rsidP="00BC7B50">
      <w:r>
        <w:t>[Req2.5.1.1</w:t>
      </w:r>
      <w:r w:rsidR="0054374C">
        <w:t xml:space="preserve">] </w:t>
      </w:r>
      <w:r w:rsidR="00616A93">
        <w:t xml:space="preserve">The </w:t>
      </w:r>
      <w:proofErr w:type="spellStart"/>
      <w:r w:rsidR="00616A93">
        <w:t>TGai</w:t>
      </w:r>
      <w:proofErr w:type="spellEnd"/>
      <w:r w:rsidR="00616A93">
        <w:t xml:space="preserve"> amendment shall assure </w:t>
      </w:r>
      <w:r w:rsidR="00616A93" w:rsidRPr="00616A93">
        <w:rPr>
          <w:b/>
        </w:rPr>
        <w:t xml:space="preserve">maintaining </w:t>
      </w:r>
      <w:proofErr w:type="spellStart"/>
      <w:r w:rsidR="00BC7B50">
        <w:rPr>
          <w:b/>
        </w:rPr>
        <w:t>RSNA</w:t>
      </w:r>
      <w:r>
        <w:rPr>
          <w:b/>
        </w:rPr>
        <w:t>’s</w:t>
      </w:r>
      <w:proofErr w:type="spellEnd"/>
      <w:r w:rsidR="00616A93" w:rsidRPr="00616A93">
        <w:rPr>
          <w:b/>
        </w:rPr>
        <w:t xml:space="preserve"> security level</w:t>
      </w:r>
      <w:r w:rsidR="00616A93">
        <w:t xml:space="preserve">. Solutions shall demonstrate that they do not </w:t>
      </w:r>
      <w:r w:rsidR="0054374C">
        <w:t>degrade the security offered by Robust Security Network Association (RSNA) already defined in 802.11.</w:t>
      </w:r>
      <w:r w:rsidR="00F37FC8">
        <w:t xml:space="preserve"> </w:t>
      </w:r>
      <w:r w:rsidR="00BC7B50">
        <w:t xml:space="preserve">Solutions employing security schemes other than RSNA shall demonstrate that they </w:t>
      </w:r>
      <w:r w:rsidR="00EC6280">
        <w:t>are at least as secure as RSNA.</w:t>
      </w:r>
    </w:p>
    <w:p w:rsidR="0054374C" w:rsidRDefault="00BA2582" w:rsidP="00BA2582">
      <w:pPr>
        <w:pStyle w:val="berschrift3"/>
      </w:pPr>
      <w:r>
        <w:t>Backward compatibility</w:t>
      </w:r>
    </w:p>
    <w:p w:rsidR="00BA2582" w:rsidRDefault="00BA2582" w:rsidP="00BA2582">
      <w:r w:rsidRPr="00EA31C3">
        <w:t xml:space="preserve">The TGai amendment shall not </w:t>
      </w:r>
      <w:proofErr w:type="spellStart"/>
      <w:r w:rsidRPr="00EA31C3">
        <w:t>depricate</w:t>
      </w:r>
      <w:proofErr w:type="spellEnd"/>
      <w:r w:rsidRPr="00EA31C3">
        <w:t xml:space="preserve"> existing security </w:t>
      </w:r>
      <w:proofErr w:type="spellStart"/>
      <w:r w:rsidRPr="00EA31C3">
        <w:t>mechanims</w:t>
      </w:r>
      <w:proofErr w:type="spellEnd"/>
      <w:r w:rsidRPr="00EA31C3">
        <w:t xml:space="preserve"> of IEEE 802.11</w:t>
      </w:r>
      <w:r w:rsidR="008B1BEA" w:rsidRPr="00EA31C3">
        <w:t xml:space="preserve">. The following requirement is broader and covers that </w:t>
      </w:r>
      <w:proofErr w:type="spellStart"/>
      <w:r w:rsidR="008B1BEA" w:rsidRPr="00EA31C3">
        <w:t>particual</w:t>
      </w:r>
      <w:proofErr w:type="spellEnd"/>
      <w:r w:rsidR="008B1BEA" w:rsidRPr="00EA31C3">
        <w:t xml:space="preserve"> aspect set by the PAR [1].</w:t>
      </w:r>
    </w:p>
    <w:p w:rsidR="00616A93" w:rsidRDefault="00BA2582" w:rsidP="00BA2582">
      <w:r>
        <w:t>[Req</w:t>
      </w:r>
      <w:r w:rsidR="00665A5F">
        <w:t>2.5.2.1</w:t>
      </w:r>
      <w:r>
        <w:t>]</w:t>
      </w:r>
      <w:r w:rsidR="00616A93">
        <w:t xml:space="preserve"> The </w:t>
      </w:r>
      <w:proofErr w:type="spellStart"/>
      <w:r w:rsidR="00616A93">
        <w:t>TGai</w:t>
      </w:r>
      <w:proofErr w:type="spellEnd"/>
      <w:r w:rsidR="00616A93">
        <w:t xml:space="preserve"> amendment shall assure </w:t>
      </w:r>
      <w:r w:rsidR="00616A93" w:rsidRPr="00616A93">
        <w:rPr>
          <w:b/>
        </w:rPr>
        <w:t>backward compatibility</w:t>
      </w:r>
      <w:r w:rsidR="00616A93">
        <w:t>.</w:t>
      </w:r>
      <w:r>
        <w:t xml:space="preserve"> </w:t>
      </w:r>
      <w:r w:rsidR="00616A93">
        <w:t xml:space="preserve">Solutions shall assure that </w:t>
      </w:r>
      <w:proofErr w:type="spellStart"/>
      <w:r w:rsidR="00616A93">
        <w:t>STAs</w:t>
      </w:r>
      <w:proofErr w:type="spellEnd"/>
      <w:r w:rsidR="00616A93">
        <w:t xml:space="preserve"> can conduct a secure link set-up using mechanisms as defined in IEEE 802.11.</w:t>
      </w:r>
    </w:p>
    <w:p w:rsidR="00616A93" w:rsidRDefault="00616A93" w:rsidP="00BA2582">
      <w:r>
        <w:t>Note—In case of a backward compatible link establis</w:t>
      </w:r>
      <w:r w:rsidR="00D04629">
        <w:t xml:space="preserve">hment, it may not be assured that devices comply to the performance requirements as defined in Section </w:t>
      </w:r>
      <w:r w:rsidR="00D04629">
        <w:fldChar w:fldCharType="begin"/>
      </w:r>
      <w:r w:rsidR="00D04629">
        <w:instrText xml:space="preserve"> REF _Ref166821347 \r \h </w:instrText>
      </w:r>
      <w:r w:rsidR="00D04629">
        <w:fldChar w:fldCharType="separate"/>
      </w:r>
      <w:r w:rsidR="00D04629">
        <w:t>2.2</w:t>
      </w:r>
      <w:r w:rsidR="00D04629">
        <w:fldChar w:fldCharType="end"/>
      </w:r>
      <w:r w:rsidR="00D04629">
        <w:t>.</w:t>
      </w:r>
    </w:p>
    <w:p w:rsidR="00B636A1" w:rsidRDefault="00B636A1" w:rsidP="00B636A1">
      <w:pPr>
        <w:pStyle w:val="berschrift1"/>
      </w:pPr>
      <w:r>
        <w:t>Verification</w:t>
      </w:r>
    </w:p>
    <w:p w:rsidR="009F7D0C" w:rsidRDefault="009F7D0C" w:rsidP="009F7D0C">
      <w:r>
        <w:t xml:space="preserve">The </w:t>
      </w:r>
      <w:proofErr w:type="spellStart"/>
      <w:r w:rsidR="00EF3885">
        <w:t>TGai</w:t>
      </w:r>
      <w:proofErr w:type="spellEnd"/>
      <w:r w:rsidR="00EF3885">
        <w:t xml:space="preserve"> Ev</w:t>
      </w:r>
      <w:r w:rsidR="00665A5F">
        <w:t xml:space="preserve">aluation Methodology </w:t>
      </w:r>
      <w:proofErr w:type="spellStart"/>
      <w:r w:rsidR="00665A5F">
        <w:t>Dodument</w:t>
      </w:r>
      <w:proofErr w:type="spellEnd"/>
      <w:r w:rsidR="00665A5F">
        <w:t xml:space="preserve"> [4] defines the procedure of</w:t>
      </w:r>
      <w:r w:rsidR="00EF3885">
        <w:t xml:space="preserve"> verifying that the requirements in Section </w:t>
      </w:r>
      <w:r w:rsidR="00025696">
        <w:fldChar w:fldCharType="begin"/>
      </w:r>
      <w:r w:rsidR="004C0C7C">
        <w:instrText xml:space="preserve"> REF _Ref166740285 \r \h </w:instrText>
      </w:r>
      <w:r w:rsidR="00025696">
        <w:fldChar w:fldCharType="separate"/>
      </w:r>
      <w:r w:rsidR="00817538">
        <w:t>2</w:t>
      </w:r>
      <w:r w:rsidR="00025696">
        <w:fldChar w:fldCharType="end"/>
      </w:r>
      <w:r w:rsidR="00CA6992">
        <w:t xml:space="preserve"> </w:t>
      </w:r>
      <w:r w:rsidR="00EF3885">
        <w:t>are met.</w:t>
      </w:r>
      <w:r w:rsidR="004C26AA">
        <w:t xml:space="preserve"> It also defines the subset of requirements mandatory to be met in order to have draft amending text considered for inclusion in the TGai amendment.</w:t>
      </w:r>
    </w:p>
    <w:p w:rsidR="00012C73" w:rsidRDefault="00191091">
      <w:r>
        <w:t>Submissions shall indicate their level of compliance to requirements to each of the requirements in this document: “full”, “partial”, “n/a”.</w:t>
      </w:r>
    </w:p>
    <w:p w:rsidR="00012C73" w:rsidRDefault="00012C73" w:rsidP="00012C73">
      <w:pPr>
        <w:pStyle w:val="berschrift1"/>
      </w:pPr>
      <w:r>
        <w:t>Annex</w:t>
      </w:r>
    </w:p>
    <w:p w:rsidR="00665A5F" w:rsidRDefault="00012C73" w:rsidP="00012C73">
      <w:pPr>
        <w:pStyle w:val="berschrift2"/>
      </w:pPr>
      <w:r>
        <w:t>Non-Requirements (Informative)</w:t>
      </w:r>
    </w:p>
    <w:p w:rsidR="00DD781D" w:rsidRDefault="00665A5F" w:rsidP="00665A5F">
      <w:r>
        <w:t xml:space="preserve">This section lists requirements discussed by </w:t>
      </w:r>
      <w:proofErr w:type="spellStart"/>
      <w:r>
        <w:t>TGai</w:t>
      </w:r>
      <w:proofErr w:type="spellEnd"/>
      <w:r>
        <w:t xml:space="preserve"> </w:t>
      </w:r>
      <w:r w:rsidR="00DD781D">
        <w:t>and</w:t>
      </w:r>
      <w:r>
        <w:t xml:space="preserve"> motioned out of scope (hence being noted as “non-requirements”).</w:t>
      </w:r>
    </w:p>
    <w:p w:rsidR="004532EB" w:rsidRDefault="00DD781D">
      <w:r>
        <w:t xml:space="preserve">No requirement brought to the attention to </w:t>
      </w:r>
      <w:proofErr w:type="spellStart"/>
      <w:r>
        <w:t>TGai</w:t>
      </w:r>
      <w:proofErr w:type="spellEnd"/>
      <w:r>
        <w:t xml:space="preserve"> has explicitly been motioned out of scope.</w:t>
      </w:r>
    </w:p>
    <w:sectPr w:rsidR="004532EB" w:rsidSect="00DC34DE">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17" w:rsidRDefault="00200517">
      <w:r>
        <w:separator/>
      </w:r>
    </w:p>
  </w:endnote>
  <w:endnote w:type="continuationSeparator" w:id="0">
    <w:p w:rsidR="00200517" w:rsidRDefault="00200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17" w:rsidRDefault="00200517">
    <w:pPr>
      <w:pStyle w:val="Fuzeile"/>
      <w:tabs>
        <w:tab w:val="clear" w:pos="6480"/>
        <w:tab w:val="center" w:pos="4680"/>
        <w:tab w:val="right" w:pos="9360"/>
      </w:tabs>
    </w:pPr>
    <w:fldSimple w:instr=" SUBJECT  \* MERGEFORMAT ">
      <w:r>
        <w:t>Submission</w:t>
      </w:r>
    </w:fldSimple>
    <w:r>
      <w:tab/>
      <w:t xml:space="preserve">page </w:t>
    </w:r>
    <w:fldSimple w:instr="PAGE ">
      <w:r w:rsidR="00B711C3">
        <w:rPr>
          <w:noProof/>
        </w:rPr>
        <w:t>4</w:t>
      </w:r>
    </w:fldSimple>
    <w:r>
      <w:tab/>
    </w:r>
    <w:r>
      <w:fldChar w:fldCharType="begin"/>
    </w:r>
    <w:r>
      <w:instrText xml:space="preserve"> COMMENTS  \* MERGEFORMAT </w:instrText>
    </w:r>
    <w:r>
      <w:fldChar w:fldCharType="separate"/>
    </w:r>
    <w:r>
      <w:t xml:space="preserve">Marc </w:t>
    </w:r>
    <w:proofErr w:type="spellStart"/>
    <w:r>
      <w:t>Emmelmann</w:t>
    </w:r>
    <w:proofErr w:type="spellEnd"/>
    <w:r>
      <w:t xml:space="preserve">, </w:t>
    </w:r>
    <w:proofErr w:type="spellStart"/>
    <w:r>
      <w:t>Fraunhofer</w:t>
    </w:r>
    <w:proofErr w:type="spellEnd"/>
    <w:r>
      <w:t xml:space="preserve"> FOKUS</w:t>
    </w:r>
    <w:r>
      <w:fldChar w:fldCharType="end"/>
    </w:r>
  </w:p>
  <w:p w:rsidR="00200517" w:rsidRDefault="00200517"/>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17" w:rsidRDefault="00200517">
      <w:r>
        <w:separator/>
      </w:r>
    </w:p>
  </w:footnote>
  <w:footnote w:type="continuationSeparator" w:id="0">
    <w:p w:rsidR="00200517" w:rsidRDefault="0020051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17" w:rsidRDefault="00200517">
    <w:pPr>
      <w:pStyle w:val="Kopfzeile"/>
      <w:tabs>
        <w:tab w:val="clear" w:pos="6480"/>
        <w:tab w:val="center" w:pos="4680"/>
        <w:tab w:val="right" w:pos="9360"/>
      </w:tabs>
    </w:pPr>
    <w:fldSimple w:instr=" KEYWORDS  \* MERGEFORMAT ">
      <w:r>
        <w:t>May 2011</w:t>
      </w:r>
    </w:fldSimple>
    <w:r>
      <w:tab/>
    </w:r>
    <w:r>
      <w:tab/>
    </w:r>
    <w:fldSimple w:instr=" TITLE  \* MERGEFORMAT ">
      <w:r>
        <w:t>doc.: IEEE 802.11-11/0745r4</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FAB"/>
    <w:multiLevelType w:val="multilevel"/>
    <w:tmpl w:val="9DF2D48E"/>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mirrorMargins/>
  <w:hideSpellingErrors/>
  <w:proofState w:spelling="clean" w:grammar="clean"/>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DC34DE"/>
    <w:rsid w:val="00012C73"/>
    <w:rsid w:val="00025696"/>
    <w:rsid w:val="00067910"/>
    <w:rsid w:val="000A7AC6"/>
    <w:rsid w:val="000E4CCA"/>
    <w:rsid w:val="000F7E8C"/>
    <w:rsid w:val="0010578E"/>
    <w:rsid w:val="001121D3"/>
    <w:rsid w:val="001424E3"/>
    <w:rsid w:val="00155444"/>
    <w:rsid w:val="0017684F"/>
    <w:rsid w:val="00182900"/>
    <w:rsid w:val="00191091"/>
    <w:rsid w:val="00193703"/>
    <w:rsid w:val="001A224D"/>
    <w:rsid w:val="001D3469"/>
    <w:rsid w:val="00200517"/>
    <w:rsid w:val="00216D87"/>
    <w:rsid w:val="00221AA3"/>
    <w:rsid w:val="002318EE"/>
    <w:rsid w:val="00242D39"/>
    <w:rsid w:val="00256F2C"/>
    <w:rsid w:val="002839F9"/>
    <w:rsid w:val="002A4F65"/>
    <w:rsid w:val="002B2651"/>
    <w:rsid w:val="002D5C6E"/>
    <w:rsid w:val="00322AC5"/>
    <w:rsid w:val="00384E47"/>
    <w:rsid w:val="0039193F"/>
    <w:rsid w:val="003B0730"/>
    <w:rsid w:val="003B68BF"/>
    <w:rsid w:val="003C0F7D"/>
    <w:rsid w:val="003C3681"/>
    <w:rsid w:val="003C6935"/>
    <w:rsid w:val="004062C0"/>
    <w:rsid w:val="00411AC5"/>
    <w:rsid w:val="00416532"/>
    <w:rsid w:val="004410B9"/>
    <w:rsid w:val="004429ED"/>
    <w:rsid w:val="004532EB"/>
    <w:rsid w:val="004911B7"/>
    <w:rsid w:val="00494238"/>
    <w:rsid w:val="004A414C"/>
    <w:rsid w:val="004B5EA6"/>
    <w:rsid w:val="004C0C7C"/>
    <w:rsid w:val="004C26AA"/>
    <w:rsid w:val="004E0E5A"/>
    <w:rsid w:val="0054374C"/>
    <w:rsid w:val="00546037"/>
    <w:rsid w:val="00565D22"/>
    <w:rsid w:val="00575399"/>
    <w:rsid w:val="0059476B"/>
    <w:rsid w:val="005B1F87"/>
    <w:rsid w:val="0060484F"/>
    <w:rsid w:val="006059E8"/>
    <w:rsid w:val="00607BE1"/>
    <w:rsid w:val="00616A93"/>
    <w:rsid w:val="00663062"/>
    <w:rsid w:val="00665A5F"/>
    <w:rsid w:val="006C2598"/>
    <w:rsid w:val="006C3663"/>
    <w:rsid w:val="006D4415"/>
    <w:rsid w:val="006D74A3"/>
    <w:rsid w:val="006E4C0C"/>
    <w:rsid w:val="006F2011"/>
    <w:rsid w:val="007025EB"/>
    <w:rsid w:val="00711694"/>
    <w:rsid w:val="00714EC9"/>
    <w:rsid w:val="00717950"/>
    <w:rsid w:val="00726B23"/>
    <w:rsid w:val="00726E16"/>
    <w:rsid w:val="00730FBD"/>
    <w:rsid w:val="007363FE"/>
    <w:rsid w:val="00740293"/>
    <w:rsid w:val="007943F0"/>
    <w:rsid w:val="007A1B4D"/>
    <w:rsid w:val="007A274C"/>
    <w:rsid w:val="007C2A0F"/>
    <w:rsid w:val="007F791E"/>
    <w:rsid w:val="00817538"/>
    <w:rsid w:val="008210DB"/>
    <w:rsid w:val="00832AF5"/>
    <w:rsid w:val="008349A8"/>
    <w:rsid w:val="00876321"/>
    <w:rsid w:val="0088484D"/>
    <w:rsid w:val="0089348B"/>
    <w:rsid w:val="008A7213"/>
    <w:rsid w:val="008B1BEA"/>
    <w:rsid w:val="008E27C1"/>
    <w:rsid w:val="0090166B"/>
    <w:rsid w:val="00924FBF"/>
    <w:rsid w:val="00965B63"/>
    <w:rsid w:val="00983CC7"/>
    <w:rsid w:val="00995285"/>
    <w:rsid w:val="00996504"/>
    <w:rsid w:val="009A27C5"/>
    <w:rsid w:val="009A4A44"/>
    <w:rsid w:val="009A615E"/>
    <w:rsid w:val="009B1F4F"/>
    <w:rsid w:val="009B2558"/>
    <w:rsid w:val="009F7D0C"/>
    <w:rsid w:val="00A0406E"/>
    <w:rsid w:val="00A14A28"/>
    <w:rsid w:val="00A40298"/>
    <w:rsid w:val="00A4157E"/>
    <w:rsid w:val="00A74CAF"/>
    <w:rsid w:val="00AB5D3B"/>
    <w:rsid w:val="00AD3714"/>
    <w:rsid w:val="00AE0453"/>
    <w:rsid w:val="00B20721"/>
    <w:rsid w:val="00B20882"/>
    <w:rsid w:val="00B334AC"/>
    <w:rsid w:val="00B566E4"/>
    <w:rsid w:val="00B636A1"/>
    <w:rsid w:val="00B711C3"/>
    <w:rsid w:val="00B802C8"/>
    <w:rsid w:val="00B86198"/>
    <w:rsid w:val="00BA2582"/>
    <w:rsid w:val="00BC7B50"/>
    <w:rsid w:val="00BF254C"/>
    <w:rsid w:val="00C32B7B"/>
    <w:rsid w:val="00C40BBE"/>
    <w:rsid w:val="00C64E07"/>
    <w:rsid w:val="00C8048B"/>
    <w:rsid w:val="00CA6992"/>
    <w:rsid w:val="00CB52FB"/>
    <w:rsid w:val="00CC7182"/>
    <w:rsid w:val="00D002B9"/>
    <w:rsid w:val="00D04629"/>
    <w:rsid w:val="00D97537"/>
    <w:rsid w:val="00DC34DE"/>
    <w:rsid w:val="00DD6E31"/>
    <w:rsid w:val="00DD781D"/>
    <w:rsid w:val="00DF21E1"/>
    <w:rsid w:val="00DF4B0F"/>
    <w:rsid w:val="00E011A0"/>
    <w:rsid w:val="00E0147F"/>
    <w:rsid w:val="00E04895"/>
    <w:rsid w:val="00E05235"/>
    <w:rsid w:val="00E12649"/>
    <w:rsid w:val="00E16416"/>
    <w:rsid w:val="00E25F45"/>
    <w:rsid w:val="00E336D4"/>
    <w:rsid w:val="00E64A23"/>
    <w:rsid w:val="00E73B7A"/>
    <w:rsid w:val="00E87169"/>
    <w:rsid w:val="00E953EB"/>
    <w:rsid w:val="00EA31C3"/>
    <w:rsid w:val="00EB0971"/>
    <w:rsid w:val="00EC6280"/>
    <w:rsid w:val="00EF3885"/>
    <w:rsid w:val="00F00A5B"/>
    <w:rsid w:val="00F01B45"/>
    <w:rsid w:val="00F02B63"/>
    <w:rsid w:val="00F23741"/>
    <w:rsid w:val="00F37FC8"/>
    <w:rsid w:val="00F47760"/>
    <w:rsid w:val="00FB34FD"/>
    <w:rsid w:val="00FC09FB"/>
    <w:rsid w:val="00FD691B"/>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7F791E"/>
    <w:pPr>
      <w:spacing w:after="200"/>
    </w:pPr>
    <w:rPr>
      <w:sz w:val="22"/>
      <w:lang w:eastAsia="en-US"/>
    </w:rPr>
  </w:style>
  <w:style w:type="paragraph" w:styleId="berschrift1">
    <w:name w:val="heading 1"/>
    <w:basedOn w:val="Standard"/>
    <w:next w:val="Standard"/>
    <w:qFormat/>
    <w:rsid w:val="007F791E"/>
    <w:pPr>
      <w:keepNext/>
      <w:keepLines/>
      <w:numPr>
        <w:numId w:val="3"/>
      </w:numPr>
      <w:spacing w:before="320"/>
      <w:ind w:left="431" w:hanging="431"/>
      <w:outlineLvl w:val="0"/>
    </w:pPr>
    <w:rPr>
      <w:rFonts w:ascii="Arial" w:hAnsi="Arial"/>
      <w:b/>
      <w:sz w:val="32"/>
      <w:u w:val="single"/>
    </w:rPr>
  </w:style>
  <w:style w:type="paragraph" w:styleId="berschrift2">
    <w:name w:val="heading 2"/>
    <w:basedOn w:val="Standard"/>
    <w:next w:val="Standard"/>
    <w:qFormat/>
    <w:rsid w:val="007F791E"/>
    <w:pPr>
      <w:keepNext/>
      <w:keepLines/>
      <w:numPr>
        <w:ilvl w:val="1"/>
        <w:numId w:val="3"/>
      </w:numPr>
      <w:spacing w:before="280"/>
      <w:ind w:left="578" w:hanging="578"/>
      <w:outlineLvl w:val="1"/>
    </w:pPr>
    <w:rPr>
      <w:rFonts w:ascii="Arial" w:hAnsi="Arial"/>
      <w:b/>
      <w:sz w:val="28"/>
      <w:u w:val="single"/>
    </w:rPr>
  </w:style>
  <w:style w:type="paragraph" w:styleId="berschrift3">
    <w:name w:val="heading 3"/>
    <w:basedOn w:val="Standard"/>
    <w:next w:val="Standard"/>
    <w:qFormat/>
    <w:rsid w:val="007F791E"/>
    <w:pPr>
      <w:keepNext/>
      <w:keepLines/>
      <w:numPr>
        <w:ilvl w:val="2"/>
        <w:numId w:val="3"/>
      </w:numPr>
      <w:spacing w:before="240"/>
      <w:ind w:left="1077" w:hanging="1077"/>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DC34DE"/>
    <w:pPr>
      <w:pBdr>
        <w:top w:val="single" w:sz="6" w:space="1" w:color="auto"/>
      </w:pBdr>
      <w:tabs>
        <w:tab w:val="center" w:pos="6480"/>
        <w:tab w:val="right" w:pos="12960"/>
      </w:tabs>
    </w:pPr>
    <w:rPr>
      <w:sz w:val="24"/>
    </w:rPr>
  </w:style>
  <w:style w:type="paragraph" w:styleId="Kopfzeile">
    <w:name w:val="header"/>
    <w:basedOn w:val="Standard"/>
    <w:rsid w:val="00DC34DE"/>
    <w:pPr>
      <w:pBdr>
        <w:bottom w:val="single" w:sz="6" w:space="2" w:color="auto"/>
      </w:pBdr>
      <w:tabs>
        <w:tab w:val="center" w:pos="6480"/>
        <w:tab w:val="right" w:pos="12960"/>
      </w:tabs>
    </w:pPr>
    <w:rPr>
      <w:b/>
      <w:sz w:val="28"/>
    </w:rPr>
  </w:style>
  <w:style w:type="paragraph" w:customStyle="1" w:styleId="T1">
    <w:name w:val="T1"/>
    <w:basedOn w:val="Standard"/>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Textkrpereinzug">
    <w:name w:val="Body Text Indent"/>
    <w:basedOn w:val="Standard"/>
    <w:rsid w:val="00DC34DE"/>
    <w:pPr>
      <w:ind w:left="720" w:hanging="720"/>
    </w:pPr>
  </w:style>
  <w:style w:type="character" w:styleId="Link">
    <w:name w:val="Hyperlink"/>
    <w:basedOn w:val="Absatzstandardschriftart"/>
    <w:rsid w:val="00DC34DE"/>
    <w:rPr>
      <w:color w:val="0000FF"/>
      <w:u w:val="single"/>
    </w:rPr>
  </w:style>
  <w:style w:type="paragraph" w:styleId="Sprechblasentext">
    <w:name w:val="Balloon Text"/>
    <w:basedOn w:val="Standard"/>
    <w:link w:val="SprechblasentextZeichen"/>
    <w:rsid w:val="0060484F"/>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0484F"/>
    <w:rPr>
      <w:rFonts w:ascii="Lucida Grande" w:hAnsi="Lucida Grande"/>
      <w:sz w:val="18"/>
      <w:szCs w:val="18"/>
      <w:lang w:eastAsia="en-US"/>
    </w:rPr>
  </w:style>
  <w:style w:type="character" w:styleId="Kommentarzeichen">
    <w:name w:val="annotation reference"/>
    <w:basedOn w:val="Absatzstandardschriftart"/>
    <w:rsid w:val="0039193F"/>
    <w:rPr>
      <w:sz w:val="18"/>
      <w:szCs w:val="18"/>
    </w:rPr>
  </w:style>
  <w:style w:type="paragraph" w:styleId="Kommentartext">
    <w:name w:val="annotation text"/>
    <w:basedOn w:val="Standard"/>
    <w:link w:val="KommentartextZeichen"/>
    <w:rsid w:val="0039193F"/>
    <w:rPr>
      <w:sz w:val="24"/>
    </w:rPr>
  </w:style>
  <w:style w:type="character" w:customStyle="1" w:styleId="KommentartextZeichen">
    <w:name w:val="Kommentartext Zeichen"/>
    <w:basedOn w:val="Absatzstandardschriftart"/>
    <w:link w:val="Kommentartext"/>
    <w:rsid w:val="0039193F"/>
    <w:rPr>
      <w:sz w:val="24"/>
      <w:szCs w:val="24"/>
      <w:lang w:eastAsia="en-US"/>
    </w:rPr>
  </w:style>
  <w:style w:type="paragraph" w:styleId="Kommentarthema">
    <w:name w:val="annotation subject"/>
    <w:basedOn w:val="Kommentartext"/>
    <w:next w:val="Kommentartext"/>
    <w:link w:val="KommentarthemaZeichen"/>
    <w:rsid w:val="0039193F"/>
    <w:rPr>
      <w:b/>
      <w:bCs/>
      <w:sz w:val="20"/>
      <w:szCs w:val="20"/>
    </w:rPr>
  </w:style>
  <w:style w:type="character" w:customStyle="1" w:styleId="KommentarthemaZeichen">
    <w:name w:val="Kommentarthema Zeichen"/>
    <w:basedOn w:val="KommentartextZeichen"/>
    <w:link w:val="Kommentarthema"/>
    <w:rsid w:val="0039193F"/>
    <w:rPr>
      <w:b/>
      <w:bCs/>
    </w:rPr>
  </w:style>
  <w:style w:type="paragraph" w:styleId="Listenabsatz">
    <w:name w:val="List Paragraph"/>
    <w:basedOn w:val="Standard"/>
    <w:rsid w:val="004911B7"/>
    <w:pPr>
      <w:ind w:left="720"/>
      <w:contextualSpacing/>
    </w:pPr>
  </w:style>
  <w:style w:type="paragraph" w:styleId="Bearbeitung">
    <w:name w:val="Revision"/>
    <w:hidden/>
    <w:rsid w:val="00965B63"/>
    <w:rPr>
      <w:sz w:val="22"/>
      <w:lang w:eastAsia="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4516</Characters>
  <Application>Microsoft Macintosh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doc.: IEEE 802.11-11/0745r2</vt:lpstr>
    </vt:vector>
  </TitlesOfParts>
  <Manager/>
  <Company>Frauhofer FOKUS</Company>
  <LinksUpToDate>false</LinksUpToDate>
  <CharactersWithSpaces>5450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802.11-11/0745r4</dc:title>
  <dc:subject>Submission</dc:subject>
  <dc:creator>Marc Emmelmann</dc:creator>
  <cp:keywords>May 2011</cp:keywords>
  <dc:description>Marc Emmelmann, Fraunhofer FOKUS</dc:description>
  <cp:lastModifiedBy>Marc Emmelmann</cp:lastModifiedBy>
  <cp:revision>23</cp:revision>
  <cp:lastPrinted>2011-05-11T23:54:00Z</cp:lastPrinted>
  <dcterms:created xsi:type="dcterms:W3CDTF">2011-05-12T17:52:00Z</dcterms:created>
  <dcterms:modified xsi:type="dcterms:W3CDTF">2011-05-12T20:45:00Z</dcterms:modified>
  <cp:category/>
</cp:coreProperties>
</file>