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8312B5">
      <w:pPr>
        <w:pStyle w:val="T1"/>
        <w:pBdr>
          <w:bottom w:val="single" w:sz="6" w:space="0" w:color="auto"/>
        </w:pBdr>
        <w:spacing w:after="240"/>
        <w:jc w:val="both"/>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274"/>
        <w:gridCol w:w="2088"/>
      </w:tblGrid>
      <w:tr w:rsidR="00CA09B2">
        <w:trPr>
          <w:trHeight w:val="485"/>
          <w:jc w:val="center"/>
        </w:trPr>
        <w:tc>
          <w:tcPr>
            <w:tcW w:w="9576" w:type="dxa"/>
            <w:gridSpan w:val="5"/>
            <w:vAlign w:val="center"/>
          </w:tcPr>
          <w:p w:rsidR="00CA09B2" w:rsidRDefault="00AC114E" w:rsidP="004B1012">
            <w:pPr>
              <w:pStyle w:val="T2"/>
              <w:jc w:val="both"/>
            </w:pPr>
            <w:r>
              <w:t>D0.</w:t>
            </w:r>
            <w:r w:rsidR="00835CD6">
              <w:t>1</w:t>
            </w:r>
            <w:r>
              <w:t xml:space="preserve"> Comment Re</w:t>
            </w:r>
            <w:r w:rsidR="001B5995">
              <w:t>s</w:t>
            </w:r>
            <w:r>
              <w:t>o</w:t>
            </w:r>
            <w:r w:rsidR="001B5995">
              <w:t>lution</w:t>
            </w:r>
            <w:r w:rsidR="00275E73">
              <w:t xml:space="preserve"> – CID</w:t>
            </w:r>
            <w:r w:rsidR="004B1012">
              <w:t xml:space="preserve"> 809</w:t>
            </w:r>
          </w:p>
        </w:tc>
      </w:tr>
      <w:tr w:rsidR="00CA09B2">
        <w:trPr>
          <w:trHeight w:val="359"/>
          <w:jc w:val="center"/>
        </w:trPr>
        <w:tc>
          <w:tcPr>
            <w:tcW w:w="9576" w:type="dxa"/>
            <w:gridSpan w:val="5"/>
            <w:vAlign w:val="center"/>
          </w:tcPr>
          <w:p w:rsidR="00CA09B2" w:rsidRDefault="00CA09B2" w:rsidP="004B1012">
            <w:pPr>
              <w:pStyle w:val="T2"/>
              <w:ind w:left="0"/>
              <w:jc w:val="both"/>
              <w:rPr>
                <w:sz w:val="20"/>
              </w:rPr>
            </w:pPr>
            <w:r>
              <w:rPr>
                <w:sz w:val="20"/>
              </w:rPr>
              <w:t>Date:</w:t>
            </w:r>
            <w:r w:rsidR="009635A1">
              <w:rPr>
                <w:b w:val="0"/>
                <w:sz w:val="20"/>
              </w:rPr>
              <w:t xml:space="preserve">  2011-0</w:t>
            </w:r>
            <w:r w:rsidR="004B1012">
              <w:rPr>
                <w:b w:val="0"/>
                <w:sz w:val="20"/>
              </w:rPr>
              <w:t>5</w:t>
            </w:r>
            <w:r>
              <w:rPr>
                <w:b w:val="0"/>
                <w:sz w:val="20"/>
              </w:rPr>
              <w:t>-</w:t>
            </w:r>
            <w:r w:rsidR="00837EE7">
              <w:rPr>
                <w:b w:val="0"/>
                <w:sz w:val="20"/>
              </w:rPr>
              <w:t>0</w:t>
            </w:r>
            <w:r w:rsidR="004B1012">
              <w:rPr>
                <w:b w:val="0"/>
                <w:sz w:val="20"/>
              </w:rPr>
              <w:t>3</w:t>
            </w:r>
          </w:p>
        </w:tc>
      </w:tr>
      <w:tr w:rsidR="00CA09B2">
        <w:trPr>
          <w:cantSplit/>
          <w:jc w:val="center"/>
        </w:trPr>
        <w:tc>
          <w:tcPr>
            <w:tcW w:w="9576" w:type="dxa"/>
            <w:gridSpan w:val="5"/>
            <w:vAlign w:val="center"/>
          </w:tcPr>
          <w:p w:rsidR="00CA09B2" w:rsidRDefault="00CA09B2" w:rsidP="008312B5">
            <w:pPr>
              <w:pStyle w:val="T2"/>
              <w:spacing w:after="0"/>
              <w:ind w:left="0" w:right="0"/>
              <w:jc w:val="both"/>
              <w:rPr>
                <w:sz w:val="20"/>
              </w:rPr>
            </w:pPr>
            <w:r>
              <w:rPr>
                <w:sz w:val="20"/>
              </w:rPr>
              <w:t>Author(s):</w:t>
            </w:r>
          </w:p>
        </w:tc>
      </w:tr>
      <w:tr w:rsidR="00CA09B2" w:rsidTr="005A173F">
        <w:trPr>
          <w:jc w:val="center"/>
        </w:trPr>
        <w:tc>
          <w:tcPr>
            <w:tcW w:w="1336" w:type="dxa"/>
            <w:vAlign w:val="center"/>
          </w:tcPr>
          <w:p w:rsidR="00CA09B2" w:rsidRDefault="00CA09B2" w:rsidP="008312B5">
            <w:pPr>
              <w:pStyle w:val="T2"/>
              <w:spacing w:after="0"/>
              <w:ind w:left="0" w:right="0"/>
              <w:jc w:val="both"/>
              <w:rPr>
                <w:sz w:val="20"/>
              </w:rPr>
            </w:pPr>
            <w:r>
              <w:rPr>
                <w:sz w:val="20"/>
              </w:rPr>
              <w:t>Name</w:t>
            </w:r>
          </w:p>
        </w:tc>
        <w:tc>
          <w:tcPr>
            <w:tcW w:w="2064" w:type="dxa"/>
            <w:vAlign w:val="center"/>
          </w:tcPr>
          <w:p w:rsidR="00CA09B2" w:rsidRDefault="0062440B" w:rsidP="008312B5">
            <w:pPr>
              <w:pStyle w:val="T2"/>
              <w:spacing w:after="0"/>
              <w:ind w:left="0" w:right="0"/>
              <w:jc w:val="both"/>
              <w:rPr>
                <w:sz w:val="20"/>
              </w:rPr>
            </w:pPr>
            <w:r>
              <w:rPr>
                <w:sz w:val="20"/>
              </w:rPr>
              <w:t>Affiliation</w:t>
            </w:r>
          </w:p>
        </w:tc>
        <w:tc>
          <w:tcPr>
            <w:tcW w:w="2814" w:type="dxa"/>
            <w:vAlign w:val="center"/>
          </w:tcPr>
          <w:p w:rsidR="00CA09B2" w:rsidRDefault="00CA09B2" w:rsidP="008312B5">
            <w:pPr>
              <w:pStyle w:val="T2"/>
              <w:spacing w:after="0"/>
              <w:ind w:left="0" w:right="0"/>
              <w:jc w:val="both"/>
              <w:rPr>
                <w:sz w:val="20"/>
              </w:rPr>
            </w:pPr>
            <w:r>
              <w:rPr>
                <w:sz w:val="20"/>
              </w:rPr>
              <w:t>Address</w:t>
            </w:r>
          </w:p>
        </w:tc>
        <w:tc>
          <w:tcPr>
            <w:tcW w:w="1274" w:type="dxa"/>
            <w:vAlign w:val="center"/>
          </w:tcPr>
          <w:p w:rsidR="00CA09B2" w:rsidRDefault="00CA09B2" w:rsidP="008312B5">
            <w:pPr>
              <w:pStyle w:val="T2"/>
              <w:spacing w:after="0"/>
              <w:ind w:left="0" w:right="0"/>
              <w:jc w:val="both"/>
              <w:rPr>
                <w:sz w:val="20"/>
              </w:rPr>
            </w:pPr>
            <w:r>
              <w:rPr>
                <w:sz w:val="20"/>
              </w:rPr>
              <w:t>Phone</w:t>
            </w:r>
          </w:p>
        </w:tc>
        <w:tc>
          <w:tcPr>
            <w:tcW w:w="2088" w:type="dxa"/>
            <w:vAlign w:val="center"/>
          </w:tcPr>
          <w:p w:rsidR="00CA09B2" w:rsidRDefault="00CA09B2" w:rsidP="008312B5">
            <w:pPr>
              <w:pStyle w:val="T2"/>
              <w:spacing w:after="0"/>
              <w:ind w:left="0" w:right="0"/>
              <w:jc w:val="both"/>
              <w:rPr>
                <w:sz w:val="20"/>
              </w:rPr>
            </w:pPr>
            <w:r>
              <w:rPr>
                <w:sz w:val="20"/>
              </w:rPr>
              <w:t>email</w:t>
            </w:r>
          </w:p>
        </w:tc>
      </w:tr>
      <w:tr w:rsidR="00CA09B2" w:rsidTr="005A173F">
        <w:trPr>
          <w:jc w:val="center"/>
        </w:trPr>
        <w:tc>
          <w:tcPr>
            <w:tcW w:w="1336" w:type="dxa"/>
            <w:vAlign w:val="center"/>
          </w:tcPr>
          <w:p w:rsidR="00CA09B2" w:rsidRDefault="001C6A44" w:rsidP="008312B5">
            <w:pPr>
              <w:pStyle w:val="T2"/>
              <w:spacing w:after="0"/>
              <w:ind w:left="0" w:right="0"/>
              <w:jc w:val="both"/>
              <w:rPr>
                <w:b w:val="0"/>
                <w:sz w:val="20"/>
              </w:rPr>
            </w:pPr>
            <w:r>
              <w:rPr>
                <w:b w:val="0"/>
                <w:sz w:val="20"/>
              </w:rPr>
              <w:t>Reza Hedayat</w:t>
            </w:r>
          </w:p>
        </w:tc>
        <w:tc>
          <w:tcPr>
            <w:tcW w:w="2064" w:type="dxa"/>
            <w:vAlign w:val="center"/>
          </w:tcPr>
          <w:p w:rsidR="00CA09B2" w:rsidRDefault="001B5995" w:rsidP="008312B5">
            <w:pPr>
              <w:pStyle w:val="T2"/>
              <w:spacing w:after="0"/>
              <w:ind w:left="0" w:right="0"/>
              <w:jc w:val="both"/>
              <w:rPr>
                <w:b w:val="0"/>
                <w:sz w:val="20"/>
              </w:rPr>
            </w:pPr>
            <w:r>
              <w:rPr>
                <w:b w:val="0"/>
                <w:sz w:val="20"/>
              </w:rPr>
              <w:t>Cisco Systems</w:t>
            </w:r>
          </w:p>
        </w:tc>
        <w:tc>
          <w:tcPr>
            <w:tcW w:w="2814" w:type="dxa"/>
            <w:vAlign w:val="center"/>
          </w:tcPr>
          <w:p w:rsidR="00CA09B2" w:rsidRDefault="00837EE7" w:rsidP="008312B5">
            <w:pPr>
              <w:pStyle w:val="T2"/>
              <w:spacing w:after="0"/>
              <w:ind w:left="0" w:right="0"/>
              <w:jc w:val="both"/>
              <w:rPr>
                <w:b w:val="0"/>
                <w:sz w:val="20"/>
              </w:rPr>
            </w:pPr>
            <w:r>
              <w:rPr>
                <w:b w:val="0"/>
                <w:sz w:val="20"/>
              </w:rPr>
              <w:t>2200 E. G. Bush Turnpike, Richardson, TX 75082, USA</w:t>
            </w:r>
          </w:p>
        </w:tc>
        <w:tc>
          <w:tcPr>
            <w:tcW w:w="1274" w:type="dxa"/>
            <w:vAlign w:val="center"/>
          </w:tcPr>
          <w:p w:rsidR="00CA09B2" w:rsidRDefault="00CA09B2" w:rsidP="008312B5">
            <w:pPr>
              <w:pStyle w:val="T2"/>
              <w:spacing w:after="0"/>
              <w:ind w:left="0" w:right="0"/>
              <w:jc w:val="both"/>
              <w:rPr>
                <w:b w:val="0"/>
                <w:sz w:val="20"/>
              </w:rPr>
            </w:pPr>
          </w:p>
        </w:tc>
        <w:tc>
          <w:tcPr>
            <w:tcW w:w="2088" w:type="dxa"/>
            <w:vAlign w:val="center"/>
          </w:tcPr>
          <w:p w:rsidR="00837EE7" w:rsidRDefault="001C6A44" w:rsidP="008312B5">
            <w:pPr>
              <w:pStyle w:val="T2"/>
              <w:spacing w:after="0"/>
              <w:ind w:left="0" w:right="0"/>
              <w:jc w:val="both"/>
              <w:rPr>
                <w:b w:val="0"/>
                <w:sz w:val="16"/>
              </w:rPr>
            </w:pPr>
            <w:r>
              <w:rPr>
                <w:b w:val="0"/>
                <w:sz w:val="16"/>
              </w:rPr>
              <w:t>rehedaya</w:t>
            </w:r>
            <w:r w:rsidR="001B5995">
              <w:rPr>
                <w:b w:val="0"/>
                <w:sz w:val="16"/>
              </w:rPr>
              <w:t>@cisco.com</w:t>
            </w:r>
          </w:p>
        </w:tc>
      </w:tr>
      <w:tr w:rsidR="00837EE7" w:rsidTr="005A173F">
        <w:trPr>
          <w:jc w:val="center"/>
        </w:trPr>
        <w:tc>
          <w:tcPr>
            <w:tcW w:w="1336" w:type="dxa"/>
            <w:vAlign w:val="center"/>
          </w:tcPr>
          <w:p w:rsidR="00837EE7" w:rsidRDefault="00837EE7" w:rsidP="008312B5">
            <w:pPr>
              <w:pStyle w:val="T2"/>
              <w:spacing w:after="0"/>
              <w:ind w:left="0" w:right="0"/>
              <w:jc w:val="both"/>
              <w:rPr>
                <w:b w:val="0"/>
                <w:sz w:val="20"/>
              </w:rPr>
            </w:pPr>
            <w:r>
              <w:rPr>
                <w:b w:val="0"/>
                <w:sz w:val="20"/>
              </w:rPr>
              <w:t>Brian Hart</w:t>
            </w:r>
          </w:p>
        </w:tc>
        <w:tc>
          <w:tcPr>
            <w:tcW w:w="2064" w:type="dxa"/>
            <w:vAlign w:val="center"/>
          </w:tcPr>
          <w:p w:rsidR="00837EE7" w:rsidRDefault="00837EE7" w:rsidP="008312B5">
            <w:pPr>
              <w:pStyle w:val="T2"/>
              <w:spacing w:after="0"/>
              <w:ind w:left="0" w:right="0"/>
              <w:jc w:val="both"/>
              <w:rPr>
                <w:b w:val="0"/>
                <w:sz w:val="20"/>
              </w:rPr>
            </w:pPr>
            <w:r>
              <w:rPr>
                <w:b w:val="0"/>
                <w:sz w:val="20"/>
              </w:rPr>
              <w:t>Cisco Systems</w:t>
            </w:r>
          </w:p>
        </w:tc>
        <w:tc>
          <w:tcPr>
            <w:tcW w:w="2814" w:type="dxa"/>
            <w:vAlign w:val="center"/>
          </w:tcPr>
          <w:p w:rsidR="00837EE7" w:rsidRDefault="00837EE7" w:rsidP="008312B5">
            <w:pPr>
              <w:pStyle w:val="T2"/>
              <w:spacing w:after="0"/>
              <w:ind w:left="0" w:right="0"/>
              <w:jc w:val="both"/>
              <w:rPr>
                <w:b w:val="0"/>
                <w:sz w:val="20"/>
              </w:rPr>
            </w:pPr>
            <w:r>
              <w:rPr>
                <w:b w:val="0"/>
                <w:sz w:val="20"/>
              </w:rPr>
              <w:t>170 W Tasman Dr, San Jose, CA 95134, USA</w:t>
            </w:r>
          </w:p>
        </w:tc>
        <w:tc>
          <w:tcPr>
            <w:tcW w:w="1274" w:type="dxa"/>
            <w:vAlign w:val="center"/>
          </w:tcPr>
          <w:p w:rsidR="00837EE7" w:rsidRDefault="00837EE7" w:rsidP="008312B5">
            <w:pPr>
              <w:pStyle w:val="T2"/>
              <w:spacing w:after="0"/>
              <w:ind w:left="0" w:right="0"/>
              <w:jc w:val="both"/>
              <w:rPr>
                <w:b w:val="0"/>
                <w:sz w:val="20"/>
              </w:rPr>
            </w:pPr>
          </w:p>
        </w:tc>
        <w:tc>
          <w:tcPr>
            <w:tcW w:w="2088" w:type="dxa"/>
            <w:vAlign w:val="center"/>
          </w:tcPr>
          <w:p w:rsidR="00837EE7" w:rsidRDefault="00837EE7" w:rsidP="002653F0">
            <w:pPr>
              <w:pStyle w:val="T2"/>
              <w:spacing w:after="0"/>
              <w:ind w:left="0" w:right="0"/>
              <w:jc w:val="both"/>
              <w:rPr>
                <w:b w:val="0"/>
                <w:sz w:val="16"/>
              </w:rPr>
            </w:pPr>
            <w:r>
              <w:rPr>
                <w:b w:val="0"/>
                <w:sz w:val="16"/>
              </w:rPr>
              <w:t>b</w:t>
            </w:r>
            <w:r w:rsidR="002653F0">
              <w:rPr>
                <w:b w:val="0"/>
                <w:sz w:val="16"/>
              </w:rPr>
              <w:t>rianh</w:t>
            </w:r>
            <w:r>
              <w:rPr>
                <w:b w:val="0"/>
                <w:sz w:val="16"/>
              </w:rPr>
              <w:t>@cisco.com</w:t>
            </w:r>
          </w:p>
        </w:tc>
      </w:tr>
      <w:tr w:rsidR="005A173F" w:rsidTr="005A173F">
        <w:trPr>
          <w:jc w:val="center"/>
        </w:trPr>
        <w:tc>
          <w:tcPr>
            <w:tcW w:w="1336" w:type="dxa"/>
            <w:vAlign w:val="center"/>
          </w:tcPr>
          <w:p w:rsidR="005A173F" w:rsidRDefault="005A173F" w:rsidP="008312B5">
            <w:pPr>
              <w:pStyle w:val="T2"/>
              <w:spacing w:after="0"/>
              <w:ind w:left="0" w:right="0"/>
              <w:jc w:val="both"/>
              <w:rPr>
                <w:b w:val="0"/>
                <w:sz w:val="20"/>
              </w:rPr>
            </w:pPr>
            <w:r>
              <w:rPr>
                <w:b w:val="0"/>
                <w:sz w:val="20"/>
              </w:rPr>
              <w:t>Michelle Gong</w:t>
            </w:r>
          </w:p>
        </w:tc>
        <w:tc>
          <w:tcPr>
            <w:tcW w:w="2064" w:type="dxa"/>
            <w:vAlign w:val="center"/>
          </w:tcPr>
          <w:p w:rsidR="005A173F" w:rsidRDefault="005A173F" w:rsidP="008312B5">
            <w:pPr>
              <w:pStyle w:val="T2"/>
              <w:spacing w:after="0"/>
              <w:ind w:left="0" w:right="0"/>
              <w:jc w:val="both"/>
              <w:rPr>
                <w:b w:val="0"/>
                <w:sz w:val="20"/>
              </w:rPr>
            </w:pPr>
            <w:r>
              <w:rPr>
                <w:b w:val="0"/>
                <w:sz w:val="20"/>
              </w:rPr>
              <w:t>Intel</w:t>
            </w:r>
          </w:p>
        </w:tc>
        <w:tc>
          <w:tcPr>
            <w:tcW w:w="2814" w:type="dxa"/>
            <w:vAlign w:val="center"/>
          </w:tcPr>
          <w:p w:rsidR="005A173F" w:rsidRDefault="005A173F" w:rsidP="008312B5">
            <w:pPr>
              <w:pStyle w:val="T2"/>
              <w:spacing w:after="0"/>
              <w:ind w:left="0" w:right="0"/>
              <w:jc w:val="both"/>
              <w:rPr>
                <w:b w:val="0"/>
                <w:sz w:val="20"/>
              </w:rPr>
            </w:pPr>
          </w:p>
        </w:tc>
        <w:tc>
          <w:tcPr>
            <w:tcW w:w="1274" w:type="dxa"/>
            <w:vAlign w:val="center"/>
          </w:tcPr>
          <w:p w:rsidR="005A173F" w:rsidRDefault="005A173F" w:rsidP="008312B5">
            <w:pPr>
              <w:pStyle w:val="T2"/>
              <w:spacing w:after="0"/>
              <w:ind w:left="0" w:right="0"/>
              <w:jc w:val="both"/>
              <w:rPr>
                <w:b w:val="0"/>
                <w:sz w:val="20"/>
              </w:rPr>
            </w:pPr>
          </w:p>
        </w:tc>
        <w:tc>
          <w:tcPr>
            <w:tcW w:w="2088" w:type="dxa"/>
            <w:vAlign w:val="center"/>
          </w:tcPr>
          <w:p w:rsidR="005A173F" w:rsidRDefault="005A173F" w:rsidP="002653F0">
            <w:pPr>
              <w:pStyle w:val="T2"/>
              <w:spacing w:after="0"/>
              <w:ind w:left="0" w:right="0"/>
              <w:jc w:val="both"/>
              <w:rPr>
                <w:b w:val="0"/>
                <w:sz w:val="16"/>
              </w:rPr>
            </w:pPr>
            <w:r>
              <w:rPr>
                <w:b w:val="0"/>
                <w:sz w:val="16"/>
              </w:rPr>
              <w:t>Michelle.x.gong@intel.com</w:t>
            </w:r>
          </w:p>
        </w:tc>
      </w:tr>
    </w:tbl>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Baseline is 11ac D0.3 document.</w:t>
      </w:r>
    </w:p>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This document proposes resolution for the following CIDs:</w:t>
      </w:r>
    </w:p>
    <w:p w:rsidR="00422E94" w:rsidRPr="00422E94" w:rsidRDefault="007471BE" w:rsidP="007471BE">
      <w:pPr>
        <w:pStyle w:val="Heading5"/>
        <w:ind w:firstLine="720"/>
        <w:jc w:val="both"/>
      </w:pPr>
      <w:r w:rsidRPr="007471BE">
        <w:rPr>
          <w:rFonts w:ascii="Times New Roman" w:hAnsi="Times New Roman"/>
          <w:b w:val="0"/>
          <w:i w:val="0"/>
          <w:sz w:val="24"/>
          <w:szCs w:val="24"/>
        </w:rPr>
        <w:t xml:space="preserve">COEX: </w:t>
      </w:r>
      <w:r w:rsidRPr="007471BE">
        <w:rPr>
          <w:rFonts w:ascii="Times New Roman" w:hAnsi="Times New Roman"/>
          <w:b w:val="0"/>
          <w:i w:val="0"/>
          <w:sz w:val="24"/>
          <w:szCs w:val="24"/>
        </w:rPr>
        <w:tab/>
      </w:r>
      <w:r w:rsidR="00D07DFA">
        <w:rPr>
          <w:rFonts w:ascii="Times New Roman" w:hAnsi="Times New Roman"/>
          <w:b w:val="0"/>
          <w:i w:val="0"/>
          <w:sz w:val="24"/>
          <w:szCs w:val="24"/>
        </w:rPr>
        <w:t>809</w:t>
      </w:r>
      <w:r w:rsidRPr="007471BE">
        <w:rPr>
          <w:rFonts w:ascii="Times New Roman" w:hAnsi="Times New Roman"/>
          <w:b w:val="0"/>
          <w:i w:val="0"/>
          <w:sz w:val="24"/>
          <w:szCs w:val="24"/>
        </w:rPr>
        <w:t>.</w:t>
      </w:r>
      <w:r w:rsidR="00CA09B2">
        <w:br w:type="page"/>
      </w:r>
    </w:p>
    <w:tbl>
      <w:tblPr>
        <w:tblW w:w="5000" w:type="pct"/>
        <w:tblLook w:val="04A0"/>
      </w:tblPr>
      <w:tblGrid>
        <w:gridCol w:w="551"/>
        <w:gridCol w:w="1332"/>
        <w:gridCol w:w="945"/>
        <w:gridCol w:w="526"/>
        <w:gridCol w:w="508"/>
        <w:gridCol w:w="443"/>
        <w:gridCol w:w="2829"/>
        <w:gridCol w:w="1741"/>
        <w:gridCol w:w="701"/>
      </w:tblGrid>
      <w:tr w:rsidR="00D07DFA" w:rsidRPr="00330EFF" w:rsidTr="004B1012">
        <w:trPr>
          <w:trHeight w:val="8190"/>
        </w:trPr>
        <w:tc>
          <w:tcPr>
            <w:tcW w:w="288"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lastRenderedPageBreak/>
              <w:t>809</w:t>
            </w:r>
          </w:p>
        </w:tc>
        <w:tc>
          <w:tcPr>
            <w:tcW w:w="696"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Loc, Peter</w:t>
            </w:r>
          </w:p>
        </w:tc>
        <w:tc>
          <w:tcPr>
            <w:tcW w:w="493"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 xml:space="preserve">9.2.0b.7 </w:t>
            </w:r>
          </w:p>
        </w:tc>
        <w:tc>
          <w:tcPr>
            <w:tcW w:w="275"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45</w:t>
            </w:r>
          </w:p>
        </w:tc>
        <w:tc>
          <w:tcPr>
            <w:tcW w:w="265"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61-65</w:t>
            </w:r>
          </w:p>
        </w:tc>
        <w:tc>
          <w:tcPr>
            <w:tcW w:w="231"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477"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 xml:space="preserve">To meet the rule of this sub-clause, that </w:t>
            </w:r>
            <w:r w:rsidRPr="00330EFF">
              <w:rPr>
                <w:rFonts w:ascii="Calibri" w:hAnsi="Calibri" w:cs="Calibri"/>
                <w:color w:val="000000"/>
                <w:szCs w:val="22"/>
                <w:lang w:val="en-US"/>
              </w:rPr>
              <w:br/>
              <w:t>"the VHT STA addressed by the RTS frame shall respond with a non-HT or non-HT duplicate CTS frame over all channels that are specified by the INDICATED_CH_BANDWIDTH parameter of the RTS frame if all non-primary channels indicated by the RTS frame have met the following condition: the PHY-CCA.indication primitive indicates IDLE during an interval of PIFS before the RTS frame is received. A VHT STA that is addressed by the RTS frame shall not respond with a CTS frame if the condition is not met for any nonprimary channel indicated by the RTS frame".</w:t>
            </w:r>
            <w:r w:rsidRPr="00330EFF">
              <w:rPr>
                <w:rFonts w:ascii="Calibri" w:hAnsi="Calibri" w:cs="Calibri"/>
                <w:color w:val="000000"/>
                <w:szCs w:val="22"/>
                <w:lang w:val="en-US"/>
              </w:rPr>
              <w:br/>
              <w:t>it requires that all active STAs must constantly compute their CCA IDLE time for non-primary channels. However, since most packets the STAs receive are data packets, not RTS, their cycles and power spent on computing the CCA IDLE count are wasted, resulting in more power consumption at the STAs.</w:t>
            </w:r>
          </w:p>
        </w:tc>
        <w:tc>
          <w:tcPr>
            <w:tcW w:w="909"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Add the following paragraph after line 4, page 46: "To save processing cycles at the STAs,  a secondary CCA IDLE Count Request frame (SCR) is used to alert STAs of an incoming RTS.  SCR frame is transmitted in the primary channel PIFS before the transmission of  RTS. STAs receiving SCR will turn on their CCA detecting blocks and begin counting their IDLE time. SCR frame contains SU or MU indication and address of the target STA/STA group.</w:t>
            </w:r>
          </w:p>
        </w:tc>
        <w:tc>
          <w:tcPr>
            <w:tcW w:w="366" w:type="pct"/>
            <w:tcBorders>
              <w:top w:val="nil"/>
              <w:left w:val="nil"/>
              <w:bottom w:val="nil"/>
              <w:right w:val="nil"/>
            </w:tcBorders>
            <w:shd w:val="clear" w:color="auto" w:fill="auto"/>
            <w:hideMark/>
          </w:tcPr>
          <w:p w:rsidR="00D07DFA" w:rsidRPr="00330EFF" w:rsidRDefault="00D07DFA" w:rsidP="002E28BF">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D07DFA" w:rsidRDefault="00D07DFA" w:rsidP="00D07DFA">
      <w:pPr>
        <w:jc w:val="both"/>
      </w:pPr>
    </w:p>
    <w:p w:rsidR="00D07DFA" w:rsidRDefault="00D07DFA" w:rsidP="00D07DFA">
      <w:pPr>
        <w:jc w:val="both"/>
      </w:pPr>
      <w:r>
        <w:rPr>
          <w:b/>
          <w:bCs/>
        </w:rPr>
        <w:t>Proposed resolution:</w:t>
      </w:r>
      <w:r>
        <w:t xml:space="preserve"> Disagree. </w:t>
      </w:r>
      <w:r w:rsidRPr="003C406A">
        <w:rPr>
          <w:szCs w:val="22"/>
        </w:rPr>
        <w:t xml:space="preserve">One potential implementation is that </w:t>
      </w:r>
      <w:r w:rsidRPr="003C406A">
        <w:t>the</w:t>
      </w:r>
      <w:r>
        <w:t xml:space="preserve"> RTS receiver evaluates all non-primary channels continuously and stores the CCA state upon packet reception. However, a receiver can devise more simple and efficient algorithms for early-packet or mid-packet detection for non-primary channels. Please see algorithms and discussions on early- and mid-packet detection in 07/3001r2, 10/0012r0, 10/0744r1. </w:t>
      </w:r>
      <w:r w:rsidR="008528B6">
        <w:t xml:space="preserve">Also, </w:t>
      </w:r>
      <w:r w:rsidR="00C32B10">
        <w:t xml:space="preserve">while </w:t>
      </w:r>
      <w:r w:rsidR="008528B6">
        <w:t xml:space="preserve">the CCA IDLE count </w:t>
      </w:r>
      <w:r w:rsidR="00C32B10">
        <w:t xml:space="preserve">needs to be executed all the time, it </w:t>
      </w:r>
      <w:r w:rsidR="008528B6">
        <w:t>has low complexity.</w:t>
      </w:r>
    </w:p>
    <w:p w:rsidR="008528B6" w:rsidRDefault="008528B6" w:rsidP="00D07DFA">
      <w:pPr>
        <w:jc w:val="both"/>
      </w:pPr>
    </w:p>
    <w:p w:rsidR="00D07DFA" w:rsidRDefault="00D07DFA" w:rsidP="00D07DFA">
      <w:pPr>
        <w:jc w:val="both"/>
      </w:pPr>
      <w:r>
        <w:rPr>
          <w:b/>
          <w:bCs/>
        </w:rPr>
        <w:t>Discussion:</w:t>
      </w:r>
      <w:r>
        <w:t xml:space="preserve"> The commenter suggests that the RTS receiver needs to evaluate all non-primary channels contentiously. As discussed in TGac (see 07/3001r2, 10/0012r0, 10/0744r1), a  receiver can devise simple and efficient algorithms for early-packet or mid-packet detection for non-primary channels. With additional control frame exchange, as suggested by the commenter, multiple concerns arise among which are additional complexity, additional degradation of MAC efficiency, and introduction of a new control frame (sent prior to RTS which is) unknown to legacy devices.</w:t>
      </w:r>
    </w:p>
    <w:p w:rsidR="009A4D03" w:rsidRDefault="009A4D03" w:rsidP="008312B5">
      <w:pPr>
        <w:jc w:val="both"/>
      </w:pPr>
    </w:p>
    <w:sectPr w:rsidR="009A4D03" w:rsidSect="009039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05455B">
    <w:pPr>
      <w:pStyle w:val="Footer"/>
      <w:tabs>
        <w:tab w:val="clear" w:pos="6480"/>
        <w:tab w:val="center" w:pos="4680"/>
        <w:tab w:val="right" w:pos="9360"/>
      </w:tabs>
    </w:pPr>
    <w:fldSimple w:instr=" SUBJECT  \* MERGEFORMAT ">
      <w:r w:rsidR="002428DE">
        <w:t>Submission</w:t>
      </w:r>
    </w:fldSimple>
    <w:r w:rsidR="002428DE">
      <w:tab/>
      <w:t xml:space="preserve">page </w:t>
    </w:r>
    <w:fldSimple w:instr="page ">
      <w:r w:rsidR="00C32B10">
        <w:rPr>
          <w:noProof/>
        </w:rPr>
        <w:t>2</w:t>
      </w:r>
    </w:fldSimple>
    <w:r w:rsidR="002428DE">
      <w:tab/>
    </w:r>
    <w:fldSimple w:instr=" COMMENTS  \* MERGEFORMAT ">
      <w:r w:rsidR="00662E39">
        <w:t>Reza Hedayat</w:t>
      </w:r>
      <w:r w:rsidR="002428DE">
        <w:t>, Cisco Systems</w:t>
      </w:r>
    </w:fldSimple>
  </w:p>
  <w:p w:rsidR="002428DE" w:rsidRDefault="00242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05455B">
    <w:pPr>
      <w:pStyle w:val="Header"/>
      <w:tabs>
        <w:tab w:val="clear" w:pos="6480"/>
        <w:tab w:val="center" w:pos="4680"/>
        <w:tab w:val="right" w:pos="9360"/>
      </w:tabs>
    </w:pPr>
    <w:fldSimple w:instr=" KEYWORDS  \* MERGEFORMAT ">
      <w:r w:rsidR="004B1012">
        <w:t>May</w:t>
      </w:r>
      <w:r w:rsidR="00A86869">
        <w:t>,</w:t>
      </w:r>
      <w:r w:rsidR="002428DE">
        <w:t xml:space="preserve"> 2011</w:t>
      </w:r>
    </w:fldSimple>
    <w:r w:rsidR="002428DE">
      <w:tab/>
    </w:r>
    <w:r w:rsidR="002428DE">
      <w:tab/>
    </w:r>
    <w:fldSimple w:instr=" TITLE  \* MERGEFORMAT ">
      <w:r w:rsidR="002428DE">
        <w:t>doc.: IEEE 802.11-11/</w:t>
      </w:r>
      <w:r w:rsidR="00100C82">
        <w:t>0</w:t>
      </w:r>
      <w:r w:rsidR="004B1012">
        <w:t>637</w:t>
      </w:r>
      <w:r w:rsidR="002428DE">
        <w:t>r</w:t>
      </w:r>
      <w:r w:rsidR="004B1012">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rsids>
    <w:rsidRoot w:val="009635A1"/>
    <w:rsid w:val="00007348"/>
    <w:rsid w:val="0001163A"/>
    <w:rsid w:val="0002065E"/>
    <w:rsid w:val="00034861"/>
    <w:rsid w:val="00042DDD"/>
    <w:rsid w:val="00044AD2"/>
    <w:rsid w:val="0005455B"/>
    <w:rsid w:val="00054D71"/>
    <w:rsid w:val="000638C7"/>
    <w:rsid w:val="00074508"/>
    <w:rsid w:val="000B0960"/>
    <w:rsid w:val="000C5AFE"/>
    <w:rsid w:val="000D316E"/>
    <w:rsid w:val="000D6387"/>
    <w:rsid w:val="000E38ED"/>
    <w:rsid w:val="00100C82"/>
    <w:rsid w:val="001041DF"/>
    <w:rsid w:val="001247AD"/>
    <w:rsid w:val="0014456A"/>
    <w:rsid w:val="0015137E"/>
    <w:rsid w:val="00163ABC"/>
    <w:rsid w:val="001905BE"/>
    <w:rsid w:val="00195832"/>
    <w:rsid w:val="001B5995"/>
    <w:rsid w:val="001B6D72"/>
    <w:rsid w:val="001B710A"/>
    <w:rsid w:val="001C102A"/>
    <w:rsid w:val="001C6A44"/>
    <w:rsid w:val="001D723B"/>
    <w:rsid w:val="001E3B98"/>
    <w:rsid w:val="001E4C0C"/>
    <w:rsid w:val="001E5F18"/>
    <w:rsid w:val="001F2C2B"/>
    <w:rsid w:val="00200CC8"/>
    <w:rsid w:val="0021154F"/>
    <w:rsid w:val="00220F43"/>
    <w:rsid w:val="00233A1D"/>
    <w:rsid w:val="00236C2C"/>
    <w:rsid w:val="002428DE"/>
    <w:rsid w:val="00260177"/>
    <w:rsid w:val="00262A6A"/>
    <w:rsid w:val="002653F0"/>
    <w:rsid w:val="002709F7"/>
    <w:rsid w:val="00275E73"/>
    <w:rsid w:val="0029020B"/>
    <w:rsid w:val="002D0395"/>
    <w:rsid w:val="002D3223"/>
    <w:rsid w:val="002D44BE"/>
    <w:rsid w:val="003057DA"/>
    <w:rsid w:val="00313607"/>
    <w:rsid w:val="00316B18"/>
    <w:rsid w:val="00321C48"/>
    <w:rsid w:val="00324A54"/>
    <w:rsid w:val="00330EFF"/>
    <w:rsid w:val="0036517E"/>
    <w:rsid w:val="00370E0C"/>
    <w:rsid w:val="0037131A"/>
    <w:rsid w:val="00376AC5"/>
    <w:rsid w:val="003B5364"/>
    <w:rsid w:val="003C406A"/>
    <w:rsid w:val="003C76D7"/>
    <w:rsid w:val="003D0089"/>
    <w:rsid w:val="0041053E"/>
    <w:rsid w:val="00411046"/>
    <w:rsid w:val="0041306F"/>
    <w:rsid w:val="00422E94"/>
    <w:rsid w:val="004265C5"/>
    <w:rsid w:val="00427325"/>
    <w:rsid w:val="004320E2"/>
    <w:rsid w:val="00442037"/>
    <w:rsid w:val="00450B89"/>
    <w:rsid w:val="00452498"/>
    <w:rsid w:val="00454804"/>
    <w:rsid w:val="00464B86"/>
    <w:rsid w:val="00476675"/>
    <w:rsid w:val="004808F4"/>
    <w:rsid w:val="004A03F5"/>
    <w:rsid w:val="004A5F28"/>
    <w:rsid w:val="004B1012"/>
    <w:rsid w:val="004B63E1"/>
    <w:rsid w:val="004B7BD0"/>
    <w:rsid w:val="004F2C3A"/>
    <w:rsid w:val="00504BCE"/>
    <w:rsid w:val="00504E1B"/>
    <w:rsid w:val="00555446"/>
    <w:rsid w:val="005A173F"/>
    <w:rsid w:val="005A2A88"/>
    <w:rsid w:val="005D46C0"/>
    <w:rsid w:val="005D76BD"/>
    <w:rsid w:val="005F6A70"/>
    <w:rsid w:val="0062440B"/>
    <w:rsid w:val="00643C98"/>
    <w:rsid w:val="00662E39"/>
    <w:rsid w:val="00664EDE"/>
    <w:rsid w:val="006843D4"/>
    <w:rsid w:val="00692A19"/>
    <w:rsid w:val="00697F8C"/>
    <w:rsid w:val="006A27A9"/>
    <w:rsid w:val="006C0727"/>
    <w:rsid w:val="006D4AA8"/>
    <w:rsid w:val="006E05C9"/>
    <w:rsid w:val="006E145F"/>
    <w:rsid w:val="007072CB"/>
    <w:rsid w:val="00735D75"/>
    <w:rsid w:val="00745789"/>
    <w:rsid w:val="007471BE"/>
    <w:rsid w:val="0076647B"/>
    <w:rsid w:val="007704DD"/>
    <w:rsid w:val="00770572"/>
    <w:rsid w:val="00781E1F"/>
    <w:rsid w:val="007C1CBD"/>
    <w:rsid w:val="007C510F"/>
    <w:rsid w:val="007D5D61"/>
    <w:rsid w:val="007E4810"/>
    <w:rsid w:val="007F3300"/>
    <w:rsid w:val="007F4D8A"/>
    <w:rsid w:val="00807A34"/>
    <w:rsid w:val="00815F65"/>
    <w:rsid w:val="00820DD5"/>
    <w:rsid w:val="00827262"/>
    <w:rsid w:val="008312B5"/>
    <w:rsid w:val="00835CD6"/>
    <w:rsid w:val="00836D62"/>
    <w:rsid w:val="008374B4"/>
    <w:rsid w:val="00837EE7"/>
    <w:rsid w:val="00851D11"/>
    <w:rsid w:val="008528B6"/>
    <w:rsid w:val="00856084"/>
    <w:rsid w:val="00863DD7"/>
    <w:rsid w:val="00871967"/>
    <w:rsid w:val="00871D67"/>
    <w:rsid w:val="00876163"/>
    <w:rsid w:val="00881A40"/>
    <w:rsid w:val="008A2DC0"/>
    <w:rsid w:val="008B184C"/>
    <w:rsid w:val="008E0A81"/>
    <w:rsid w:val="008F0170"/>
    <w:rsid w:val="0090397E"/>
    <w:rsid w:val="00904ED7"/>
    <w:rsid w:val="0090557F"/>
    <w:rsid w:val="009209AF"/>
    <w:rsid w:val="00921B63"/>
    <w:rsid w:val="00930FBE"/>
    <w:rsid w:val="009345C8"/>
    <w:rsid w:val="00934BE0"/>
    <w:rsid w:val="00942F15"/>
    <w:rsid w:val="009523AD"/>
    <w:rsid w:val="00961442"/>
    <w:rsid w:val="009635A1"/>
    <w:rsid w:val="0096566E"/>
    <w:rsid w:val="009715D6"/>
    <w:rsid w:val="00996FA9"/>
    <w:rsid w:val="009A4D03"/>
    <w:rsid w:val="009B2B7B"/>
    <w:rsid w:val="009C7DA4"/>
    <w:rsid w:val="009E1AB0"/>
    <w:rsid w:val="009E1FCF"/>
    <w:rsid w:val="009E3EB6"/>
    <w:rsid w:val="009E6009"/>
    <w:rsid w:val="00A00FF6"/>
    <w:rsid w:val="00A15E7C"/>
    <w:rsid w:val="00A21144"/>
    <w:rsid w:val="00A549F9"/>
    <w:rsid w:val="00A64BAF"/>
    <w:rsid w:val="00A76584"/>
    <w:rsid w:val="00A76AC4"/>
    <w:rsid w:val="00A86869"/>
    <w:rsid w:val="00A923A5"/>
    <w:rsid w:val="00AA427C"/>
    <w:rsid w:val="00AA4FF3"/>
    <w:rsid w:val="00AA632C"/>
    <w:rsid w:val="00AA6538"/>
    <w:rsid w:val="00AB00B7"/>
    <w:rsid w:val="00AC114E"/>
    <w:rsid w:val="00AC3267"/>
    <w:rsid w:val="00AC3ED1"/>
    <w:rsid w:val="00AC3FD9"/>
    <w:rsid w:val="00AC77F8"/>
    <w:rsid w:val="00AD0934"/>
    <w:rsid w:val="00AD70FC"/>
    <w:rsid w:val="00AE02BD"/>
    <w:rsid w:val="00AF488E"/>
    <w:rsid w:val="00AF57AD"/>
    <w:rsid w:val="00B015EC"/>
    <w:rsid w:val="00B34E5B"/>
    <w:rsid w:val="00B74BC4"/>
    <w:rsid w:val="00B7522F"/>
    <w:rsid w:val="00B8101E"/>
    <w:rsid w:val="00B91BF4"/>
    <w:rsid w:val="00B9401F"/>
    <w:rsid w:val="00BB7C2F"/>
    <w:rsid w:val="00BC5241"/>
    <w:rsid w:val="00BD7100"/>
    <w:rsid w:val="00BE624F"/>
    <w:rsid w:val="00BE68C2"/>
    <w:rsid w:val="00C0045D"/>
    <w:rsid w:val="00C1371E"/>
    <w:rsid w:val="00C25BB8"/>
    <w:rsid w:val="00C321BD"/>
    <w:rsid w:val="00C32B10"/>
    <w:rsid w:val="00C41C7C"/>
    <w:rsid w:val="00C46DC4"/>
    <w:rsid w:val="00C6449C"/>
    <w:rsid w:val="00C83392"/>
    <w:rsid w:val="00C875EF"/>
    <w:rsid w:val="00CA09B2"/>
    <w:rsid w:val="00CB7F4D"/>
    <w:rsid w:val="00CC3DF2"/>
    <w:rsid w:val="00CF2F18"/>
    <w:rsid w:val="00D04564"/>
    <w:rsid w:val="00D07DFA"/>
    <w:rsid w:val="00D24490"/>
    <w:rsid w:val="00D44DB8"/>
    <w:rsid w:val="00D56C6D"/>
    <w:rsid w:val="00D75FB9"/>
    <w:rsid w:val="00D87E81"/>
    <w:rsid w:val="00D904F7"/>
    <w:rsid w:val="00DB40AD"/>
    <w:rsid w:val="00DC189C"/>
    <w:rsid w:val="00DC28DC"/>
    <w:rsid w:val="00DC5A7B"/>
    <w:rsid w:val="00DC6DEB"/>
    <w:rsid w:val="00DF330E"/>
    <w:rsid w:val="00DF4C37"/>
    <w:rsid w:val="00E26145"/>
    <w:rsid w:val="00E3344A"/>
    <w:rsid w:val="00E73CBF"/>
    <w:rsid w:val="00E80CA5"/>
    <w:rsid w:val="00E8104F"/>
    <w:rsid w:val="00E811F2"/>
    <w:rsid w:val="00E8499F"/>
    <w:rsid w:val="00EA1F03"/>
    <w:rsid w:val="00EC42D3"/>
    <w:rsid w:val="00EC4820"/>
    <w:rsid w:val="00EC6BF3"/>
    <w:rsid w:val="00ED507A"/>
    <w:rsid w:val="00EE1724"/>
    <w:rsid w:val="00EE6F2E"/>
    <w:rsid w:val="00EE7DF2"/>
    <w:rsid w:val="00F155F9"/>
    <w:rsid w:val="00F361E0"/>
    <w:rsid w:val="00F51683"/>
    <w:rsid w:val="00F52760"/>
    <w:rsid w:val="00F6109F"/>
    <w:rsid w:val="00F70BAB"/>
    <w:rsid w:val="00F83458"/>
    <w:rsid w:val="00F83543"/>
    <w:rsid w:val="00F940A9"/>
    <w:rsid w:val="00FA08B4"/>
    <w:rsid w:val="00FB4ACD"/>
    <w:rsid w:val="00FB5D52"/>
    <w:rsid w:val="00FB67AC"/>
    <w:rsid w:val="00FC65A8"/>
    <w:rsid w:val="00FD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rPr>
      <w:sz w:val="22"/>
      <w:lang w:val="en-GB"/>
    </w:rPr>
  </w:style>
  <w:style w:type="paragraph" w:styleId="Heading1">
    <w:name w:val="heading 1"/>
    <w:basedOn w:val="Normal"/>
    <w:next w:val="Normal"/>
    <w:qFormat/>
    <w:rsid w:val="0090397E"/>
    <w:pPr>
      <w:keepNext/>
      <w:keepLines/>
      <w:spacing w:before="320"/>
      <w:outlineLvl w:val="0"/>
    </w:pPr>
    <w:rPr>
      <w:rFonts w:ascii="Arial" w:hAnsi="Arial"/>
      <w:b/>
      <w:sz w:val="32"/>
      <w:u w:val="single"/>
    </w:rPr>
  </w:style>
  <w:style w:type="paragraph" w:styleId="Heading2">
    <w:name w:val="heading 2"/>
    <w:basedOn w:val="Normal"/>
    <w:next w:val="Normal"/>
    <w:qFormat/>
    <w:rsid w:val="0090397E"/>
    <w:pPr>
      <w:keepNext/>
      <w:keepLines/>
      <w:spacing w:before="280"/>
      <w:outlineLvl w:val="1"/>
    </w:pPr>
    <w:rPr>
      <w:rFonts w:ascii="Arial" w:hAnsi="Arial"/>
      <w:b/>
      <w:sz w:val="28"/>
      <w:u w:val="single"/>
    </w:rPr>
  </w:style>
  <w:style w:type="paragraph" w:styleId="Heading3">
    <w:name w:val="heading 3"/>
    <w:basedOn w:val="Normal"/>
    <w:next w:val="Normal"/>
    <w:qFormat/>
    <w:rsid w:val="0090397E"/>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97E"/>
    <w:pPr>
      <w:pBdr>
        <w:top w:val="single" w:sz="6" w:space="1" w:color="auto"/>
      </w:pBdr>
      <w:tabs>
        <w:tab w:val="center" w:pos="6480"/>
        <w:tab w:val="right" w:pos="12960"/>
      </w:tabs>
    </w:pPr>
    <w:rPr>
      <w:sz w:val="24"/>
    </w:rPr>
  </w:style>
  <w:style w:type="paragraph" w:styleId="Header">
    <w:name w:val="header"/>
    <w:basedOn w:val="Normal"/>
    <w:rsid w:val="0090397E"/>
    <w:pPr>
      <w:pBdr>
        <w:bottom w:val="single" w:sz="6" w:space="2" w:color="auto"/>
      </w:pBdr>
      <w:tabs>
        <w:tab w:val="center" w:pos="6480"/>
        <w:tab w:val="right" w:pos="12960"/>
      </w:tabs>
    </w:pPr>
    <w:rPr>
      <w:b/>
      <w:sz w:val="28"/>
    </w:rPr>
  </w:style>
  <w:style w:type="paragraph" w:customStyle="1" w:styleId="T1">
    <w:name w:val="T1"/>
    <w:basedOn w:val="Normal"/>
    <w:rsid w:val="0090397E"/>
    <w:pPr>
      <w:jc w:val="center"/>
    </w:pPr>
    <w:rPr>
      <w:b/>
      <w:sz w:val="28"/>
    </w:rPr>
  </w:style>
  <w:style w:type="paragraph" w:customStyle="1" w:styleId="T2">
    <w:name w:val="T2"/>
    <w:basedOn w:val="T1"/>
    <w:rsid w:val="0090397E"/>
    <w:pPr>
      <w:spacing w:after="240"/>
      <w:ind w:left="720" w:right="720"/>
    </w:pPr>
  </w:style>
  <w:style w:type="paragraph" w:customStyle="1" w:styleId="T3">
    <w:name w:val="T3"/>
    <w:basedOn w:val="T1"/>
    <w:rsid w:val="0090397E"/>
    <w:pPr>
      <w:pBdr>
        <w:bottom w:val="single" w:sz="6" w:space="1" w:color="auto"/>
      </w:pBdr>
      <w:tabs>
        <w:tab w:val="center" w:pos="4680"/>
      </w:tabs>
      <w:spacing w:after="240"/>
      <w:jc w:val="left"/>
    </w:pPr>
    <w:rPr>
      <w:b w:val="0"/>
      <w:sz w:val="24"/>
    </w:rPr>
  </w:style>
  <w:style w:type="paragraph" w:styleId="BodyTextIndent">
    <w:name w:val="Body Text Indent"/>
    <w:basedOn w:val="Normal"/>
    <w:rsid w:val="0090397E"/>
    <w:pPr>
      <w:ind w:left="720" w:hanging="720"/>
    </w:pPr>
  </w:style>
  <w:style w:type="character" w:styleId="Hyperlink">
    <w:name w:val="Hyperlink"/>
    <w:basedOn w:val="DefaultParagraphFont"/>
    <w:rsid w:val="0090397E"/>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9093">
      <w:bodyDiv w:val="1"/>
      <w:marLeft w:val="0"/>
      <w:marRight w:val="0"/>
      <w:marTop w:val="0"/>
      <w:marBottom w:val="0"/>
      <w:divBdr>
        <w:top w:val="none" w:sz="0" w:space="0" w:color="auto"/>
        <w:left w:val="none" w:sz="0" w:space="0" w:color="auto"/>
        <w:bottom w:val="none" w:sz="0" w:space="0" w:color="auto"/>
        <w:right w:val="none" w:sz="0" w:space="0" w:color="auto"/>
      </w:divBdr>
    </w:div>
    <w:div w:id="112676809">
      <w:bodyDiv w:val="1"/>
      <w:marLeft w:val="0"/>
      <w:marRight w:val="0"/>
      <w:marTop w:val="0"/>
      <w:marBottom w:val="0"/>
      <w:divBdr>
        <w:top w:val="none" w:sz="0" w:space="0" w:color="auto"/>
        <w:left w:val="none" w:sz="0" w:space="0" w:color="auto"/>
        <w:bottom w:val="none" w:sz="0" w:space="0" w:color="auto"/>
        <w:right w:val="none" w:sz="0" w:space="0" w:color="auto"/>
      </w:divBdr>
    </w:div>
    <w:div w:id="113259274">
      <w:bodyDiv w:val="1"/>
      <w:marLeft w:val="0"/>
      <w:marRight w:val="0"/>
      <w:marTop w:val="0"/>
      <w:marBottom w:val="0"/>
      <w:divBdr>
        <w:top w:val="none" w:sz="0" w:space="0" w:color="auto"/>
        <w:left w:val="none" w:sz="0" w:space="0" w:color="auto"/>
        <w:bottom w:val="none" w:sz="0" w:space="0" w:color="auto"/>
        <w:right w:val="none" w:sz="0" w:space="0" w:color="auto"/>
      </w:divBdr>
    </w:div>
    <w:div w:id="195431877">
      <w:bodyDiv w:val="1"/>
      <w:marLeft w:val="0"/>
      <w:marRight w:val="0"/>
      <w:marTop w:val="0"/>
      <w:marBottom w:val="0"/>
      <w:divBdr>
        <w:top w:val="none" w:sz="0" w:space="0" w:color="auto"/>
        <w:left w:val="none" w:sz="0" w:space="0" w:color="auto"/>
        <w:bottom w:val="none" w:sz="0" w:space="0" w:color="auto"/>
        <w:right w:val="none" w:sz="0" w:space="0" w:color="auto"/>
      </w:divBdr>
    </w:div>
    <w:div w:id="270279437">
      <w:bodyDiv w:val="1"/>
      <w:marLeft w:val="0"/>
      <w:marRight w:val="0"/>
      <w:marTop w:val="0"/>
      <w:marBottom w:val="0"/>
      <w:divBdr>
        <w:top w:val="none" w:sz="0" w:space="0" w:color="auto"/>
        <w:left w:val="none" w:sz="0" w:space="0" w:color="auto"/>
        <w:bottom w:val="none" w:sz="0" w:space="0" w:color="auto"/>
        <w:right w:val="none" w:sz="0" w:space="0" w:color="auto"/>
      </w:divBdr>
    </w:div>
    <w:div w:id="365909492">
      <w:bodyDiv w:val="1"/>
      <w:marLeft w:val="0"/>
      <w:marRight w:val="0"/>
      <w:marTop w:val="0"/>
      <w:marBottom w:val="0"/>
      <w:divBdr>
        <w:top w:val="none" w:sz="0" w:space="0" w:color="auto"/>
        <w:left w:val="none" w:sz="0" w:space="0" w:color="auto"/>
        <w:bottom w:val="none" w:sz="0" w:space="0" w:color="auto"/>
        <w:right w:val="none" w:sz="0" w:space="0" w:color="auto"/>
      </w:divBdr>
    </w:div>
    <w:div w:id="370153709">
      <w:bodyDiv w:val="1"/>
      <w:marLeft w:val="15"/>
      <w:marRight w:val="15"/>
      <w:marTop w:val="15"/>
      <w:marBottom w:val="15"/>
      <w:divBdr>
        <w:top w:val="none" w:sz="0" w:space="0" w:color="auto"/>
        <w:left w:val="none" w:sz="0" w:space="0" w:color="auto"/>
        <w:bottom w:val="none" w:sz="0" w:space="0" w:color="auto"/>
        <w:right w:val="none" w:sz="0" w:space="0" w:color="auto"/>
      </w:divBdr>
      <w:divsChild>
        <w:div w:id="148719168">
          <w:marLeft w:val="0"/>
          <w:marRight w:val="0"/>
          <w:marTop w:val="0"/>
          <w:marBottom w:val="0"/>
          <w:divBdr>
            <w:top w:val="none" w:sz="0" w:space="0" w:color="auto"/>
            <w:left w:val="none" w:sz="0" w:space="0" w:color="auto"/>
            <w:bottom w:val="none" w:sz="0" w:space="0" w:color="auto"/>
            <w:right w:val="none" w:sz="0" w:space="0" w:color="auto"/>
          </w:divBdr>
          <w:divsChild>
            <w:div w:id="1196961801">
              <w:marLeft w:val="75"/>
              <w:marRight w:val="0"/>
              <w:marTop w:val="0"/>
              <w:marBottom w:val="0"/>
              <w:divBdr>
                <w:top w:val="none" w:sz="0" w:space="0" w:color="auto"/>
                <w:left w:val="none" w:sz="0" w:space="0" w:color="auto"/>
                <w:bottom w:val="none" w:sz="0" w:space="0" w:color="auto"/>
                <w:right w:val="none" w:sz="0" w:space="0" w:color="auto"/>
              </w:divBdr>
              <w:divsChild>
                <w:div w:id="206377198">
                  <w:marLeft w:val="0"/>
                  <w:marRight w:val="0"/>
                  <w:marTop w:val="0"/>
                  <w:marBottom w:val="0"/>
                  <w:divBdr>
                    <w:top w:val="none" w:sz="0" w:space="0" w:color="auto"/>
                    <w:left w:val="none" w:sz="0" w:space="0" w:color="auto"/>
                    <w:bottom w:val="none" w:sz="0" w:space="0" w:color="auto"/>
                    <w:right w:val="none" w:sz="0" w:space="0" w:color="auto"/>
                  </w:divBdr>
                </w:div>
                <w:div w:id="244460512">
                  <w:marLeft w:val="-30"/>
                  <w:marRight w:val="0"/>
                  <w:marTop w:val="0"/>
                  <w:marBottom w:val="0"/>
                  <w:divBdr>
                    <w:top w:val="none" w:sz="0" w:space="0" w:color="auto"/>
                    <w:left w:val="none" w:sz="0" w:space="0" w:color="auto"/>
                    <w:bottom w:val="none" w:sz="0" w:space="0" w:color="auto"/>
                    <w:right w:val="none" w:sz="0" w:space="0" w:color="auto"/>
                  </w:divBdr>
                </w:div>
                <w:div w:id="1375732394">
                  <w:marLeft w:val="0"/>
                  <w:marRight w:val="0"/>
                  <w:marTop w:val="0"/>
                  <w:marBottom w:val="0"/>
                  <w:divBdr>
                    <w:top w:val="none" w:sz="0" w:space="0" w:color="auto"/>
                    <w:left w:val="none" w:sz="0" w:space="0" w:color="auto"/>
                    <w:bottom w:val="none" w:sz="0" w:space="0" w:color="auto"/>
                    <w:right w:val="none" w:sz="0" w:space="0" w:color="auto"/>
                  </w:divBdr>
                </w:div>
              </w:divsChild>
            </w:div>
            <w:div w:id="1647315398">
              <w:marLeft w:val="1500"/>
              <w:marRight w:val="0"/>
              <w:marTop w:val="0"/>
              <w:marBottom w:val="0"/>
              <w:divBdr>
                <w:top w:val="none" w:sz="0" w:space="0" w:color="auto"/>
                <w:left w:val="none" w:sz="0" w:space="0" w:color="auto"/>
                <w:bottom w:val="none" w:sz="0" w:space="0" w:color="auto"/>
                <w:right w:val="none" w:sz="0" w:space="0" w:color="auto"/>
              </w:divBdr>
            </w:div>
          </w:divsChild>
        </w:div>
        <w:div w:id="459614104">
          <w:marLeft w:val="0"/>
          <w:marRight w:val="0"/>
          <w:marTop w:val="0"/>
          <w:marBottom w:val="0"/>
          <w:divBdr>
            <w:top w:val="none" w:sz="0" w:space="0" w:color="auto"/>
            <w:left w:val="none" w:sz="0" w:space="0" w:color="auto"/>
            <w:bottom w:val="none" w:sz="0" w:space="0" w:color="auto"/>
            <w:right w:val="none" w:sz="0" w:space="0" w:color="auto"/>
          </w:divBdr>
          <w:divsChild>
            <w:div w:id="419303342">
              <w:marLeft w:val="1500"/>
              <w:marRight w:val="0"/>
              <w:marTop w:val="0"/>
              <w:marBottom w:val="0"/>
              <w:divBdr>
                <w:top w:val="none" w:sz="0" w:space="0" w:color="auto"/>
                <w:left w:val="none" w:sz="0" w:space="0" w:color="auto"/>
                <w:bottom w:val="none" w:sz="0" w:space="0" w:color="auto"/>
                <w:right w:val="none" w:sz="0" w:space="0" w:color="auto"/>
              </w:divBdr>
            </w:div>
          </w:divsChild>
        </w:div>
        <w:div w:id="729159636">
          <w:marLeft w:val="0"/>
          <w:marRight w:val="0"/>
          <w:marTop w:val="0"/>
          <w:marBottom w:val="0"/>
          <w:divBdr>
            <w:top w:val="none" w:sz="0" w:space="0" w:color="auto"/>
            <w:left w:val="none" w:sz="0" w:space="0" w:color="auto"/>
            <w:bottom w:val="none" w:sz="0" w:space="0" w:color="auto"/>
            <w:right w:val="none" w:sz="0" w:space="0" w:color="auto"/>
          </w:divBdr>
          <w:divsChild>
            <w:div w:id="22287539">
              <w:marLeft w:val="1500"/>
              <w:marRight w:val="0"/>
              <w:marTop w:val="0"/>
              <w:marBottom w:val="0"/>
              <w:divBdr>
                <w:top w:val="none" w:sz="0" w:space="0" w:color="auto"/>
                <w:left w:val="none" w:sz="0" w:space="0" w:color="auto"/>
                <w:bottom w:val="none" w:sz="0" w:space="0" w:color="auto"/>
                <w:right w:val="none" w:sz="0" w:space="0" w:color="auto"/>
              </w:divBdr>
            </w:div>
            <w:div w:id="339042981">
              <w:marLeft w:val="75"/>
              <w:marRight w:val="0"/>
              <w:marTop w:val="0"/>
              <w:marBottom w:val="0"/>
              <w:divBdr>
                <w:top w:val="none" w:sz="0" w:space="0" w:color="auto"/>
                <w:left w:val="none" w:sz="0" w:space="0" w:color="auto"/>
                <w:bottom w:val="none" w:sz="0" w:space="0" w:color="auto"/>
                <w:right w:val="none" w:sz="0" w:space="0" w:color="auto"/>
              </w:divBdr>
              <w:divsChild>
                <w:div w:id="893467592">
                  <w:marLeft w:val="0"/>
                  <w:marRight w:val="0"/>
                  <w:marTop w:val="0"/>
                  <w:marBottom w:val="0"/>
                  <w:divBdr>
                    <w:top w:val="none" w:sz="0" w:space="0" w:color="auto"/>
                    <w:left w:val="none" w:sz="0" w:space="0" w:color="auto"/>
                    <w:bottom w:val="none" w:sz="0" w:space="0" w:color="auto"/>
                    <w:right w:val="none" w:sz="0" w:space="0" w:color="auto"/>
                  </w:divBdr>
                </w:div>
                <w:div w:id="1494024446">
                  <w:marLeft w:val="0"/>
                  <w:marRight w:val="0"/>
                  <w:marTop w:val="0"/>
                  <w:marBottom w:val="0"/>
                  <w:divBdr>
                    <w:top w:val="none" w:sz="0" w:space="0" w:color="auto"/>
                    <w:left w:val="none" w:sz="0" w:space="0" w:color="auto"/>
                    <w:bottom w:val="none" w:sz="0" w:space="0" w:color="auto"/>
                    <w:right w:val="none" w:sz="0" w:space="0" w:color="auto"/>
                  </w:divBdr>
                </w:div>
                <w:div w:id="20892309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82277871">
          <w:marLeft w:val="0"/>
          <w:marRight w:val="0"/>
          <w:marTop w:val="0"/>
          <w:marBottom w:val="0"/>
          <w:divBdr>
            <w:top w:val="none" w:sz="0" w:space="0" w:color="auto"/>
            <w:left w:val="none" w:sz="0" w:space="0" w:color="auto"/>
            <w:bottom w:val="none" w:sz="0" w:space="0" w:color="auto"/>
            <w:right w:val="none" w:sz="0" w:space="0" w:color="auto"/>
          </w:divBdr>
          <w:divsChild>
            <w:div w:id="742534676">
              <w:marLeft w:val="1500"/>
              <w:marRight w:val="0"/>
              <w:marTop w:val="0"/>
              <w:marBottom w:val="0"/>
              <w:divBdr>
                <w:top w:val="none" w:sz="0" w:space="0" w:color="auto"/>
                <w:left w:val="none" w:sz="0" w:space="0" w:color="auto"/>
                <w:bottom w:val="none" w:sz="0" w:space="0" w:color="auto"/>
                <w:right w:val="none" w:sz="0" w:space="0" w:color="auto"/>
              </w:divBdr>
            </w:div>
            <w:div w:id="1196043335">
              <w:marLeft w:val="75"/>
              <w:marRight w:val="0"/>
              <w:marTop w:val="0"/>
              <w:marBottom w:val="0"/>
              <w:divBdr>
                <w:top w:val="none" w:sz="0" w:space="0" w:color="auto"/>
                <w:left w:val="none" w:sz="0" w:space="0" w:color="auto"/>
                <w:bottom w:val="none" w:sz="0" w:space="0" w:color="auto"/>
                <w:right w:val="none" w:sz="0" w:space="0" w:color="auto"/>
              </w:divBdr>
              <w:divsChild>
                <w:div w:id="754981044">
                  <w:marLeft w:val="0"/>
                  <w:marRight w:val="0"/>
                  <w:marTop w:val="0"/>
                  <w:marBottom w:val="0"/>
                  <w:divBdr>
                    <w:top w:val="none" w:sz="0" w:space="0" w:color="auto"/>
                    <w:left w:val="none" w:sz="0" w:space="0" w:color="auto"/>
                    <w:bottom w:val="none" w:sz="0" w:space="0" w:color="auto"/>
                    <w:right w:val="none" w:sz="0" w:space="0" w:color="auto"/>
                  </w:divBdr>
                </w:div>
                <w:div w:id="854809783">
                  <w:marLeft w:val="-30"/>
                  <w:marRight w:val="0"/>
                  <w:marTop w:val="0"/>
                  <w:marBottom w:val="0"/>
                  <w:divBdr>
                    <w:top w:val="none" w:sz="0" w:space="0" w:color="auto"/>
                    <w:left w:val="none" w:sz="0" w:space="0" w:color="auto"/>
                    <w:bottom w:val="none" w:sz="0" w:space="0" w:color="auto"/>
                    <w:right w:val="none" w:sz="0" w:space="0" w:color="auto"/>
                  </w:divBdr>
                </w:div>
                <w:div w:id="17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034">
      <w:bodyDiv w:val="1"/>
      <w:marLeft w:val="0"/>
      <w:marRight w:val="0"/>
      <w:marTop w:val="0"/>
      <w:marBottom w:val="0"/>
      <w:divBdr>
        <w:top w:val="none" w:sz="0" w:space="0" w:color="auto"/>
        <w:left w:val="none" w:sz="0" w:space="0" w:color="auto"/>
        <w:bottom w:val="none" w:sz="0" w:space="0" w:color="auto"/>
        <w:right w:val="none" w:sz="0" w:space="0" w:color="auto"/>
      </w:divBdr>
    </w:div>
    <w:div w:id="726801666">
      <w:bodyDiv w:val="1"/>
      <w:marLeft w:val="0"/>
      <w:marRight w:val="0"/>
      <w:marTop w:val="0"/>
      <w:marBottom w:val="0"/>
      <w:divBdr>
        <w:top w:val="none" w:sz="0" w:space="0" w:color="auto"/>
        <w:left w:val="none" w:sz="0" w:space="0" w:color="auto"/>
        <w:bottom w:val="none" w:sz="0" w:space="0" w:color="auto"/>
        <w:right w:val="none" w:sz="0" w:space="0" w:color="auto"/>
      </w:divBdr>
    </w:div>
    <w:div w:id="731582767">
      <w:bodyDiv w:val="1"/>
      <w:marLeft w:val="0"/>
      <w:marRight w:val="0"/>
      <w:marTop w:val="0"/>
      <w:marBottom w:val="0"/>
      <w:divBdr>
        <w:top w:val="none" w:sz="0" w:space="0" w:color="auto"/>
        <w:left w:val="none" w:sz="0" w:space="0" w:color="auto"/>
        <w:bottom w:val="none" w:sz="0" w:space="0" w:color="auto"/>
        <w:right w:val="none" w:sz="0" w:space="0" w:color="auto"/>
      </w:divBdr>
    </w:div>
    <w:div w:id="807893218">
      <w:bodyDiv w:val="1"/>
      <w:marLeft w:val="0"/>
      <w:marRight w:val="0"/>
      <w:marTop w:val="0"/>
      <w:marBottom w:val="0"/>
      <w:divBdr>
        <w:top w:val="none" w:sz="0" w:space="0" w:color="auto"/>
        <w:left w:val="none" w:sz="0" w:space="0" w:color="auto"/>
        <w:bottom w:val="none" w:sz="0" w:space="0" w:color="auto"/>
        <w:right w:val="none" w:sz="0" w:space="0" w:color="auto"/>
      </w:divBdr>
    </w:div>
    <w:div w:id="1069036283">
      <w:bodyDiv w:val="1"/>
      <w:marLeft w:val="0"/>
      <w:marRight w:val="0"/>
      <w:marTop w:val="0"/>
      <w:marBottom w:val="0"/>
      <w:divBdr>
        <w:top w:val="none" w:sz="0" w:space="0" w:color="auto"/>
        <w:left w:val="none" w:sz="0" w:space="0" w:color="auto"/>
        <w:bottom w:val="none" w:sz="0" w:space="0" w:color="auto"/>
        <w:right w:val="none" w:sz="0" w:space="0" w:color="auto"/>
      </w:divBdr>
    </w:div>
    <w:div w:id="1104884513">
      <w:bodyDiv w:val="1"/>
      <w:marLeft w:val="0"/>
      <w:marRight w:val="0"/>
      <w:marTop w:val="0"/>
      <w:marBottom w:val="0"/>
      <w:divBdr>
        <w:top w:val="none" w:sz="0" w:space="0" w:color="auto"/>
        <w:left w:val="none" w:sz="0" w:space="0" w:color="auto"/>
        <w:bottom w:val="none" w:sz="0" w:space="0" w:color="auto"/>
        <w:right w:val="none" w:sz="0" w:space="0" w:color="auto"/>
      </w:divBdr>
    </w:div>
    <w:div w:id="1144741693">
      <w:bodyDiv w:val="1"/>
      <w:marLeft w:val="0"/>
      <w:marRight w:val="0"/>
      <w:marTop w:val="0"/>
      <w:marBottom w:val="0"/>
      <w:divBdr>
        <w:top w:val="none" w:sz="0" w:space="0" w:color="auto"/>
        <w:left w:val="none" w:sz="0" w:space="0" w:color="auto"/>
        <w:bottom w:val="none" w:sz="0" w:space="0" w:color="auto"/>
        <w:right w:val="none" w:sz="0" w:space="0" w:color="auto"/>
      </w:divBdr>
    </w:div>
    <w:div w:id="1147866518">
      <w:bodyDiv w:val="1"/>
      <w:marLeft w:val="0"/>
      <w:marRight w:val="0"/>
      <w:marTop w:val="0"/>
      <w:marBottom w:val="0"/>
      <w:divBdr>
        <w:top w:val="none" w:sz="0" w:space="0" w:color="auto"/>
        <w:left w:val="none" w:sz="0" w:space="0" w:color="auto"/>
        <w:bottom w:val="none" w:sz="0" w:space="0" w:color="auto"/>
        <w:right w:val="none" w:sz="0" w:space="0" w:color="auto"/>
      </w:divBdr>
    </w:div>
    <w:div w:id="11716807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9756210">
      <w:bodyDiv w:val="1"/>
      <w:marLeft w:val="0"/>
      <w:marRight w:val="0"/>
      <w:marTop w:val="0"/>
      <w:marBottom w:val="0"/>
      <w:divBdr>
        <w:top w:val="none" w:sz="0" w:space="0" w:color="auto"/>
        <w:left w:val="none" w:sz="0" w:space="0" w:color="auto"/>
        <w:bottom w:val="none" w:sz="0" w:space="0" w:color="auto"/>
        <w:right w:val="none" w:sz="0" w:space="0" w:color="auto"/>
      </w:divBdr>
    </w:div>
    <w:div w:id="1650983998">
      <w:bodyDiv w:val="1"/>
      <w:marLeft w:val="0"/>
      <w:marRight w:val="0"/>
      <w:marTop w:val="0"/>
      <w:marBottom w:val="0"/>
      <w:divBdr>
        <w:top w:val="none" w:sz="0" w:space="0" w:color="auto"/>
        <w:left w:val="none" w:sz="0" w:space="0" w:color="auto"/>
        <w:bottom w:val="none" w:sz="0" w:space="0" w:color="auto"/>
        <w:right w:val="none" w:sz="0" w:space="0" w:color="auto"/>
      </w:divBdr>
    </w:div>
    <w:div w:id="1674647484">
      <w:bodyDiv w:val="1"/>
      <w:marLeft w:val="0"/>
      <w:marRight w:val="0"/>
      <w:marTop w:val="0"/>
      <w:marBottom w:val="0"/>
      <w:divBdr>
        <w:top w:val="none" w:sz="0" w:space="0" w:color="auto"/>
        <w:left w:val="none" w:sz="0" w:space="0" w:color="auto"/>
        <w:bottom w:val="none" w:sz="0" w:space="0" w:color="auto"/>
        <w:right w:val="none" w:sz="0" w:space="0" w:color="auto"/>
      </w:divBdr>
    </w:div>
    <w:div w:id="1689911384">
      <w:bodyDiv w:val="1"/>
      <w:marLeft w:val="0"/>
      <w:marRight w:val="0"/>
      <w:marTop w:val="0"/>
      <w:marBottom w:val="0"/>
      <w:divBdr>
        <w:top w:val="none" w:sz="0" w:space="0" w:color="auto"/>
        <w:left w:val="none" w:sz="0" w:space="0" w:color="auto"/>
        <w:bottom w:val="none" w:sz="0" w:space="0" w:color="auto"/>
        <w:right w:val="none" w:sz="0" w:space="0" w:color="auto"/>
      </w:divBdr>
    </w:div>
    <w:div w:id="1702822140">
      <w:bodyDiv w:val="1"/>
      <w:marLeft w:val="0"/>
      <w:marRight w:val="0"/>
      <w:marTop w:val="0"/>
      <w:marBottom w:val="0"/>
      <w:divBdr>
        <w:top w:val="none" w:sz="0" w:space="0" w:color="auto"/>
        <w:left w:val="none" w:sz="0" w:space="0" w:color="auto"/>
        <w:bottom w:val="none" w:sz="0" w:space="0" w:color="auto"/>
        <w:right w:val="none" w:sz="0" w:space="0" w:color="auto"/>
      </w:divBdr>
    </w:div>
    <w:div w:id="1830362258">
      <w:bodyDiv w:val="1"/>
      <w:marLeft w:val="0"/>
      <w:marRight w:val="0"/>
      <w:marTop w:val="0"/>
      <w:marBottom w:val="0"/>
      <w:divBdr>
        <w:top w:val="none" w:sz="0" w:space="0" w:color="auto"/>
        <w:left w:val="none" w:sz="0" w:space="0" w:color="auto"/>
        <w:bottom w:val="none" w:sz="0" w:space="0" w:color="auto"/>
        <w:right w:val="none" w:sz="0" w:space="0" w:color="auto"/>
      </w:divBdr>
    </w:div>
    <w:div w:id="1866938649">
      <w:bodyDiv w:val="1"/>
      <w:marLeft w:val="0"/>
      <w:marRight w:val="0"/>
      <w:marTop w:val="0"/>
      <w:marBottom w:val="0"/>
      <w:divBdr>
        <w:top w:val="none" w:sz="0" w:space="0" w:color="auto"/>
        <w:left w:val="none" w:sz="0" w:space="0" w:color="auto"/>
        <w:bottom w:val="none" w:sz="0" w:space="0" w:color="auto"/>
        <w:right w:val="none" w:sz="0" w:space="0" w:color="auto"/>
      </w:divBdr>
    </w:div>
    <w:div w:id="194079465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83914008">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
    <w:div w:id="21363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E9DD-7977-4D89-AAFD-52686AC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802.11-11/0372r1</vt:lpstr>
    </vt:vector>
  </TitlesOfParts>
  <Company>Nokia Corporation</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802.11-11/0372r1</dc:title>
  <dc:subject>Submission</dc:subject>
  <dc:creator>Brian Hart</dc:creator>
  <cp:keywords>Mar. 2011</cp:keywords>
  <dc:description>Brian Hart, Cisco Systems</dc:description>
  <cp:lastModifiedBy>Reza Hedayat (rehedaya)</cp:lastModifiedBy>
  <cp:revision>4</cp:revision>
  <cp:lastPrinted>2011-04-12T23:02:00Z</cp:lastPrinted>
  <dcterms:created xsi:type="dcterms:W3CDTF">2011-05-03T21:21:00Z</dcterms:created>
  <dcterms:modified xsi:type="dcterms:W3CDTF">2011-05-03T21:50:00Z</dcterms:modified>
</cp:coreProperties>
</file>