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C114E" w:rsidP="00EB3328">
            <w:pPr>
              <w:pStyle w:val="T2"/>
            </w:pPr>
            <w:r>
              <w:t>D0.1 Comment Re</w:t>
            </w:r>
            <w:r w:rsidR="001B5995">
              <w:t>s</w:t>
            </w:r>
            <w:r>
              <w:t>o</w:t>
            </w:r>
            <w:r w:rsidR="001B5995">
              <w:t xml:space="preserve">lution, </w:t>
            </w:r>
          </w:p>
        </w:tc>
      </w:tr>
      <w:tr w:rsidR="00CA09B2">
        <w:trPr>
          <w:trHeight w:val="359"/>
          <w:jc w:val="center"/>
        </w:trPr>
        <w:tc>
          <w:tcPr>
            <w:tcW w:w="9576" w:type="dxa"/>
            <w:gridSpan w:val="5"/>
            <w:vAlign w:val="center"/>
          </w:tcPr>
          <w:p w:rsidR="00CA09B2" w:rsidRDefault="00CA09B2" w:rsidP="00760A23">
            <w:pPr>
              <w:pStyle w:val="T2"/>
              <w:ind w:left="0"/>
              <w:rPr>
                <w:sz w:val="20"/>
              </w:rPr>
            </w:pPr>
            <w:r>
              <w:rPr>
                <w:sz w:val="20"/>
              </w:rPr>
              <w:t>Date:</w:t>
            </w:r>
            <w:r w:rsidR="00DF095C">
              <w:rPr>
                <w:b w:val="0"/>
                <w:sz w:val="20"/>
              </w:rPr>
              <w:t xml:space="preserve">  2011-</w:t>
            </w:r>
            <w:r w:rsidR="003E037D">
              <w:rPr>
                <w:b w:val="0"/>
                <w:sz w:val="20"/>
              </w:rPr>
              <w:t>05</w:t>
            </w:r>
            <w:r>
              <w:rPr>
                <w:b w:val="0"/>
                <w:sz w:val="20"/>
              </w:rPr>
              <w:t>-</w:t>
            </w:r>
            <w:r w:rsidR="003E037D">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E461D">
        <w:trPr>
          <w:jc w:val="center"/>
        </w:trPr>
        <w:tc>
          <w:tcPr>
            <w:tcW w:w="1336" w:type="dxa"/>
            <w:vAlign w:val="center"/>
          </w:tcPr>
          <w:p w:rsidR="009E461D" w:rsidRDefault="009E461D">
            <w:pPr>
              <w:pStyle w:val="T2"/>
              <w:spacing w:after="0"/>
              <w:ind w:left="0" w:right="0"/>
              <w:rPr>
                <w:b w:val="0"/>
                <w:sz w:val="20"/>
              </w:rPr>
            </w:pPr>
            <w:r>
              <w:rPr>
                <w:b w:val="0"/>
                <w:sz w:val="20"/>
              </w:rPr>
              <w:t>Ron Porat</w:t>
            </w:r>
          </w:p>
        </w:tc>
        <w:tc>
          <w:tcPr>
            <w:tcW w:w="2064" w:type="dxa"/>
            <w:vAlign w:val="center"/>
          </w:tcPr>
          <w:p w:rsidR="009E461D" w:rsidRDefault="009E461D">
            <w:pPr>
              <w:pStyle w:val="T2"/>
              <w:spacing w:after="0"/>
              <w:ind w:left="0" w:right="0"/>
              <w:rPr>
                <w:b w:val="0"/>
                <w:sz w:val="20"/>
              </w:rPr>
            </w:pPr>
            <w:r>
              <w:rPr>
                <w:b w:val="0"/>
                <w:sz w:val="20"/>
              </w:rPr>
              <w:t>Broadcom</w:t>
            </w:r>
          </w:p>
        </w:tc>
        <w:tc>
          <w:tcPr>
            <w:tcW w:w="2814" w:type="dxa"/>
            <w:vAlign w:val="center"/>
          </w:tcPr>
          <w:p w:rsidR="009E461D" w:rsidRPr="003D62C3" w:rsidRDefault="009E461D" w:rsidP="009E461D">
            <w:pPr>
              <w:pStyle w:val="NormalWeb"/>
              <w:jc w:val="center"/>
              <w:rPr>
                <w:lang w:val="nl-NL"/>
              </w:rPr>
            </w:pPr>
            <w:r>
              <w:rPr>
                <w:rFonts w:ascii="Arial" w:hAnsi="Arial" w:cs="Arial"/>
                <w:sz w:val="20"/>
                <w:szCs w:val="20"/>
              </w:rPr>
              <w:t>16340 West Bernardo Dr., San Diego, CA 92127</w:t>
            </w:r>
          </w:p>
        </w:tc>
        <w:tc>
          <w:tcPr>
            <w:tcW w:w="1715" w:type="dxa"/>
            <w:vAlign w:val="center"/>
          </w:tcPr>
          <w:p w:rsidR="009E461D" w:rsidRPr="003D62C3" w:rsidRDefault="009E461D" w:rsidP="009E461D">
            <w:pPr>
              <w:jc w:val="center"/>
              <w:rPr>
                <w:sz w:val="24"/>
                <w:szCs w:val="24"/>
                <w:lang w:val="nl-NL"/>
              </w:rPr>
            </w:pPr>
            <w:r>
              <w:rPr>
                <w:sz w:val="24"/>
                <w:szCs w:val="24"/>
                <w:lang w:val="nl-NL"/>
              </w:rPr>
              <w:t>858-521-5409</w:t>
            </w:r>
          </w:p>
        </w:tc>
        <w:tc>
          <w:tcPr>
            <w:tcW w:w="1647" w:type="dxa"/>
            <w:vAlign w:val="center"/>
          </w:tcPr>
          <w:p w:rsidR="009E461D" w:rsidRPr="003D62C3" w:rsidRDefault="002C7586" w:rsidP="009E461D">
            <w:pPr>
              <w:jc w:val="center"/>
              <w:rPr>
                <w:sz w:val="24"/>
                <w:szCs w:val="24"/>
                <w:lang w:val="nl-NL"/>
              </w:rPr>
            </w:pPr>
            <w:hyperlink r:id="rId8" w:history="1">
              <w:r w:rsidR="009E461D" w:rsidRPr="00425F0C">
                <w:rPr>
                  <w:rStyle w:val="Hyperlink"/>
                  <w:sz w:val="24"/>
                  <w:szCs w:val="24"/>
                  <w:lang w:val="nl-NL"/>
                </w:rPr>
                <w:t>rporat@broadcom.com</w:t>
              </w:r>
            </w:hyperlink>
          </w:p>
        </w:tc>
      </w:tr>
    </w:tbl>
    <w:p w:rsidR="0076647B" w:rsidRDefault="0076647B" w:rsidP="0076647B"/>
    <w:p w:rsidR="00531E7E" w:rsidRDefault="00531E7E" w:rsidP="0076647B"/>
    <w:p w:rsidR="00461C51" w:rsidRPr="00760A23" w:rsidRDefault="00461C51" w:rsidP="0076647B">
      <w:pPr>
        <w:rPr>
          <w:b/>
          <w:sz w:val="24"/>
          <w:szCs w:val="24"/>
          <w:u w:val="single"/>
        </w:rPr>
      </w:pPr>
      <w:r w:rsidRPr="00760A23">
        <w:rPr>
          <w:b/>
          <w:sz w:val="24"/>
          <w:szCs w:val="24"/>
          <w:u w:val="single"/>
        </w:rPr>
        <w:t>Comments relative to D0.1</w:t>
      </w:r>
    </w:p>
    <w:p w:rsidR="00760A23" w:rsidRDefault="00760A23" w:rsidP="0076647B"/>
    <w:p w:rsidR="00461C51" w:rsidRDefault="00461C51" w:rsidP="0076647B"/>
    <w:tbl>
      <w:tblPr>
        <w:tblW w:w="5000" w:type="pct"/>
        <w:tblLook w:val="04A0"/>
      </w:tblPr>
      <w:tblGrid>
        <w:gridCol w:w="872"/>
        <w:gridCol w:w="1404"/>
        <w:gridCol w:w="1109"/>
        <w:gridCol w:w="638"/>
        <w:gridCol w:w="563"/>
        <w:gridCol w:w="1094"/>
        <w:gridCol w:w="1948"/>
        <w:gridCol w:w="1948"/>
      </w:tblGrid>
      <w:tr w:rsidR="00531E7E" w:rsidRPr="00531E7E" w:rsidTr="00531E7E">
        <w:trPr>
          <w:trHeight w:val="1500"/>
        </w:trPr>
        <w:tc>
          <w:tcPr>
            <w:tcW w:w="455" w:type="pct"/>
            <w:tcBorders>
              <w:top w:val="nil"/>
              <w:left w:val="nil"/>
              <w:bottom w:val="nil"/>
              <w:right w:val="nil"/>
            </w:tcBorders>
            <w:shd w:val="clear" w:color="auto" w:fill="auto"/>
            <w:hideMark/>
          </w:tcPr>
          <w:p w:rsidR="00531E7E" w:rsidRPr="00531E7E" w:rsidRDefault="00531E7E" w:rsidP="00531E7E">
            <w:pPr>
              <w:jc w:val="right"/>
              <w:rPr>
                <w:rFonts w:ascii="Calibri" w:hAnsi="Calibri" w:cs="Calibri"/>
                <w:color w:val="000000"/>
                <w:szCs w:val="22"/>
                <w:lang w:val="en-US"/>
              </w:rPr>
            </w:pPr>
            <w:r w:rsidRPr="00531E7E">
              <w:rPr>
                <w:rFonts w:ascii="Calibri" w:hAnsi="Calibri" w:cs="Calibri"/>
                <w:color w:val="000000"/>
                <w:szCs w:val="22"/>
                <w:lang w:val="en-US"/>
              </w:rPr>
              <w:t>891</w:t>
            </w:r>
          </w:p>
        </w:tc>
        <w:tc>
          <w:tcPr>
            <w:tcW w:w="733" w:type="pct"/>
            <w:tcBorders>
              <w:top w:val="nil"/>
              <w:left w:val="nil"/>
              <w:bottom w:val="nil"/>
              <w:right w:val="nil"/>
            </w:tcBorders>
            <w:shd w:val="clear" w:color="auto" w:fill="auto"/>
            <w:hideMark/>
          </w:tcPr>
          <w:p w:rsidR="00531E7E" w:rsidRPr="00531E7E" w:rsidRDefault="00531E7E" w:rsidP="00531E7E">
            <w:pPr>
              <w:rPr>
                <w:rFonts w:ascii="Calibri" w:hAnsi="Calibri" w:cs="Calibri"/>
                <w:color w:val="000000"/>
                <w:szCs w:val="22"/>
                <w:lang w:val="en-US"/>
              </w:rPr>
            </w:pPr>
            <w:r w:rsidRPr="00531E7E">
              <w:rPr>
                <w:rFonts w:ascii="Calibri" w:hAnsi="Calibri" w:cs="Calibri"/>
                <w:color w:val="000000"/>
                <w:szCs w:val="22"/>
                <w:lang w:val="en-US"/>
              </w:rPr>
              <w:t>Porat, Ron</w:t>
            </w:r>
          </w:p>
        </w:tc>
        <w:tc>
          <w:tcPr>
            <w:tcW w:w="579" w:type="pct"/>
            <w:tcBorders>
              <w:top w:val="nil"/>
              <w:left w:val="nil"/>
              <w:bottom w:val="nil"/>
              <w:right w:val="nil"/>
            </w:tcBorders>
            <w:shd w:val="clear" w:color="auto" w:fill="auto"/>
            <w:hideMark/>
          </w:tcPr>
          <w:p w:rsidR="00531E7E" w:rsidRPr="00531E7E" w:rsidRDefault="00531E7E" w:rsidP="00531E7E">
            <w:pPr>
              <w:rPr>
                <w:rFonts w:ascii="Calibri" w:hAnsi="Calibri" w:cs="Calibri"/>
                <w:color w:val="000000"/>
                <w:szCs w:val="22"/>
                <w:lang w:val="en-US"/>
              </w:rPr>
            </w:pPr>
            <w:r w:rsidRPr="00531E7E">
              <w:rPr>
                <w:rFonts w:ascii="Calibri" w:hAnsi="Calibri" w:cs="Calibri"/>
                <w:color w:val="000000"/>
                <w:szCs w:val="22"/>
                <w:lang w:val="en-US"/>
              </w:rPr>
              <w:t>7.3.1.33</w:t>
            </w:r>
          </w:p>
        </w:tc>
        <w:tc>
          <w:tcPr>
            <w:tcW w:w="333" w:type="pct"/>
            <w:tcBorders>
              <w:top w:val="nil"/>
              <w:left w:val="nil"/>
              <w:bottom w:val="nil"/>
              <w:right w:val="nil"/>
            </w:tcBorders>
            <w:shd w:val="clear" w:color="auto" w:fill="auto"/>
            <w:hideMark/>
          </w:tcPr>
          <w:p w:rsidR="00531E7E" w:rsidRPr="00531E7E" w:rsidRDefault="00531E7E" w:rsidP="00531E7E">
            <w:pPr>
              <w:rPr>
                <w:rFonts w:ascii="Calibri" w:hAnsi="Calibri" w:cs="Calibri"/>
                <w:color w:val="000000"/>
                <w:szCs w:val="22"/>
                <w:lang w:val="en-US"/>
              </w:rPr>
            </w:pPr>
            <w:r w:rsidRPr="00531E7E">
              <w:rPr>
                <w:rFonts w:ascii="Calibri" w:hAnsi="Calibri" w:cs="Calibri"/>
                <w:color w:val="000000"/>
                <w:szCs w:val="22"/>
                <w:lang w:val="en-US"/>
              </w:rPr>
              <w:t>24</w:t>
            </w:r>
          </w:p>
        </w:tc>
        <w:tc>
          <w:tcPr>
            <w:tcW w:w="294" w:type="pct"/>
            <w:tcBorders>
              <w:top w:val="nil"/>
              <w:left w:val="nil"/>
              <w:bottom w:val="nil"/>
              <w:right w:val="nil"/>
            </w:tcBorders>
            <w:shd w:val="clear" w:color="auto" w:fill="auto"/>
            <w:hideMark/>
          </w:tcPr>
          <w:p w:rsidR="00531E7E" w:rsidRPr="00531E7E" w:rsidRDefault="00531E7E" w:rsidP="00531E7E">
            <w:pPr>
              <w:rPr>
                <w:rFonts w:ascii="Calibri" w:hAnsi="Calibri" w:cs="Calibri"/>
                <w:color w:val="000000"/>
                <w:szCs w:val="22"/>
                <w:lang w:val="en-US"/>
              </w:rPr>
            </w:pPr>
            <w:r w:rsidRPr="00531E7E">
              <w:rPr>
                <w:rFonts w:ascii="Calibri" w:hAnsi="Calibri" w:cs="Calibri"/>
                <w:color w:val="000000"/>
                <w:szCs w:val="22"/>
                <w:lang w:val="en-US"/>
              </w:rPr>
              <w:t>23</w:t>
            </w:r>
          </w:p>
        </w:tc>
        <w:tc>
          <w:tcPr>
            <w:tcW w:w="571" w:type="pct"/>
            <w:tcBorders>
              <w:top w:val="nil"/>
              <w:left w:val="nil"/>
              <w:bottom w:val="nil"/>
              <w:right w:val="nil"/>
            </w:tcBorders>
            <w:shd w:val="clear" w:color="auto" w:fill="auto"/>
            <w:hideMark/>
          </w:tcPr>
          <w:p w:rsidR="00531E7E" w:rsidRPr="00531E7E" w:rsidRDefault="00531E7E" w:rsidP="00531E7E">
            <w:pPr>
              <w:rPr>
                <w:rFonts w:ascii="Calibri" w:hAnsi="Calibri" w:cs="Calibri"/>
                <w:color w:val="000000"/>
                <w:szCs w:val="22"/>
                <w:lang w:val="en-US"/>
              </w:rPr>
            </w:pPr>
            <w:r w:rsidRPr="00531E7E">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531E7E" w:rsidRPr="00531E7E" w:rsidRDefault="00531E7E" w:rsidP="00531E7E">
            <w:pPr>
              <w:rPr>
                <w:rFonts w:ascii="Calibri" w:hAnsi="Calibri" w:cs="Calibri"/>
                <w:color w:val="000000"/>
                <w:szCs w:val="22"/>
                <w:lang w:val="en-US"/>
              </w:rPr>
            </w:pPr>
            <w:r w:rsidRPr="00531E7E">
              <w:rPr>
                <w:rFonts w:ascii="Calibri" w:hAnsi="Calibri" w:cs="Calibri"/>
                <w:color w:val="000000"/>
                <w:szCs w:val="22"/>
                <w:lang w:val="en-US"/>
              </w:rPr>
              <w:t xml:space="preserve">The definition of N should be more tightly related to the average SNR per stream </w:t>
            </w:r>
          </w:p>
        </w:tc>
        <w:tc>
          <w:tcPr>
            <w:tcW w:w="1017" w:type="pct"/>
            <w:tcBorders>
              <w:top w:val="nil"/>
              <w:left w:val="nil"/>
              <w:bottom w:val="nil"/>
              <w:right w:val="nil"/>
            </w:tcBorders>
            <w:shd w:val="clear" w:color="auto" w:fill="auto"/>
            <w:hideMark/>
          </w:tcPr>
          <w:p w:rsidR="00531E7E" w:rsidRPr="00531E7E" w:rsidRDefault="00531E7E" w:rsidP="00E06A37">
            <w:pPr>
              <w:rPr>
                <w:rFonts w:ascii="Calibri" w:hAnsi="Calibri" w:cs="Calibri"/>
                <w:color w:val="000000"/>
                <w:szCs w:val="22"/>
                <w:lang w:val="en-US"/>
              </w:rPr>
            </w:pPr>
            <w:r w:rsidRPr="00531E7E">
              <w:rPr>
                <w:rFonts w:ascii="Calibri" w:hAnsi="Calibri" w:cs="Calibri"/>
                <w:color w:val="000000"/>
                <w:szCs w:val="22"/>
                <w:lang w:val="en-US"/>
              </w:rPr>
              <w:t xml:space="preserve">Change line to: "is the average noise plus interference power measured at the beamformee that was used to calculate  </w:t>
            </w:r>
            <w:r w:rsidR="00E06A37" w:rsidRPr="00E06A37">
              <w:rPr>
                <w:rFonts w:ascii="Calibri" w:hAnsi="Calibri" w:cs="Calibri"/>
                <w:color w:val="000000"/>
                <w:position w:val="-12"/>
                <w:szCs w:val="22"/>
                <w:lang w:val="en-US"/>
              </w:rPr>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5pt;height:19.35pt" o:ole="">
                  <v:imagedata r:id="rId9" o:title=""/>
                </v:shape>
                <o:OLEObject Type="Embed" ProgID="Equation.DSMT4" ShapeID="_x0000_i1025" DrawAspect="Content" ObjectID="_1366100809" r:id="rId10"/>
              </w:object>
            </w:r>
          </w:p>
        </w:tc>
      </w:tr>
    </w:tbl>
    <w:p w:rsidR="007E552E" w:rsidRDefault="007E552E" w:rsidP="008F4E9D"/>
    <w:p w:rsidR="00531E7E" w:rsidRDefault="00531E7E" w:rsidP="008F4E9D"/>
    <w:p w:rsidR="00531E7E" w:rsidRPr="00ED3339" w:rsidRDefault="00531E7E" w:rsidP="00531E7E">
      <w:pPr>
        <w:rPr>
          <w:b/>
        </w:rPr>
      </w:pPr>
      <w:r w:rsidRPr="00ED3339">
        <w:rPr>
          <w:b/>
        </w:rPr>
        <w:t>Proposed resolution: Accept</w:t>
      </w:r>
    </w:p>
    <w:p w:rsidR="00531E7E" w:rsidRDefault="00531E7E" w:rsidP="008F4E9D"/>
    <w:p w:rsidR="00531E7E" w:rsidRDefault="00531E7E" w:rsidP="008F4E9D"/>
    <w:tbl>
      <w:tblPr>
        <w:tblW w:w="10300" w:type="dxa"/>
        <w:tblLook w:val="04A0"/>
      </w:tblPr>
      <w:tblGrid>
        <w:gridCol w:w="1240"/>
        <w:gridCol w:w="1960"/>
        <w:gridCol w:w="1120"/>
        <w:gridCol w:w="920"/>
        <w:gridCol w:w="820"/>
        <w:gridCol w:w="1540"/>
        <w:gridCol w:w="2700"/>
      </w:tblGrid>
      <w:tr w:rsidR="00E72307" w:rsidRPr="00E72307" w:rsidTr="00E4515E">
        <w:trPr>
          <w:trHeight w:val="1800"/>
        </w:trPr>
        <w:tc>
          <w:tcPr>
            <w:tcW w:w="1240" w:type="dxa"/>
            <w:tcBorders>
              <w:top w:val="nil"/>
              <w:left w:val="nil"/>
              <w:bottom w:val="nil"/>
              <w:right w:val="nil"/>
            </w:tcBorders>
            <w:shd w:val="clear" w:color="auto" w:fill="auto"/>
            <w:hideMark/>
          </w:tcPr>
          <w:p w:rsidR="00E72307" w:rsidRPr="00E72307" w:rsidRDefault="00E72307" w:rsidP="00E4515E">
            <w:pPr>
              <w:jc w:val="center"/>
              <w:rPr>
                <w:rFonts w:ascii="Calibri" w:hAnsi="Calibri"/>
                <w:color w:val="000000"/>
                <w:szCs w:val="22"/>
                <w:lang w:val="en-US"/>
              </w:rPr>
            </w:pPr>
            <w:r w:rsidRPr="00E72307">
              <w:rPr>
                <w:rFonts w:ascii="Calibri" w:hAnsi="Calibri"/>
                <w:color w:val="000000"/>
                <w:szCs w:val="22"/>
                <w:lang w:val="en-US"/>
              </w:rPr>
              <w:t>766</w:t>
            </w:r>
          </w:p>
        </w:tc>
        <w:tc>
          <w:tcPr>
            <w:tcW w:w="1960" w:type="dxa"/>
            <w:tcBorders>
              <w:top w:val="nil"/>
              <w:left w:val="nil"/>
              <w:bottom w:val="nil"/>
              <w:right w:val="nil"/>
            </w:tcBorders>
            <w:shd w:val="clear" w:color="auto" w:fill="auto"/>
            <w:hideMark/>
          </w:tcPr>
          <w:p w:rsidR="00E72307" w:rsidRPr="00E72307" w:rsidRDefault="00E72307" w:rsidP="00E72307">
            <w:pPr>
              <w:rPr>
                <w:rFonts w:ascii="Calibri" w:hAnsi="Calibri"/>
                <w:color w:val="000000"/>
                <w:szCs w:val="22"/>
                <w:lang w:val="en-US"/>
              </w:rPr>
            </w:pPr>
            <w:r w:rsidRPr="00E72307">
              <w:rPr>
                <w:rFonts w:ascii="Calibri" w:hAnsi="Calibri"/>
                <w:color w:val="000000"/>
                <w:szCs w:val="22"/>
                <w:lang w:val="en-US"/>
              </w:rPr>
              <w:t>Liu, Yong</w:t>
            </w:r>
          </w:p>
        </w:tc>
        <w:tc>
          <w:tcPr>
            <w:tcW w:w="1120" w:type="dxa"/>
            <w:tcBorders>
              <w:top w:val="nil"/>
              <w:left w:val="nil"/>
              <w:bottom w:val="nil"/>
              <w:right w:val="nil"/>
            </w:tcBorders>
            <w:shd w:val="clear" w:color="auto" w:fill="auto"/>
            <w:hideMark/>
          </w:tcPr>
          <w:p w:rsidR="00E72307" w:rsidRPr="00E72307" w:rsidRDefault="00E72307" w:rsidP="00E72307">
            <w:pPr>
              <w:rPr>
                <w:rFonts w:ascii="Calibri" w:hAnsi="Calibri"/>
                <w:color w:val="000000"/>
                <w:szCs w:val="22"/>
                <w:lang w:val="en-US"/>
              </w:rPr>
            </w:pPr>
            <w:r w:rsidRPr="00E72307">
              <w:rPr>
                <w:rFonts w:ascii="Calibri" w:hAnsi="Calibri"/>
                <w:color w:val="000000"/>
                <w:szCs w:val="22"/>
                <w:lang w:val="en-US"/>
              </w:rPr>
              <w:t>7.3.1.34</w:t>
            </w:r>
          </w:p>
        </w:tc>
        <w:tc>
          <w:tcPr>
            <w:tcW w:w="920" w:type="dxa"/>
            <w:tcBorders>
              <w:top w:val="nil"/>
              <w:left w:val="nil"/>
              <w:bottom w:val="nil"/>
              <w:right w:val="nil"/>
            </w:tcBorders>
            <w:shd w:val="clear" w:color="auto" w:fill="auto"/>
            <w:hideMark/>
          </w:tcPr>
          <w:p w:rsidR="00E72307" w:rsidRPr="00E72307" w:rsidRDefault="00E72307" w:rsidP="00E72307">
            <w:pPr>
              <w:rPr>
                <w:rFonts w:ascii="Calibri" w:hAnsi="Calibri"/>
                <w:color w:val="000000"/>
                <w:szCs w:val="22"/>
                <w:lang w:val="en-US"/>
              </w:rPr>
            </w:pPr>
            <w:r w:rsidRPr="00E72307">
              <w:rPr>
                <w:rFonts w:ascii="Calibri" w:hAnsi="Calibri"/>
                <w:color w:val="000000"/>
                <w:szCs w:val="22"/>
                <w:lang w:val="en-US"/>
              </w:rPr>
              <w:t>28</w:t>
            </w:r>
          </w:p>
        </w:tc>
        <w:tc>
          <w:tcPr>
            <w:tcW w:w="820" w:type="dxa"/>
            <w:tcBorders>
              <w:top w:val="nil"/>
              <w:left w:val="nil"/>
              <w:bottom w:val="nil"/>
              <w:right w:val="nil"/>
            </w:tcBorders>
            <w:shd w:val="clear" w:color="auto" w:fill="auto"/>
            <w:hideMark/>
          </w:tcPr>
          <w:p w:rsidR="00E72307" w:rsidRPr="00E72307" w:rsidRDefault="00E72307" w:rsidP="00E72307">
            <w:pPr>
              <w:rPr>
                <w:rFonts w:ascii="Calibri" w:hAnsi="Calibri"/>
                <w:color w:val="000000"/>
                <w:szCs w:val="22"/>
                <w:lang w:val="en-US"/>
              </w:rPr>
            </w:pPr>
            <w:r w:rsidRPr="00E72307">
              <w:rPr>
                <w:rFonts w:ascii="Calibri" w:hAnsi="Calibri"/>
                <w:color w:val="000000"/>
                <w:szCs w:val="22"/>
                <w:lang w:val="en-US"/>
              </w:rPr>
              <w:t>33</w:t>
            </w:r>
          </w:p>
        </w:tc>
        <w:tc>
          <w:tcPr>
            <w:tcW w:w="1540" w:type="dxa"/>
            <w:tcBorders>
              <w:top w:val="nil"/>
              <w:left w:val="nil"/>
              <w:bottom w:val="nil"/>
              <w:right w:val="nil"/>
            </w:tcBorders>
            <w:shd w:val="clear" w:color="auto" w:fill="auto"/>
            <w:hideMark/>
          </w:tcPr>
          <w:p w:rsidR="00E72307" w:rsidRPr="00E72307" w:rsidRDefault="00E72307" w:rsidP="00E72307">
            <w:pPr>
              <w:rPr>
                <w:rFonts w:ascii="Calibri" w:hAnsi="Calibri"/>
                <w:color w:val="000000"/>
                <w:szCs w:val="22"/>
                <w:lang w:val="en-US"/>
              </w:rPr>
            </w:pPr>
            <w:r w:rsidRPr="00E72307">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E72307" w:rsidRPr="00E72307" w:rsidRDefault="00E72307" w:rsidP="00E72307">
            <w:pPr>
              <w:rPr>
                <w:rFonts w:ascii="Calibri" w:hAnsi="Calibri"/>
                <w:color w:val="000000"/>
                <w:szCs w:val="22"/>
                <w:lang w:val="en-US"/>
              </w:rPr>
            </w:pPr>
            <w:r w:rsidRPr="00E72307">
              <w:rPr>
                <w:rFonts w:ascii="Calibri" w:hAnsi="Calibri"/>
                <w:color w:val="000000"/>
                <w:szCs w:val="22"/>
                <w:lang w:val="en-US"/>
              </w:rPr>
              <w:t>What does the sentence "when an MU type feedback is used to do the transmission" mean? Also, the following paragraph is duplicated.</w:t>
            </w:r>
          </w:p>
        </w:tc>
      </w:tr>
    </w:tbl>
    <w:p w:rsidR="00E72307" w:rsidRDefault="00E72307" w:rsidP="008F4E9D"/>
    <w:p w:rsidR="00E72307" w:rsidRDefault="00E72307" w:rsidP="008F4E9D"/>
    <w:p w:rsidR="00E72307" w:rsidRDefault="00A23844" w:rsidP="008F4E9D">
      <w:pPr>
        <w:rPr>
          <w:b/>
        </w:rPr>
      </w:pPr>
      <w:r w:rsidRPr="00ED3339">
        <w:rPr>
          <w:b/>
        </w:rPr>
        <w:t>Proposed resolution:</w:t>
      </w:r>
    </w:p>
    <w:p w:rsidR="00A23844" w:rsidRDefault="00A23844" w:rsidP="008F4E9D">
      <w:pPr>
        <w:rPr>
          <w:b/>
        </w:rPr>
      </w:pPr>
    </w:p>
    <w:p w:rsidR="00E4515E" w:rsidRPr="00E4515E" w:rsidRDefault="00E4515E" w:rsidP="00E4515E">
      <w:pPr>
        <w:autoSpaceDE w:val="0"/>
        <w:autoSpaceDN w:val="0"/>
        <w:adjustRightInd w:val="0"/>
        <w:rPr>
          <w:szCs w:val="22"/>
        </w:rPr>
      </w:pPr>
      <w:r w:rsidRPr="00E4515E">
        <w:rPr>
          <w:szCs w:val="22"/>
        </w:rPr>
        <w:t xml:space="preserve">Change senstence </w:t>
      </w:r>
      <w:r w:rsidR="00712B4B">
        <w:rPr>
          <w:szCs w:val="22"/>
        </w:rPr>
        <w:t xml:space="preserve">in the table </w:t>
      </w:r>
      <w:r w:rsidRPr="00E4515E">
        <w:rPr>
          <w:szCs w:val="22"/>
        </w:rPr>
        <w:t>to “</w:t>
      </w:r>
      <w:r w:rsidRPr="00E4515E">
        <w:rPr>
          <w:szCs w:val="22"/>
          <w:lang w:val="en-US"/>
        </w:rPr>
        <w:t>Set to 1 if Rx Nss indicates the maximum number of spatial streams</w:t>
      </w:r>
      <w:r>
        <w:rPr>
          <w:szCs w:val="22"/>
          <w:lang w:val="en-US"/>
        </w:rPr>
        <w:t xml:space="preserve"> </w:t>
      </w:r>
      <w:r w:rsidRPr="00E4515E">
        <w:rPr>
          <w:szCs w:val="22"/>
          <w:lang w:val="en-US"/>
        </w:rPr>
        <w:t>the</w:t>
      </w:r>
      <w:r>
        <w:rPr>
          <w:szCs w:val="22"/>
          <w:lang w:val="en-US"/>
        </w:rPr>
        <w:t xml:space="preserve"> </w:t>
      </w:r>
      <w:r w:rsidRPr="00E4515E">
        <w:rPr>
          <w:szCs w:val="22"/>
          <w:lang w:val="en-US"/>
        </w:rPr>
        <w:t>beamformee can receive in a single user beamformed transmission</w:t>
      </w:r>
      <w:r>
        <w:rPr>
          <w:szCs w:val="22"/>
          <w:lang w:val="en-US"/>
        </w:rPr>
        <w:t xml:space="preserve"> when feedback </w:t>
      </w:r>
      <w:r w:rsidR="00776E14">
        <w:rPr>
          <w:szCs w:val="22"/>
          <w:lang w:val="en-US"/>
        </w:rPr>
        <w:t xml:space="preserve">type = 1 (as defined in table 7-2) </w:t>
      </w:r>
      <w:r>
        <w:rPr>
          <w:szCs w:val="22"/>
          <w:lang w:val="en-US"/>
        </w:rPr>
        <w:t xml:space="preserve">was used to calculate the </w:t>
      </w:r>
      <w:r w:rsidR="00E258E0">
        <w:rPr>
          <w:szCs w:val="22"/>
          <w:lang w:val="en-US"/>
        </w:rPr>
        <w:t>beamforming steering matrix</w:t>
      </w:r>
      <w:r>
        <w:rPr>
          <w:szCs w:val="22"/>
          <w:lang w:val="en-US"/>
        </w:rPr>
        <w:t>”</w:t>
      </w:r>
    </w:p>
    <w:p w:rsidR="00A23844" w:rsidRDefault="00A23844" w:rsidP="00E4515E"/>
    <w:p w:rsidR="00E4515E" w:rsidRPr="00E4515E" w:rsidRDefault="00E4515E" w:rsidP="00E4515E">
      <w:pPr>
        <w:autoSpaceDE w:val="0"/>
        <w:autoSpaceDN w:val="0"/>
        <w:adjustRightInd w:val="0"/>
      </w:pPr>
      <w:r w:rsidRPr="00E4515E">
        <w:t>Remove the sentence</w:t>
      </w:r>
      <w:r w:rsidR="00712B4B">
        <w:t xml:space="preserve"> below the table </w:t>
      </w:r>
      <w:r w:rsidRPr="00E4515E">
        <w:t>”</w:t>
      </w:r>
      <w:r w:rsidRPr="00E4515E">
        <w:rPr>
          <w:szCs w:val="22"/>
        </w:rPr>
        <w:t xml:space="preserve"> If Max Nss For SU Present is set to 1, bits Rx Nss indicates the maximum number of spatial streams the beamformee can receive in a single user beamformed transmission when an MU type feedback is used to do the transmission.”</w:t>
      </w:r>
    </w:p>
    <w:p w:rsidR="00E72307" w:rsidRDefault="00E72307" w:rsidP="008F4E9D"/>
    <w:p w:rsidR="004C4C81" w:rsidRDefault="004C4C81" w:rsidP="004C4C81">
      <w:pPr>
        <w:rPr>
          <w:lang w:val="en-US"/>
        </w:rPr>
      </w:pPr>
    </w:p>
    <w:p w:rsidR="00461C51" w:rsidRPr="004C4C81" w:rsidRDefault="00461C51" w:rsidP="004C4C81">
      <w:pPr>
        <w:rPr>
          <w:lang w:val="en-US"/>
        </w:rPr>
      </w:pPr>
    </w:p>
    <w:p w:rsidR="00DF095C" w:rsidRDefault="00DF095C" w:rsidP="0076647B"/>
    <w:p w:rsidR="006A47D0" w:rsidRDefault="006A47D0" w:rsidP="006A47D0">
      <w:pPr>
        <w:rPr>
          <w:rFonts w:ascii="Calibri" w:eastAsiaTheme="minorHAnsi" w:hAnsi="Calibri" w:cstheme="minorBidi"/>
          <w:color w:val="002060"/>
          <w:szCs w:val="22"/>
        </w:rPr>
      </w:pPr>
    </w:p>
    <w:p w:rsidR="009411AB" w:rsidRDefault="009411AB" w:rsidP="008C6E60">
      <w:pPr>
        <w:autoSpaceDE w:val="0"/>
        <w:autoSpaceDN w:val="0"/>
        <w:adjustRightInd w:val="0"/>
        <w:rPr>
          <w:rFonts w:ascii="TimesNewRoman" w:hAnsi="TimesNewRoman" w:cs="TimesNewRoman"/>
          <w:sz w:val="20"/>
          <w:lang w:val="en-US"/>
        </w:rPr>
      </w:pPr>
    </w:p>
    <w:p w:rsidR="009411AB" w:rsidRDefault="009411AB" w:rsidP="008C6E60">
      <w:pPr>
        <w:autoSpaceDE w:val="0"/>
        <w:autoSpaceDN w:val="0"/>
        <w:adjustRightInd w:val="0"/>
        <w:rPr>
          <w:rFonts w:ascii="TimesNewRoman" w:hAnsi="TimesNewRoman" w:cs="TimesNewRoman"/>
          <w:sz w:val="20"/>
          <w:lang w:val="en-US"/>
        </w:rPr>
      </w:pPr>
    </w:p>
    <w:p w:rsidR="00C31117" w:rsidRDefault="00C31117"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40"/>
        <w:gridCol w:w="1960"/>
        <w:gridCol w:w="1120"/>
        <w:gridCol w:w="920"/>
        <w:gridCol w:w="820"/>
        <w:gridCol w:w="1540"/>
        <w:gridCol w:w="2700"/>
      </w:tblGrid>
      <w:tr w:rsidR="00C31117" w:rsidRPr="00C31117" w:rsidTr="00C31117">
        <w:trPr>
          <w:trHeight w:val="1800"/>
        </w:trPr>
        <w:tc>
          <w:tcPr>
            <w:tcW w:w="1240" w:type="dxa"/>
            <w:tcBorders>
              <w:top w:val="nil"/>
              <w:left w:val="nil"/>
              <w:bottom w:val="nil"/>
              <w:right w:val="nil"/>
            </w:tcBorders>
            <w:shd w:val="clear" w:color="auto" w:fill="auto"/>
            <w:hideMark/>
          </w:tcPr>
          <w:p w:rsidR="00C31117" w:rsidRPr="00C31117" w:rsidRDefault="00C31117" w:rsidP="00C31117">
            <w:pPr>
              <w:jc w:val="right"/>
              <w:rPr>
                <w:rFonts w:ascii="Calibri" w:hAnsi="Calibri"/>
                <w:color w:val="000000"/>
                <w:szCs w:val="22"/>
                <w:lang w:val="en-US"/>
              </w:rPr>
            </w:pPr>
            <w:r w:rsidRPr="00C31117">
              <w:rPr>
                <w:rFonts w:ascii="Calibri" w:hAnsi="Calibri"/>
                <w:color w:val="000000"/>
                <w:szCs w:val="22"/>
                <w:lang w:val="en-US"/>
              </w:rPr>
              <w:t>151</w:t>
            </w:r>
          </w:p>
        </w:tc>
        <w:tc>
          <w:tcPr>
            <w:tcW w:w="196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Banerjea, Raja</w:t>
            </w:r>
          </w:p>
        </w:tc>
        <w:tc>
          <w:tcPr>
            <w:tcW w:w="11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139</w:t>
            </w:r>
          </w:p>
        </w:tc>
        <w:tc>
          <w:tcPr>
            <w:tcW w:w="8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48</w:t>
            </w:r>
          </w:p>
        </w:tc>
        <w:tc>
          <w:tcPr>
            <w:tcW w:w="154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Either define the number of symbols to average spectral flatness over or if the number of symbols is not necessary remove it.</w:t>
            </w:r>
          </w:p>
        </w:tc>
      </w:tr>
    </w:tbl>
    <w:p w:rsidR="00C31117" w:rsidRDefault="00C31117"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40"/>
        <w:gridCol w:w="1960"/>
        <w:gridCol w:w="1120"/>
        <w:gridCol w:w="920"/>
        <w:gridCol w:w="820"/>
        <w:gridCol w:w="1540"/>
        <w:gridCol w:w="2700"/>
      </w:tblGrid>
      <w:tr w:rsidR="00C31117" w:rsidRPr="00C31117" w:rsidTr="00C31117">
        <w:trPr>
          <w:trHeight w:val="300"/>
        </w:trPr>
        <w:tc>
          <w:tcPr>
            <w:tcW w:w="1240" w:type="dxa"/>
            <w:tcBorders>
              <w:top w:val="nil"/>
              <w:left w:val="nil"/>
              <w:bottom w:val="nil"/>
              <w:right w:val="nil"/>
            </w:tcBorders>
            <w:shd w:val="clear" w:color="auto" w:fill="auto"/>
            <w:hideMark/>
          </w:tcPr>
          <w:p w:rsidR="00C31117" w:rsidRPr="00C31117" w:rsidRDefault="00C31117" w:rsidP="00F74451">
            <w:pPr>
              <w:jc w:val="right"/>
              <w:rPr>
                <w:rFonts w:ascii="Calibri" w:hAnsi="Calibri"/>
                <w:color w:val="000000"/>
                <w:szCs w:val="22"/>
                <w:lang w:val="en-US"/>
              </w:rPr>
            </w:pPr>
            <w:r w:rsidRPr="00C31117">
              <w:rPr>
                <w:rFonts w:ascii="Calibri" w:hAnsi="Calibri"/>
                <w:color w:val="000000"/>
                <w:szCs w:val="22"/>
                <w:lang w:val="en-US"/>
              </w:rPr>
              <w:t>131</w:t>
            </w:r>
            <w:r w:rsidR="00F74451">
              <w:rPr>
                <w:rFonts w:ascii="Calibri" w:hAnsi="Calibri"/>
                <w:color w:val="000000"/>
                <w:szCs w:val="22"/>
                <w:lang w:val="en-US"/>
              </w:rPr>
              <w:t>0</w:t>
            </w:r>
          </w:p>
        </w:tc>
        <w:tc>
          <w:tcPr>
            <w:tcW w:w="196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Stephens, Adrian</w:t>
            </w:r>
          </w:p>
        </w:tc>
        <w:tc>
          <w:tcPr>
            <w:tcW w:w="11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139</w:t>
            </w:r>
          </w:p>
        </w:tc>
        <w:tc>
          <w:tcPr>
            <w:tcW w:w="8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48</w:t>
            </w:r>
          </w:p>
        </w:tc>
        <w:tc>
          <w:tcPr>
            <w:tcW w:w="154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C31117" w:rsidRDefault="00C31117" w:rsidP="00C31117">
            <w:pPr>
              <w:rPr>
                <w:rFonts w:ascii="Calibri" w:hAnsi="Calibri"/>
                <w:color w:val="000000"/>
                <w:szCs w:val="22"/>
                <w:lang w:val="en-US"/>
              </w:rPr>
            </w:pPr>
            <w:r w:rsidRPr="00C31117">
              <w:rPr>
                <w:rFonts w:ascii="Calibri" w:hAnsi="Calibri"/>
                <w:color w:val="000000"/>
                <w:szCs w:val="22"/>
                <w:lang w:val="en-US"/>
              </w:rPr>
              <w:t>There's a TBD</w:t>
            </w:r>
          </w:p>
          <w:p w:rsidR="00C31117" w:rsidRPr="00C31117" w:rsidRDefault="00C31117" w:rsidP="00C31117">
            <w:pPr>
              <w:rPr>
                <w:rFonts w:ascii="Calibri" w:hAnsi="Calibri"/>
                <w:color w:val="000000"/>
                <w:szCs w:val="22"/>
                <w:lang w:val="en-US"/>
              </w:rPr>
            </w:pPr>
          </w:p>
        </w:tc>
      </w:tr>
      <w:tr w:rsidR="00C31117" w:rsidRPr="00C31117" w:rsidTr="00C31117">
        <w:trPr>
          <w:trHeight w:val="2400"/>
        </w:trPr>
        <w:tc>
          <w:tcPr>
            <w:tcW w:w="1240" w:type="dxa"/>
            <w:tcBorders>
              <w:top w:val="nil"/>
              <w:left w:val="nil"/>
              <w:bottom w:val="nil"/>
              <w:right w:val="nil"/>
            </w:tcBorders>
            <w:shd w:val="clear" w:color="auto" w:fill="auto"/>
            <w:hideMark/>
          </w:tcPr>
          <w:p w:rsidR="00C31117" w:rsidRPr="00C31117" w:rsidRDefault="00C31117" w:rsidP="00C31117">
            <w:pPr>
              <w:jc w:val="right"/>
              <w:rPr>
                <w:rFonts w:ascii="Calibri" w:hAnsi="Calibri"/>
                <w:color w:val="000000"/>
                <w:szCs w:val="22"/>
                <w:lang w:val="en-US"/>
              </w:rPr>
            </w:pPr>
            <w:r w:rsidRPr="00C31117">
              <w:rPr>
                <w:rFonts w:ascii="Calibri" w:hAnsi="Calibri"/>
                <w:color w:val="000000"/>
                <w:szCs w:val="22"/>
                <w:lang w:val="en-US"/>
              </w:rPr>
              <w:t>1705</w:t>
            </w:r>
          </w:p>
        </w:tc>
        <w:tc>
          <w:tcPr>
            <w:tcW w:w="196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Cheong, Minho</w:t>
            </w:r>
          </w:p>
        </w:tc>
        <w:tc>
          <w:tcPr>
            <w:tcW w:w="11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139</w:t>
            </w:r>
          </w:p>
        </w:tc>
        <w:tc>
          <w:tcPr>
            <w:tcW w:w="82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48</w:t>
            </w:r>
          </w:p>
        </w:tc>
        <w:tc>
          <w:tcPr>
            <w:tcW w:w="154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C31117" w:rsidRPr="00C31117" w:rsidRDefault="00C31117" w:rsidP="00C31117">
            <w:pPr>
              <w:rPr>
                <w:rFonts w:ascii="Calibri" w:hAnsi="Calibri"/>
                <w:color w:val="000000"/>
                <w:szCs w:val="22"/>
                <w:lang w:val="en-US"/>
              </w:rPr>
            </w:pPr>
            <w:r w:rsidRPr="00C31117">
              <w:rPr>
                <w:rFonts w:ascii="Calibri" w:hAnsi="Calibri"/>
                <w:color w:val="000000"/>
                <w:szCs w:val="22"/>
                <w:lang w:val="en-US"/>
              </w:rPr>
              <w:t>Why not setting this TBD VHT data symbols for calculation of the average constellation energy per each carrier, to be the same duration to that of EVM test, that is 16 OFDM data symbols?</w:t>
            </w:r>
          </w:p>
        </w:tc>
      </w:tr>
    </w:tbl>
    <w:p w:rsidR="00C31117" w:rsidRDefault="00C31117" w:rsidP="008C6E60">
      <w:pPr>
        <w:autoSpaceDE w:val="0"/>
        <w:autoSpaceDN w:val="0"/>
        <w:adjustRightInd w:val="0"/>
        <w:rPr>
          <w:rFonts w:ascii="TimesNewRoman" w:hAnsi="TimesNewRoman" w:cs="TimesNewRoman"/>
          <w:sz w:val="20"/>
          <w:lang w:val="en-US"/>
        </w:rPr>
      </w:pPr>
    </w:p>
    <w:p w:rsidR="001C3617" w:rsidRDefault="001C3617" w:rsidP="008C6E60">
      <w:pPr>
        <w:autoSpaceDE w:val="0"/>
        <w:autoSpaceDN w:val="0"/>
        <w:adjustRightInd w:val="0"/>
        <w:rPr>
          <w:rFonts w:ascii="TimesNewRoman" w:hAnsi="TimesNewRoman" w:cs="TimesNewRoman"/>
          <w:sz w:val="20"/>
          <w:lang w:val="en-US"/>
        </w:rPr>
      </w:pPr>
    </w:p>
    <w:p w:rsidR="000724C2" w:rsidRDefault="000724C2" w:rsidP="008C6E60">
      <w:pPr>
        <w:autoSpaceDE w:val="0"/>
        <w:autoSpaceDN w:val="0"/>
        <w:adjustRightInd w:val="0"/>
        <w:rPr>
          <w:rFonts w:ascii="TimesNewRoman" w:hAnsi="TimesNewRoman" w:cs="TimesNewRoman"/>
          <w:sz w:val="20"/>
          <w:lang w:val="en-US"/>
        </w:rPr>
      </w:pPr>
    </w:p>
    <w:p w:rsidR="000724C2" w:rsidRDefault="000724C2"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40"/>
        <w:gridCol w:w="1960"/>
        <w:gridCol w:w="1120"/>
        <w:gridCol w:w="920"/>
        <w:gridCol w:w="820"/>
        <w:gridCol w:w="1540"/>
        <w:gridCol w:w="2700"/>
      </w:tblGrid>
      <w:tr w:rsidR="000724C2" w:rsidRPr="000724C2" w:rsidTr="000724C2">
        <w:trPr>
          <w:trHeight w:val="900"/>
        </w:trPr>
        <w:tc>
          <w:tcPr>
            <w:tcW w:w="1240" w:type="dxa"/>
            <w:tcBorders>
              <w:top w:val="nil"/>
              <w:left w:val="nil"/>
              <w:bottom w:val="nil"/>
              <w:right w:val="nil"/>
            </w:tcBorders>
            <w:shd w:val="clear" w:color="auto" w:fill="auto"/>
            <w:hideMark/>
          </w:tcPr>
          <w:p w:rsidR="000724C2" w:rsidRPr="000724C2" w:rsidRDefault="000724C2" w:rsidP="000724C2">
            <w:pPr>
              <w:jc w:val="right"/>
              <w:rPr>
                <w:rFonts w:ascii="Calibri" w:hAnsi="Calibri"/>
                <w:color w:val="000000"/>
                <w:szCs w:val="22"/>
                <w:lang w:val="en-US"/>
              </w:rPr>
            </w:pPr>
            <w:r w:rsidRPr="000724C2">
              <w:rPr>
                <w:rFonts w:ascii="Calibri" w:hAnsi="Calibri"/>
                <w:color w:val="000000"/>
                <w:szCs w:val="22"/>
                <w:lang w:val="en-US"/>
              </w:rPr>
              <w:t>491</w:t>
            </w:r>
          </w:p>
        </w:tc>
        <w:tc>
          <w:tcPr>
            <w:tcW w:w="196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Hart, Brian</w:t>
            </w:r>
          </w:p>
        </w:tc>
        <w:tc>
          <w:tcPr>
            <w:tcW w:w="112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139</w:t>
            </w:r>
          </w:p>
        </w:tc>
        <w:tc>
          <w:tcPr>
            <w:tcW w:w="82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51</w:t>
            </w:r>
          </w:p>
        </w:tc>
        <w:tc>
          <w:tcPr>
            <w:tcW w:w="154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Information in this section would be better presented via a table</w:t>
            </w:r>
          </w:p>
        </w:tc>
      </w:tr>
    </w:tbl>
    <w:p w:rsidR="000724C2" w:rsidRDefault="000724C2" w:rsidP="008C6E60">
      <w:pPr>
        <w:autoSpaceDE w:val="0"/>
        <w:autoSpaceDN w:val="0"/>
        <w:adjustRightInd w:val="0"/>
        <w:rPr>
          <w:rFonts w:ascii="TimesNewRoman" w:hAnsi="TimesNewRoman" w:cs="TimesNewRoman"/>
          <w:sz w:val="20"/>
          <w:lang w:val="en-US"/>
        </w:rPr>
      </w:pPr>
    </w:p>
    <w:p w:rsidR="000724C2" w:rsidRDefault="000724C2" w:rsidP="000724C2">
      <w:pPr>
        <w:rPr>
          <w:b/>
        </w:rPr>
      </w:pPr>
    </w:p>
    <w:p w:rsidR="000724C2" w:rsidRDefault="000724C2" w:rsidP="000724C2">
      <w:pPr>
        <w:rPr>
          <w:b/>
        </w:rPr>
      </w:pPr>
    </w:p>
    <w:tbl>
      <w:tblPr>
        <w:tblW w:w="10300" w:type="dxa"/>
        <w:tblInd w:w="96" w:type="dxa"/>
        <w:tblLook w:val="04A0"/>
      </w:tblPr>
      <w:tblGrid>
        <w:gridCol w:w="1240"/>
        <w:gridCol w:w="1960"/>
        <w:gridCol w:w="1120"/>
        <w:gridCol w:w="920"/>
        <w:gridCol w:w="820"/>
        <w:gridCol w:w="1540"/>
        <w:gridCol w:w="2700"/>
      </w:tblGrid>
      <w:tr w:rsidR="000724C2" w:rsidRPr="000724C2" w:rsidTr="000724C2">
        <w:trPr>
          <w:trHeight w:val="1200"/>
        </w:trPr>
        <w:tc>
          <w:tcPr>
            <w:tcW w:w="1240" w:type="dxa"/>
            <w:tcBorders>
              <w:top w:val="nil"/>
              <w:left w:val="nil"/>
              <w:bottom w:val="nil"/>
              <w:right w:val="nil"/>
            </w:tcBorders>
            <w:shd w:val="clear" w:color="auto" w:fill="auto"/>
            <w:hideMark/>
          </w:tcPr>
          <w:p w:rsidR="000724C2" w:rsidRPr="000724C2" w:rsidRDefault="000724C2" w:rsidP="000724C2">
            <w:pPr>
              <w:jc w:val="center"/>
              <w:rPr>
                <w:rFonts w:ascii="Calibri" w:hAnsi="Calibri"/>
                <w:color w:val="000000"/>
                <w:szCs w:val="22"/>
                <w:lang w:val="en-US"/>
              </w:rPr>
            </w:pPr>
            <w:r>
              <w:rPr>
                <w:rFonts w:ascii="Calibri" w:hAnsi="Calibri"/>
                <w:color w:val="000000"/>
                <w:szCs w:val="22"/>
                <w:lang w:val="en-US"/>
              </w:rPr>
              <w:t xml:space="preserve">         </w:t>
            </w:r>
            <w:r w:rsidRPr="000724C2">
              <w:rPr>
                <w:rFonts w:ascii="Calibri" w:hAnsi="Calibri"/>
                <w:color w:val="000000"/>
                <w:szCs w:val="22"/>
                <w:lang w:val="en-US"/>
              </w:rPr>
              <w:t>152</w:t>
            </w:r>
          </w:p>
        </w:tc>
        <w:tc>
          <w:tcPr>
            <w:tcW w:w="196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Banerjea, Raja</w:t>
            </w:r>
          </w:p>
        </w:tc>
        <w:tc>
          <w:tcPr>
            <w:tcW w:w="112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19</w:t>
            </w:r>
          </w:p>
        </w:tc>
        <w:tc>
          <w:tcPr>
            <w:tcW w:w="1540" w:type="dxa"/>
            <w:tcBorders>
              <w:top w:val="nil"/>
              <w:left w:val="nil"/>
              <w:bottom w:val="nil"/>
              <w:right w:val="nil"/>
            </w:tcBorders>
            <w:shd w:val="clear" w:color="auto" w:fill="auto"/>
            <w:hideMark/>
          </w:tcPr>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D8216E" w:rsidRDefault="000724C2" w:rsidP="000724C2">
            <w:pPr>
              <w:rPr>
                <w:rFonts w:ascii="Calibri" w:hAnsi="Calibri"/>
                <w:color w:val="000000"/>
                <w:szCs w:val="22"/>
                <w:lang w:val="en-US"/>
              </w:rPr>
            </w:pPr>
            <w:r w:rsidRPr="000724C2">
              <w:rPr>
                <w:rFonts w:ascii="Calibri" w:hAnsi="Calibri"/>
                <w:color w:val="000000"/>
                <w:szCs w:val="22"/>
                <w:lang w:val="en-US"/>
              </w:rPr>
              <w:t>Do we need to define if the averaging is performed over the linear or log domain?</w:t>
            </w:r>
            <w:r>
              <w:rPr>
                <w:rFonts w:ascii="Calibri" w:hAnsi="Calibri"/>
                <w:color w:val="000000"/>
                <w:szCs w:val="22"/>
                <w:lang w:val="en-US"/>
              </w:rPr>
              <w:t xml:space="preserve"> </w:t>
            </w:r>
            <w:r w:rsidRPr="000724C2">
              <w:rPr>
                <w:rFonts w:ascii="Calibri" w:hAnsi="Calibri"/>
                <w:color w:val="000000"/>
                <w:szCs w:val="22"/>
                <w:lang w:val="en-US"/>
              </w:rPr>
              <w:t>If we need to define "All averaging performed in this section is performed in dB."</w:t>
            </w:r>
          </w:p>
          <w:p w:rsidR="000724C2" w:rsidRPr="000724C2" w:rsidRDefault="000724C2" w:rsidP="000724C2">
            <w:pPr>
              <w:rPr>
                <w:rFonts w:ascii="Calibri" w:hAnsi="Calibri"/>
                <w:color w:val="000000"/>
                <w:szCs w:val="22"/>
                <w:lang w:val="en-US"/>
              </w:rPr>
            </w:pPr>
            <w:r w:rsidRPr="000724C2">
              <w:rPr>
                <w:rFonts w:ascii="Calibri" w:hAnsi="Calibri"/>
                <w:color w:val="000000"/>
                <w:szCs w:val="22"/>
                <w:lang w:val="en-US"/>
              </w:rPr>
              <w:t xml:space="preserve"> </w:t>
            </w:r>
          </w:p>
        </w:tc>
      </w:tr>
    </w:tbl>
    <w:p w:rsidR="000724C2" w:rsidRDefault="000724C2" w:rsidP="000724C2">
      <w:pPr>
        <w:rPr>
          <w:b/>
        </w:rPr>
      </w:pPr>
    </w:p>
    <w:p w:rsidR="000724C2" w:rsidRDefault="000724C2" w:rsidP="000724C2">
      <w:pPr>
        <w:rPr>
          <w:b/>
        </w:rPr>
      </w:pPr>
    </w:p>
    <w:p w:rsidR="00D8216E" w:rsidRDefault="00D8216E" w:rsidP="000724C2">
      <w:pPr>
        <w:rPr>
          <w:b/>
        </w:rPr>
      </w:pPr>
    </w:p>
    <w:p w:rsidR="00D8216E" w:rsidRDefault="00D8216E" w:rsidP="000724C2">
      <w:pPr>
        <w:rPr>
          <w:b/>
        </w:rPr>
      </w:pPr>
    </w:p>
    <w:tbl>
      <w:tblPr>
        <w:tblW w:w="10300" w:type="dxa"/>
        <w:tblInd w:w="94" w:type="dxa"/>
        <w:tblLook w:val="04A0"/>
      </w:tblPr>
      <w:tblGrid>
        <w:gridCol w:w="1240"/>
        <w:gridCol w:w="1960"/>
        <w:gridCol w:w="1120"/>
        <w:gridCol w:w="920"/>
        <w:gridCol w:w="820"/>
        <w:gridCol w:w="1540"/>
        <w:gridCol w:w="2700"/>
      </w:tblGrid>
      <w:tr w:rsidR="00D8216E" w:rsidRPr="00D8216E" w:rsidTr="00D8216E">
        <w:trPr>
          <w:trHeight w:val="600"/>
        </w:trPr>
        <w:tc>
          <w:tcPr>
            <w:tcW w:w="1240" w:type="dxa"/>
            <w:tcBorders>
              <w:top w:val="nil"/>
              <w:left w:val="nil"/>
              <w:bottom w:val="nil"/>
              <w:right w:val="nil"/>
            </w:tcBorders>
            <w:shd w:val="clear" w:color="auto" w:fill="auto"/>
            <w:hideMark/>
          </w:tcPr>
          <w:p w:rsidR="00D8216E" w:rsidRPr="00D8216E" w:rsidRDefault="00D8216E" w:rsidP="00D8216E">
            <w:pPr>
              <w:jc w:val="center"/>
              <w:rPr>
                <w:rFonts w:ascii="Calibri" w:hAnsi="Calibri"/>
                <w:color w:val="000000"/>
                <w:szCs w:val="22"/>
                <w:lang w:val="en-US"/>
              </w:rPr>
            </w:pPr>
            <w:r w:rsidRPr="00D8216E">
              <w:rPr>
                <w:rFonts w:ascii="Calibri" w:hAnsi="Calibri"/>
                <w:color w:val="000000"/>
                <w:szCs w:val="22"/>
                <w:lang w:val="en-US"/>
              </w:rPr>
              <w:t>1188</w:t>
            </w:r>
          </w:p>
        </w:tc>
        <w:tc>
          <w:tcPr>
            <w:tcW w:w="196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Stanley, Dorothy</w:t>
            </w:r>
          </w:p>
        </w:tc>
        <w:tc>
          <w:tcPr>
            <w:tcW w:w="112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19</w:t>
            </w:r>
          </w:p>
        </w:tc>
        <w:tc>
          <w:tcPr>
            <w:tcW w:w="154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Resolve editor note re: averaging used.</w:t>
            </w:r>
          </w:p>
        </w:tc>
      </w:tr>
    </w:tbl>
    <w:p w:rsidR="00D8216E" w:rsidRDefault="00D8216E" w:rsidP="000724C2">
      <w:pPr>
        <w:rPr>
          <w:b/>
        </w:rPr>
      </w:pPr>
    </w:p>
    <w:p w:rsidR="00D8216E" w:rsidRDefault="00D8216E" w:rsidP="000724C2">
      <w:pPr>
        <w:rPr>
          <w:b/>
        </w:rPr>
      </w:pPr>
    </w:p>
    <w:p w:rsidR="00D8216E" w:rsidRDefault="00D8216E" w:rsidP="000724C2">
      <w:pPr>
        <w:rPr>
          <w:b/>
        </w:rPr>
      </w:pPr>
    </w:p>
    <w:tbl>
      <w:tblPr>
        <w:tblW w:w="10300" w:type="dxa"/>
        <w:tblInd w:w="94" w:type="dxa"/>
        <w:tblLook w:val="04A0"/>
      </w:tblPr>
      <w:tblGrid>
        <w:gridCol w:w="1240"/>
        <w:gridCol w:w="1960"/>
        <w:gridCol w:w="1120"/>
        <w:gridCol w:w="920"/>
        <w:gridCol w:w="820"/>
        <w:gridCol w:w="1540"/>
        <w:gridCol w:w="2700"/>
      </w:tblGrid>
      <w:tr w:rsidR="00D8216E" w:rsidRPr="00D8216E" w:rsidTr="00D8216E">
        <w:trPr>
          <w:trHeight w:val="1800"/>
        </w:trPr>
        <w:tc>
          <w:tcPr>
            <w:tcW w:w="1240" w:type="dxa"/>
            <w:tcBorders>
              <w:top w:val="nil"/>
              <w:left w:val="nil"/>
              <w:bottom w:val="nil"/>
              <w:right w:val="nil"/>
            </w:tcBorders>
            <w:shd w:val="clear" w:color="auto" w:fill="auto"/>
            <w:hideMark/>
          </w:tcPr>
          <w:p w:rsidR="00D8216E" w:rsidRPr="00D8216E" w:rsidRDefault="00D8216E" w:rsidP="00D8216E">
            <w:pPr>
              <w:jc w:val="center"/>
              <w:rPr>
                <w:rFonts w:ascii="Calibri" w:hAnsi="Calibri"/>
                <w:color w:val="000000"/>
                <w:szCs w:val="22"/>
                <w:lang w:val="en-US"/>
              </w:rPr>
            </w:pPr>
            <w:r w:rsidRPr="00D8216E">
              <w:rPr>
                <w:rFonts w:ascii="Calibri" w:hAnsi="Calibri"/>
                <w:color w:val="000000"/>
                <w:szCs w:val="22"/>
                <w:lang w:val="en-US"/>
              </w:rPr>
              <w:lastRenderedPageBreak/>
              <w:t>883</w:t>
            </w:r>
          </w:p>
        </w:tc>
        <w:tc>
          <w:tcPr>
            <w:tcW w:w="196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Pillai, Krishna</w:t>
            </w:r>
          </w:p>
        </w:tc>
        <w:tc>
          <w:tcPr>
            <w:tcW w:w="112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24</w:t>
            </w:r>
          </w:p>
        </w:tc>
        <w:tc>
          <w:tcPr>
            <w:tcW w:w="154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D8216E" w:rsidRPr="00D8216E" w:rsidRDefault="00D8216E" w:rsidP="00D8216E">
            <w:pPr>
              <w:rPr>
                <w:rFonts w:ascii="Calibri" w:hAnsi="Calibri"/>
                <w:color w:val="000000"/>
                <w:szCs w:val="22"/>
                <w:lang w:val="en-US"/>
              </w:rPr>
            </w:pPr>
            <w:r w:rsidRPr="00D8216E">
              <w:rPr>
                <w:rFonts w:ascii="Calibri" w:hAnsi="Calibri"/>
                <w:color w:val="000000"/>
                <w:szCs w:val="22"/>
                <w:lang w:val="en-US"/>
              </w:rPr>
              <w:t>"The tests for the spectral flatness requirements can be performed with spatial mapping"</w:t>
            </w:r>
            <w:r w:rsidRPr="00D8216E">
              <w:rPr>
                <w:rFonts w:ascii="Calibri" w:hAnsi="Calibri"/>
                <w:color w:val="000000"/>
                <w:szCs w:val="22"/>
                <w:lang w:val="en-US"/>
              </w:rPr>
              <w:br/>
              <w:t>Change 'can be performed' to 'shall be performed'</w:t>
            </w:r>
          </w:p>
        </w:tc>
      </w:tr>
    </w:tbl>
    <w:p w:rsidR="00D8216E" w:rsidRDefault="00D8216E" w:rsidP="000724C2">
      <w:pPr>
        <w:rPr>
          <w:b/>
        </w:rPr>
      </w:pPr>
    </w:p>
    <w:tbl>
      <w:tblPr>
        <w:tblW w:w="9479" w:type="dxa"/>
        <w:tblInd w:w="97" w:type="dxa"/>
        <w:tblLook w:val="04A0"/>
      </w:tblPr>
      <w:tblGrid>
        <w:gridCol w:w="9479"/>
      </w:tblGrid>
      <w:tr w:rsidR="00F74451" w:rsidRPr="00F74451" w:rsidTr="00F74451">
        <w:trPr>
          <w:trHeight w:val="1800"/>
        </w:trPr>
        <w:tc>
          <w:tcPr>
            <w:tcW w:w="9479" w:type="dxa"/>
            <w:tcBorders>
              <w:top w:val="nil"/>
              <w:left w:val="nil"/>
              <w:bottom w:val="nil"/>
              <w:right w:val="nil"/>
            </w:tcBorders>
            <w:shd w:val="clear" w:color="auto" w:fill="auto"/>
            <w:hideMark/>
          </w:tcPr>
          <w:tbl>
            <w:tblPr>
              <w:tblW w:w="10300" w:type="dxa"/>
              <w:tblLook w:val="04A0"/>
            </w:tblPr>
            <w:tblGrid>
              <w:gridCol w:w="1240"/>
              <w:gridCol w:w="1960"/>
              <w:gridCol w:w="1120"/>
              <w:gridCol w:w="920"/>
              <w:gridCol w:w="820"/>
              <w:gridCol w:w="1540"/>
              <w:gridCol w:w="2700"/>
            </w:tblGrid>
            <w:tr w:rsidR="00F74451" w:rsidRPr="00F74451" w:rsidTr="00F74451">
              <w:trPr>
                <w:trHeight w:val="300"/>
              </w:trPr>
              <w:tc>
                <w:tcPr>
                  <w:tcW w:w="1240" w:type="dxa"/>
                  <w:tcBorders>
                    <w:top w:val="nil"/>
                    <w:left w:val="nil"/>
                    <w:bottom w:val="nil"/>
                    <w:right w:val="nil"/>
                  </w:tcBorders>
                  <w:shd w:val="clear" w:color="auto" w:fill="auto"/>
                  <w:hideMark/>
                </w:tcPr>
                <w:p w:rsidR="00F74451" w:rsidRPr="00F74451" w:rsidRDefault="00F74451" w:rsidP="00F74451">
                  <w:pPr>
                    <w:jc w:val="center"/>
                    <w:rPr>
                      <w:rFonts w:ascii="Calibri" w:hAnsi="Calibri"/>
                      <w:color w:val="000000"/>
                      <w:szCs w:val="22"/>
                      <w:lang w:val="en-US"/>
                    </w:rPr>
                  </w:pPr>
                  <w:r w:rsidRPr="00F74451">
                    <w:rPr>
                      <w:rFonts w:ascii="Calibri" w:hAnsi="Calibri"/>
                      <w:color w:val="000000"/>
                      <w:szCs w:val="22"/>
                      <w:lang w:val="en-US"/>
                    </w:rPr>
                    <w:t>1311</w:t>
                  </w:r>
                </w:p>
              </w:tc>
              <w:tc>
                <w:tcPr>
                  <w:tcW w:w="1960" w:type="dxa"/>
                  <w:tcBorders>
                    <w:top w:val="nil"/>
                    <w:left w:val="nil"/>
                    <w:bottom w:val="nil"/>
                    <w:right w:val="nil"/>
                  </w:tcBorders>
                  <w:shd w:val="clear" w:color="auto" w:fill="auto"/>
                  <w:hideMark/>
                </w:tcPr>
                <w:p w:rsidR="00F74451" w:rsidRPr="00F74451" w:rsidRDefault="00F74451" w:rsidP="00F74451">
                  <w:pPr>
                    <w:rPr>
                      <w:rFonts w:ascii="Calibri" w:hAnsi="Calibri"/>
                      <w:color w:val="000000"/>
                      <w:szCs w:val="22"/>
                      <w:lang w:val="en-US"/>
                    </w:rPr>
                  </w:pPr>
                  <w:r w:rsidRPr="00F74451">
                    <w:rPr>
                      <w:rFonts w:ascii="Calibri" w:hAnsi="Calibri"/>
                      <w:color w:val="000000"/>
                      <w:szCs w:val="22"/>
                      <w:lang w:val="en-US"/>
                    </w:rPr>
                    <w:t>Stephens, Adrian</w:t>
                  </w:r>
                </w:p>
              </w:tc>
              <w:tc>
                <w:tcPr>
                  <w:tcW w:w="1120" w:type="dxa"/>
                  <w:tcBorders>
                    <w:top w:val="nil"/>
                    <w:left w:val="nil"/>
                    <w:bottom w:val="nil"/>
                    <w:right w:val="nil"/>
                  </w:tcBorders>
                  <w:shd w:val="clear" w:color="auto" w:fill="auto"/>
                  <w:hideMark/>
                </w:tcPr>
                <w:p w:rsidR="00F74451" w:rsidRPr="00F74451" w:rsidRDefault="00F74451" w:rsidP="00F74451">
                  <w:pPr>
                    <w:rPr>
                      <w:rFonts w:ascii="Calibri" w:hAnsi="Calibri"/>
                      <w:color w:val="000000"/>
                      <w:szCs w:val="22"/>
                      <w:lang w:val="en-US"/>
                    </w:rPr>
                  </w:pPr>
                  <w:r w:rsidRPr="00F74451">
                    <w:rPr>
                      <w:rFonts w:ascii="Calibri" w:hAnsi="Calibri"/>
                      <w:color w:val="000000"/>
                      <w:szCs w:val="22"/>
                      <w:lang w:val="en-US"/>
                    </w:rPr>
                    <w:t>22.3.19.2</w:t>
                  </w:r>
                </w:p>
              </w:tc>
              <w:tc>
                <w:tcPr>
                  <w:tcW w:w="920" w:type="dxa"/>
                  <w:tcBorders>
                    <w:top w:val="nil"/>
                    <w:left w:val="nil"/>
                    <w:bottom w:val="nil"/>
                    <w:right w:val="nil"/>
                  </w:tcBorders>
                  <w:shd w:val="clear" w:color="auto" w:fill="auto"/>
                  <w:hideMark/>
                </w:tcPr>
                <w:p w:rsidR="00F74451" w:rsidRPr="00F74451" w:rsidRDefault="00F74451" w:rsidP="00F74451">
                  <w:pPr>
                    <w:rPr>
                      <w:rFonts w:ascii="Calibri" w:hAnsi="Calibri"/>
                      <w:color w:val="000000"/>
                      <w:szCs w:val="22"/>
                      <w:lang w:val="en-US"/>
                    </w:rPr>
                  </w:pPr>
                  <w:r w:rsidRPr="00F74451">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F74451" w:rsidRPr="00F74451" w:rsidRDefault="00F74451" w:rsidP="00F74451">
                  <w:pPr>
                    <w:rPr>
                      <w:rFonts w:ascii="Calibri" w:hAnsi="Calibri"/>
                      <w:color w:val="000000"/>
                      <w:szCs w:val="22"/>
                      <w:lang w:val="en-US"/>
                    </w:rPr>
                  </w:pPr>
                  <w:r w:rsidRPr="00F74451">
                    <w:rPr>
                      <w:rFonts w:ascii="Calibri" w:hAnsi="Calibri"/>
                      <w:color w:val="000000"/>
                      <w:szCs w:val="22"/>
                      <w:lang w:val="en-US"/>
                    </w:rPr>
                    <w:t>20</w:t>
                  </w:r>
                </w:p>
              </w:tc>
              <w:tc>
                <w:tcPr>
                  <w:tcW w:w="1540" w:type="dxa"/>
                  <w:tcBorders>
                    <w:top w:val="nil"/>
                    <w:left w:val="nil"/>
                    <w:bottom w:val="nil"/>
                    <w:right w:val="nil"/>
                  </w:tcBorders>
                  <w:shd w:val="clear" w:color="auto" w:fill="auto"/>
                  <w:hideMark/>
                </w:tcPr>
                <w:p w:rsidR="00F74451" w:rsidRPr="00F74451" w:rsidRDefault="00F74451" w:rsidP="00F74451">
                  <w:pPr>
                    <w:rPr>
                      <w:rFonts w:ascii="Calibri" w:hAnsi="Calibri"/>
                      <w:color w:val="000000"/>
                      <w:szCs w:val="22"/>
                      <w:lang w:val="en-US"/>
                    </w:rPr>
                  </w:pPr>
                  <w:r w:rsidRPr="00F74451">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F74451" w:rsidRPr="00F74451" w:rsidRDefault="00F74451" w:rsidP="00F74451">
                  <w:pPr>
                    <w:rPr>
                      <w:rFonts w:ascii="Calibri" w:hAnsi="Calibri"/>
                      <w:color w:val="000000"/>
                      <w:szCs w:val="22"/>
                      <w:lang w:val="en-US"/>
                    </w:rPr>
                  </w:pPr>
                  <w:r w:rsidRPr="00F74451">
                    <w:rPr>
                      <w:rFonts w:ascii="Calibri" w:hAnsi="Calibri"/>
                      <w:color w:val="000000"/>
                      <w:szCs w:val="22"/>
                      <w:lang w:val="en-US"/>
                    </w:rPr>
                    <w:t>Coin flip needed.</w:t>
                  </w:r>
                </w:p>
              </w:tc>
            </w:tr>
          </w:tbl>
          <w:p w:rsidR="00F74451" w:rsidRPr="00F74451" w:rsidRDefault="00F74451" w:rsidP="00F74451">
            <w:pPr>
              <w:jc w:val="right"/>
              <w:rPr>
                <w:rFonts w:ascii="Calibri" w:hAnsi="Calibri"/>
                <w:color w:val="000000"/>
                <w:szCs w:val="22"/>
                <w:lang w:val="en-US"/>
              </w:rPr>
            </w:pPr>
          </w:p>
        </w:tc>
      </w:tr>
    </w:tbl>
    <w:p w:rsidR="001C3617" w:rsidRDefault="001C3617" w:rsidP="001C3617">
      <w:pPr>
        <w:rPr>
          <w:b/>
        </w:rPr>
      </w:pPr>
      <w:r w:rsidRPr="00ED3339">
        <w:rPr>
          <w:b/>
        </w:rPr>
        <w:t>Proposed resolution:</w:t>
      </w:r>
    </w:p>
    <w:p w:rsidR="001C3617" w:rsidRDefault="001C3617" w:rsidP="001C3617">
      <w:pPr>
        <w:autoSpaceDE w:val="0"/>
        <w:autoSpaceDN w:val="0"/>
        <w:adjustRightInd w:val="0"/>
        <w:rPr>
          <w:rFonts w:ascii="TimesNewRoman" w:hAnsi="TimesNewRoman" w:cs="TimesNewRoman"/>
          <w:sz w:val="20"/>
          <w:lang w:val="en-US"/>
        </w:rPr>
      </w:pPr>
    </w:p>
    <w:p w:rsidR="001C3617" w:rsidRDefault="001C3617" w:rsidP="001C3617">
      <w:pPr>
        <w:autoSpaceDE w:val="0"/>
        <w:autoSpaceDN w:val="0"/>
        <w:adjustRightInd w:val="0"/>
        <w:rPr>
          <w:rFonts w:ascii="TimesNewRoman" w:hAnsi="TimesNewRoman" w:cs="TimesNewRoman"/>
          <w:sz w:val="20"/>
          <w:lang w:val="en-US"/>
        </w:rPr>
      </w:pPr>
    </w:p>
    <w:p w:rsidR="001C3617" w:rsidRDefault="009D2A2D" w:rsidP="001C361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Replace section </w:t>
      </w:r>
      <w:r w:rsidRPr="009D2A2D">
        <w:rPr>
          <w:rFonts w:ascii="Arial" w:hAnsi="Arial" w:cs="Arial"/>
          <w:bCs/>
          <w:sz w:val="20"/>
          <w:lang w:val="en-US"/>
        </w:rPr>
        <w:t>22.3.19.2 with the tex</w:t>
      </w:r>
      <w:r w:rsidR="005B3700">
        <w:rPr>
          <w:rFonts w:ascii="Arial" w:hAnsi="Arial" w:cs="Arial"/>
          <w:bCs/>
          <w:sz w:val="20"/>
          <w:lang w:val="en-US"/>
        </w:rPr>
        <w:t>t</w:t>
      </w:r>
      <w:r w:rsidRPr="009D2A2D">
        <w:rPr>
          <w:rFonts w:ascii="Arial" w:hAnsi="Arial" w:cs="Arial"/>
          <w:bCs/>
          <w:sz w:val="20"/>
          <w:lang w:val="en-US"/>
        </w:rPr>
        <w:t xml:space="preserve"> below:</w:t>
      </w:r>
    </w:p>
    <w:p w:rsidR="001C3617" w:rsidRDefault="001C3617" w:rsidP="001C361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
    <w:p w:rsidR="00C31117" w:rsidRDefault="00C31117" w:rsidP="008C6E60">
      <w:pPr>
        <w:autoSpaceDE w:val="0"/>
        <w:autoSpaceDN w:val="0"/>
        <w:adjustRightInd w:val="0"/>
        <w:rPr>
          <w:rFonts w:ascii="TimesNewRoman" w:hAnsi="TimesNewRoman" w:cs="TimesNewRoman"/>
          <w:sz w:val="20"/>
          <w:lang w:val="en-US"/>
        </w:rPr>
      </w:pPr>
    </w:p>
    <w:p w:rsidR="001C3617" w:rsidRDefault="001C3617" w:rsidP="001C3617">
      <w:pPr>
        <w:autoSpaceDE w:val="0"/>
        <w:autoSpaceDN w:val="0"/>
        <w:adjustRightInd w:val="0"/>
        <w:rPr>
          <w:rFonts w:ascii="Arial" w:hAnsi="Arial" w:cs="Arial"/>
          <w:b/>
          <w:bCs/>
          <w:sz w:val="20"/>
          <w:lang w:val="en-US"/>
        </w:rPr>
      </w:pPr>
      <w:r>
        <w:rPr>
          <w:rFonts w:ascii="Arial" w:hAnsi="Arial" w:cs="Arial"/>
          <w:b/>
          <w:bCs/>
          <w:sz w:val="20"/>
          <w:lang w:val="en-US"/>
        </w:rPr>
        <w:t>22.3.19.2 Spectral flatness</w:t>
      </w:r>
    </w:p>
    <w:p w:rsidR="003B1732" w:rsidRDefault="003B1732" w:rsidP="001C3617">
      <w:pPr>
        <w:autoSpaceDE w:val="0"/>
        <w:autoSpaceDN w:val="0"/>
        <w:adjustRightInd w:val="0"/>
        <w:rPr>
          <w:rFonts w:ascii="TimesNewRoman" w:hAnsi="TimesNewRoman" w:cs="TimesNewRoman"/>
          <w:sz w:val="20"/>
          <w:lang w:val="en-US"/>
        </w:rPr>
      </w:pPr>
    </w:p>
    <w:p w:rsidR="003B1732" w:rsidRDefault="003B1732" w:rsidP="001C3617">
      <w:pPr>
        <w:autoSpaceDE w:val="0"/>
        <w:autoSpaceDN w:val="0"/>
        <w:adjustRightInd w:val="0"/>
        <w:rPr>
          <w:rFonts w:ascii="TimesNewRoman" w:hAnsi="TimesNewRoman" w:cs="TimesNewRoman"/>
          <w:sz w:val="20"/>
          <w:lang w:val="en-US"/>
        </w:rPr>
      </w:pPr>
      <w:r>
        <w:rPr>
          <w:rFonts w:ascii="TimesNewRoman" w:hAnsi="TimesNewRoman" w:cs="TimesNewRoman"/>
          <w:sz w:val="20"/>
          <w:lang w:val="en-US"/>
        </w:rPr>
        <w:t>Spectral flatness measurements shall be conducted using BPSK modulated packets.</w:t>
      </w:r>
    </w:p>
    <w:p w:rsidR="003B1732" w:rsidRDefault="003B1732" w:rsidP="001C3617">
      <w:pPr>
        <w:autoSpaceDE w:val="0"/>
        <w:autoSpaceDN w:val="0"/>
        <w:adjustRightInd w:val="0"/>
        <w:rPr>
          <w:rFonts w:ascii="TimesNewRoman" w:hAnsi="TimesNewRoman" w:cs="TimesNewRoman"/>
          <w:sz w:val="20"/>
          <w:lang w:val="en-US"/>
        </w:rPr>
      </w:pPr>
    </w:p>
    <w:p w:rsidR="001C3617" w:rsidRDefault="001C3617" w:rsidP="001C361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Let </w:t>
      </w:r>
      <w:r w:rsidRPr="00EC3E56">
        <w:rPr>
          <w:rFonts w:ascii="TimesNewRoman" w:hAnsi="TimesNewRoman" w:cs="TimesNewRoman"/>
          <w:i/>
          <w:sz w:val="20"/>
          <w:lang w:val="en-US"/>
        </w:rPr>
        <w:t>E</w:t>
      </w:r>
      <w:r w:rsidRPr="00EC3E56">
        <w:rPr>
          <w:rFonts w:ascii="TimesNewRoman" w:hAnsi="TimesNewRoman" w:cs="TimesNewRoman"/>
          <w:i/>
          <w:sz w:val="20"/>
          <w:vertAlign w:val="subscript"/>
          <w:lang w:val="en-US"/>
        </w:rPr>
        <w:t>i,avg</w:t>
      </w:r>
      <w:r>
        <w:rPr>
          <w:rFonts w:ascii="TimesNewRoman" w:hAnsi="TimesNewRoman" w:cs="TimesNewRoman"/>
          <w:sz w:val="20"/>
          <w:lang w:val="en-US"/>
        </w:rPr>
        <w:t xml:space="preserve"> denote the average constellation energy of </w:t>
      </w:r>
      <w:r w:rsidR="003B1732">
        <w:rPr>
          <w:rFonts w:ascii="TimesNewRoman" w:hAnsi="TimesNewRoman" w:cs="TimesNewRoman"/>
          <w:sz w:val="20"/>
          <w:lang w:val="en-US"/>
        </w:rPr>
        <w:t>a BPSK modulated</w:t>
      </w:r>
      <w:r>
        <w:rPr>
          <w:rFonts w:ascii="TimesNewRoman" w:hAnsi="TimesNewRoman" w:cs="TimesNewRoman"/>
          <w:sz w:val="20"/>
          <w:lang w:val="en-US"/>
        </w:rPr>
        <w:t xml:space="preserve"> subcarrier </w:t>
      </w:r>
      <w:r>
        <w:rPr>
          <w:i/>
          <w:iCs/>
          <w:sz w:val="20"/>
          <w:lang w:val="en-US"/>
        </w:rPr>
        <w:t xml:space="preserve">i </w:t>
      </w:r>
      <w:r>
        <w:rPr>
          <w:rFonts w:ascii="TimesNewRoman" w:hAnsi="TimesNewRoman" w:cs="TimesNewRoman"/>
          <w:sz w:val="20"/>
          <w:lang w:val="en-US"/>
        </w:rPr>
        <w:t>in a VHT data symbol.</w:t>
      </w:r>
    </w:p>
    <w:p w:rsidR="003B1732" w:rsidRDefault="003B1732" w:rsidP="001C3617">
      <w:pPr>
        <w:autoSpaceDE w:val="0"/>
        <w:autoSpaceDN w:val="0"/>
        <w:adjustRightInd w:val="0"/>
        <w:rPr>
          <w:rFonts w:ascii="TimesNewRoman" w:hAnsi="TimesNewRoman" w:cs="TimesNewRoman"/>
          <w:sz w:val="20"/>
          <w:lang w:val="en-US"/>
        </w:rPr>
      </w:pPr>
    </w:p>
    <w:p w:rsidR="001C3617" w:rsidRDefault="001C3617" w:rsidP="001C361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 a contiguous transmission having a bandwidth listed in Table 22-18a, </w:t>
      </w:r>
      <w:r w:rsidRPr="00EC3E56">
        <w:rPr>
          <w:rFonts w:ascii="TimesNewRoman" w:hAnsi="TimesNewRoman" w:cs="TimesNewRoman"/>
          <w:i/>
          <w:sz w:val="20"/>
          <w:lang w:val="en-US"/>
        </w:rPr>
        <w:t>E</w:t>
      </w:r>
      <w:r w:rsidRPr="00EC3E56">
        <w:rPr>
          <w:rFonts w:ascii="TimesNewRoman" w:hAnsi="TimesNewRoman" w:cs="TimesNewRoman"/>
          <w:i/>
          <w:sz w:val="20"/>
          <w:vertAlign w:val="subscript"/>
          <w:lang w:val="en-US"/>
        </w:rPr>
        <w:t>i,avg</w:t>
      </w:r>
      <w:r>
        <w:rPr>
          <w:rFonts w:ascii="TimesNewRoman" w:hAnsi="TimesNewRoman" w:cs="TimesNewRoman"/>
          <w:sz w:val="20"/>
          <w:lang w:val="en-US"/>
        </w:rPr>
        <w:t xml:space="preserve"> of each of the subcarriers with indices listed as tested subcarrier indices</w:t>
      </w:r>
      <w:r w:rsidR="003B1732">
        <w:rPr>
          <w:rFonts w:ascii="TimesNewRoman" w:hAnsi="TimesNewRoman" w:cs="TimesNewRoman"/>
          <w:sz w:val="20"/>
          <w:lang w:val="en-US"/>
        </w:rPr>
        <w:t xml:space="preserve"> </w:t>
      </w:r>
      <w:r>
        <w:rPr>
          <w:rFonts w:ascii="TimesNewRoman" w:hAnsi="TimesNewRoman" w:cs="TimesNewRoman"/>
          <w:sz w:val="20"/>
          <w:lang w:val="en-US"/>
        </w:rPr>
        <w:t>shall not deviate by more than the specified maximum deviation in Table 22-18a</w:t>
      </w:r>
      <w:r w:rsidDel="006F210C">
        <w:rPr>
          <w:rFonts w:ascii="TimesNewRoman" w:hAnsi="TimesNewRoman" w:cs="TimesNewRoman"/>
          <w:sz w:val="20"/>
          <w:lang w:val="en-US"/>
        </w:rPr>
        <w:t xml:space="preserve"> </w:t>
      </w:r>
      <w:r>
        <w:rPr>
          <w:rFonts w:ascii="TimesNewRoman" w:hAnsi="TimesNewRoman" w:cs="TimesNewRoman"/>
          <w:sz w:val="20"/>
          <w:lang w:val="en-US"/>
        </w:rPr>
        <w:t xml:space="preserve">from the average of </w:t>
      </w:r>
      <w:r w:rsidRPr="00EC3E56">
        <w:rPr>
          <w:rFonts w:ascii="TimesNewRoman" w:hAnsi="TimesNewRoman" w:cs="TimesNewRoman"/>
          <w:i/>
          <w:sz w:val="20"/>
          <w:lang w:val="en-US"/>
        </w:rPr>
        <w:t>E</w:t>
      </w:r>
      <w:r w:rsidRPr="00EC3E56">
        <w:rPr>
          <w:rFonts w:ascii="TimesNewRoman" w:hAnsi="TimesNewRoman" w:cs="TimesNewRoman"/>
          <w:i/>
          <w:sz w:val="20"/>
          <w:vertAlign w:val="subscript"/>
          <w:lang w:val="en-US"/>
        </w:rPr>
        <w:t>i,avg</w:t>
      </w:r>
      <w:r>
        <w:rPr>
          <w:rFonts w:ascii="TimesNewRoman" w:hAnsi="TimesNewRoman" w:cs="TimesNewRoman"/>
          <w:sz w:val="20"/>
          <w:lang w:val="en-US"/>
        </w:rPr>
        <w:t xml:space="preserve"> over subcarrier indices listed as averaging subcarrier indices.</w:t>
      </w:r>
    </w:p>
    <w:p w:rsidR="003B1732" w:rsidRDefault="009D2A2D" w:rsidP="001C3617">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t xml:space="preserve">Averaging of </w:t>
      </w:r>
      <w:r w:rsidRPr="00EC3E56">
        <w:rPr>
          <w:rFonts w:ascii="TimesNewRoman" w:hAnsi="TimesNewRoman" w:cs="TimesNewRoman"/>
          <w:i/>
          <w:sz w:val="20"/>
          <w:lang w:val="en-US"/>
        </w:rPr>
        <w:t>E</w:t>
      </w:r>
      <w:r w:rsidRPr="00EC3E56">
        <w:rPr>
          <w:rFonts w:ascii="TimesNewRoman" w:hAnsi="TimesNewRoman" w:cs="TimesNewRoman"/>
          <w:i/>
          <w:sz w:val="20"/>
          <w:vertAlign w:val="subscript"/>
          <w:lang w:val="en-US"/>
        </w:rPr>
        <w:t>i,avg</w:t>
      </w:r>
      <w:r>
        <w:rPr>
          <w:rFonts w:ascii="TimesNewRoman" w:hAnsi="TimesNewRoman" w:cs="TimesNewRoman"/>
          <w:color w:val="000000"/>
          <w:sz w:val="20"/>
          <w:lang w:val="en-US"/>
        </w:rPr>
        <w:t xml:space="preserve"> is done in the linear domain.</w:t>
      </w:r>
    </w:p>
    <w:p w:rsidR="00CE205F" w:rsidRDefault="00CE205F" w:rsidP="001C3617">
      <w:pPr>
        <w:autoSpaceDE w:val="0"/>
        <w:autoSpaceDN w:val="0"/>
        <w:adjustRightInd w:val="0"/>
        <w:rPr>
          <w:rFonts w:ascii="TimesNewRoman" w:hAnsi="TimesNewRoman" w:cs="TimesNewRoman"/>
          <w:color w:val="000000"/>
          <w:sz w:val="20"/>
          <w:lang w:val="en-US"/>
        </w:rPr>
      </w:pPr>
    </w:p>
    <w:p w:rsidR="001C3617" w:rsidRDefault="001C3617" w:rsidP="001C3617">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In a non-contiguous transmission consisting of two 80 MHz frequency segments nonadjacent in frequency,</w:t>
      </w:r>
    </w:p>
    <w:p w:rsidR="001C3617" w:rsidRDefault="001C3617" w:rsidP="001C3617">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each segment shall meet the spectral flatness requirement for an 80 MHz transmission.</w:t>
      </w:r>
    </w:p>
    <w:p w:rsidR="003B1732" w:rsidRDefault="003B1732" w:rsidP="001C3617">
      <w:pPr>
        <w:autoSpaceDE w:val="0"/>
        <w:autoSpaceDN w:val="0"/>
        <w:adjustRightInd w:val="0"/>
        <w:rPr>
          <w:rFonts w:ascii="TimesNewRoman" w:hAnsi="TimesNewRoman" w:cs="TimesNewRoman"/>
          <w:color w:val="000000"/>
          <w:sz w:val="20"/>
          <w:lang w:val="en-US"/>
        </w:rPr>
      </w:pPr>
    </w:p>
    <w:p w:rsidR="001C3617" w:rsidRDefault="001C3617" w:rsidP="001C3617">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tests for the spectral flatness requirements shall be performed with spatial mapping </w:t>
      </w:r>
      <w:r w:rsidRPr="00EC3E56">
        <w:rPr>
          <w:rFonts w:ascii="TimesNewRoman" w:hAnsi="TimesNewRoman" w:cs="TimesNewRoman"/>
          <w:i/>
          <w:color w:val="000000"/>
          <w:sz w:val="20"/>
          <w:lang w:val="en-US"/>
        </w:rPr>
        <w:t>Q</w:t>
      </w:r>
      <w:r w:rsidRPr="00EC3E56">
        <w:rPr>
          <w:rFonts w:ascii="TimesNewRoman" w:hAnsi="TimesNewRoman" w:cs="TimesNewRoman"/>
          <w:i/>
          <w:color w:val="000000"/>
          <w:sz w:val="20"/>
          <w:vertAlign w:val="subscript"/>
          <w:lang w:val="en-US"/>
        </w:rPr>
        <w:t>k</w:t>
      </w:r>
      <w:r>
        <w:rPr>
          <w:rFonts w:ascii="TimesNewRoman" w:hAnsi="TimesNewRoman" w:cs="TimesNewRoman"/>
          <w:color w:val="000000"/>
          <w:sz w:val="20"/>
          <w:lang w:val="en-US"/>
        </w:rPr>
        <w:t xml:space="preserve"> = </w:t>
      </w:r>
      <w:r w:rsidRPr="00EC3E56">
        <w:rPr>
          <w:rFonts w:ascii="TimesNewRoman" w:hAnsi="TimesNewRoman" w:cs="TimesNewRoman"/>
          <w:b/>
          <w:color w:val="000000"/>
          <w:sz w:val="20"/>
          <w:lang w:val="en-US"/>
        </w:rPr>
        <w:t>I</w:t>
      </w:r>
      <w:r>
        <w:rPr>
          <w:rFonts w:ascii="TimesNewRoman" w:hAnsi="TimesNewRoman" w:cs="TimesNewRoman"/>
          <w:color w:val="000000"/>
          <w:sz w:val="20"/>
          <w:lang w:val="en-US"/>
        </w:rPr>
        <w:t xml:space="preserve"> (see</w:t>
      </w:r>
    </w:p>
    <w:p w:rsidR="001C3617" w:rsidRDefault="001C3617" w:rsidP="001C3617">
      <w:pPr>
        <w:rPr>
          <w:rFonts w:ascii="TimesNewRoman" w:hAnsi="TimesNewRoman" w:cs="TimesNewRoman"/>
          <w:color w:val="000000"/>
          <w:sz w:val="20"/>
          <w:lang w:val="en-US"/>
        </w:rPr>
      </w:pPr>
      <w:r>
        <w:rPr>
          <w:rFonts w:ascii="TimesNewRoman" w:hAnsi="TimesNewRoman" w:cs="TimesNewRoman"/>
          <w:color w:val="000000"/>
          <w:sz w:val="20"/>
          <w:lang w:val="en-US"/>
        </w:rPr>
        <w:t>22.3.11.10).</w:t>
      </w:r>
    </w:p>
    <w:p w:rsidR="001C3617" w:rsidRDefault="001C3617" w:rsidP="001C3617">
      <w:pPr>
        <w:rPr>
          <w:rFonts w:ascii="TimesNewRoman" w:hAnsi="TimesNewRoman" w:cs="TimesNewRoman"/>
          <w:color w:val="000000"/>
          <w:sz w:val="20"/>
          <w:lang w:val="en-US"/>
        </w:rPr>
      </w:pPr>
    </w:p>
    <w:p w:rsidR="003B1732" w:rsidRDefault="003B1732" w:rsidP="001C3617">
      <w:pPr>
        <w:rPr>
          <w:rFonts w:ascii="TimesNewRoman" w:hAnsi="TimesNewRoman" w:cs="TimesNewRoman"/>
          <w:color w:val="000000"/>
          <w:sz w:val="20"/>
          <w:lang w:val="en-US"/>
        </w:rPr>
      </w:pPr>
    </w:p>
    <w:p w:rsidR="001C3617" w:rsidRDefault="001C3617" w:rsidP="001C3617">
      <w:pPr>
        <w:rPr>
          <w:rFonts w:ascii="TimesNewRoman" w:hAnsi="TimesNewRoman" w:cs="TimesNewRoman"/>
          <w:color w:val="000000"/>
          <w:sz w:val="20"/>
          <w:lang w:val="en-US"/>
        </w:rPr>
      </w:pPr>
      <w:r>
        <w:rPr>
          <w:rFonts w:ascii="TimesNewRoman" w:hAnsi="TimesNewRoman" w:cs="TimesNewRoman"/>
          <w:color w:val="000000"/>
          <w:sz w:val="20"/>
          <w:lang w:val="en-US"/>
        </w:rPr>
        <w:t xml:space="preserve">Table 22-18a: Maximum transmit spectral flatness deviations </w:t>
      </w:r>
    </w:p>
    <w:tbl>
      <w:tblPr>
        <w:tblStyle w:val="TableGrid"/>
        <w:tblW w:w="0" w:type="auto"/>
        <w:tblLayout w:type="fixed"/>
        <w:tblLook w:val="04A0"/>
      </w:tblPr>
      <w:tblGrid>
        <w:gridCol w:w="1596"/>
        <w:gridCol w:w="2652"/>
        <w:gridCol w:w="3150"/>
        <w:gridCol w:w="1170"/>
      </w:tblGrid>
      <w:tr w:rsidR="001C3617" w:rsidTr="00663E0D">
        <w:tc>
          <w:tcPr>
            <w:tcW w:w="1596" w:type="dxa"/>
            <w:vAlign w:val="center"/>
          </w:tcPr>
          <w:p w:rsidR="001C3617" w:rsidRPr="00A26E13" w:rsidRDefault="001C3617" w:rsidP="003B1732">
            <w:pPr>
              <w:jc w:val="center"/>
              <w:rPr>
                <w:sz w:val="20"/>
              </w:rPr>
            </w:pPr>
            <w:r w:rsidRPr="00A26E13">
              <w:rPr>
                <w:sz w:val="20"/>
              </w:rPr>
              <w:t>Bandwidth of transmission (MHz)</w:t>
            </w:r>
          </w:p>
        </w:tc>
        <w:tc>
          <w:tcPr>
            <w:tcW w:w="2652" w:type="dxa"/>
            <w:vAlign w:val="center"/>
          </w:tcPr>
          <w:p w:rsidR="001C3617" w:rsidRPr="00A26E13" w:rsidRDefault="001C3617" w:rsidP="003B1732">
            <w:pPr>
              <w:jc w:val="center"/>
              <w:rPr>
                <w:sz w:val="20"/>
              </w:rPr>
            </w:pPr>
            <w:r w:rsidRPr="00A26E13">
              <w:rPr>
                <w:sz w:val="20"/>
              </w:rPr>
              <w:t>Averaging subcarrier indices (inclusive)</w:t>
            </w:r>
          </w:p>
        </w:tc>
        <w:tc>
          <w:tcPr>
            <w:tcW w:w="3150" w:type="dxa"/>
            <w:vAlign w:val="center"/>
          </w:tcPr>
          <w:p w:rsidR="001C3617" w:rsidRPr="00A26E13" w:rsidRDefault="001C3617" w:rsidP="003B1732">
            <w:pPr>
              <w:jc w:val="center"/>
              <w:rPr>
                <w:sz w:val="20"/>
              </w:rPr>
            </w:pPr>
            <w:r w:rsidRPr="00A26E13">
              <w:rPr>
                <w:sz w:val="20"/>
              </w:rPr>
              <w:t>Tested subcarrier indices (inclusive)</w:t>
            </w:r>
          </w:p>
        </w:tc>
        <w:tc>
          <w:tcPr>
            <w:tcW w:w="1170" w:type="dxa"/>
            <w:vAlign w:val="center"/>
          </w:tcPr>
          <w:p w:rsidR="001C3617" w:rsidRPr="00A26E13" w:rsidRDefault="001C3617" w:rsidP="003B1732">
            <w:pPr>
              <w:jc w:val="center"/>
              <w:rPr>
                <w:sz w:val="20"/>
              </w:rPr>
            </w:pPr>
            <w:r w:rsidRPr="00A26E13">
              <w:rPr>
                <w:sz w:val="20"/>
              </w:rPr>
              <w:t>Maximum deviation (dB)</w:t>
            </w:r>
          </w:p>
        </w:tc>
      </w:tr>
      <w:tr w:rsidR="001C3617" w:rsidTr="00663E0D">
        <w:tc>
          <w:tcPr>
            <w:tcW w:w="1596" w:type="dxa"/>
            <w:vMerge w:val="restart"/>
            <w:vAlign w:val="center"/>
          </w:tcPr>
          <w:p w:rsidR="001C3617" w:rsidRPr="00A26E13" w:rsidRDefault="001C3617" w:rsidP="003B1732">
            <w:pPr>
              <w:jc w:val="center"/>
              <w:rPr>
                <w:sz w:val="20"/>
              </w:rPr>
            </w:pPr>
            <w:r w:rsidRPr="00A26E13">
              <w:rPr>
                <w:sz w:val="20"/>
              </w:rPr>
              <w:t>20</w:t>
            </w:r>
          </w:p>
        </w:tc>
        <w:tc>
          <w:tcPr>
            <w:tcW w:w="2652" w:type="dxa"/>
            <w:vMerge w:val="restart"/>
            <w:vAlign w:val="center"/>
          </w:tcPr>
          <w:p w:rsidR="001C3617" w:rsidRPr="00A26E13" w:rsidRDefault="001C3617" w:rsidP="003B1732">
            <w:pPr>
              <w:jc w:val="center"/>
              <w:rPr>
                <w:sz w:val="20"/>
              </w:rPr>
            </w:pPr>
            <w:r w:rsidRPr="00A26E13">
              <w:rPr>
                <w:sz w:val="20"/>
              </w:rPr>
              <w:t>-16 to -1 and +1 to +16</w:t>
            </w:r>
          </w:p>
        </w:tc>
        <w:tc>
          <w:tcPr>
            <w:tcW w:w="3150" w:type="dxa"/>
            <w:vAlign w:val="center"/>
          </w:tcPr>
          <w:p w:rsidR="001C3617" w:rsidRPr="00A26E13" w:rsidRDefault="001C3617" w:rsidP="003B1732">
            <w:pPr>
              <w:jc w:val="center"/>
              <w:rPr>
                <w:sz w:val="20"/>
              </w:rPr>
            </w:pPr>
            <w:r w:rsidRPr="00A26E13">
              <w:rPr>
                <w:sz w:val="20"/>
              </w:rPr>
              <w:t xml:space="preserve">-16 to -1 </w:t>
            </w:r>
            <w:r w:rsidR="003B1732">
              <w:rPr>
                <w:sz w:val="20"/>
              </w:rPr>
              <w:t xml:space="preserve"> </w:t>
            </w:r>
            <w:r w:rsidRPr="00A26E13">
              <w:rPr>
                <w:sz w:val="20"/>
              </w:rPr>
              <w:t>and +1 to +16</w:t>
            </w:r>
          </w:p>
        </w:tc>
        <w:tc>
          <w:tcPr>
            <w:tcW w:w="1170" w:type="dxa"/>
            <w:vAlign w:val="center"/>
          </w:tcPr>
          <w:p w:rsidR="001C3617" w:rsidRPr="00A26E13" w:rsidRDefault="001C3617" w:rsidP="003B1732">
            <w:pPr>
              <w:jc w:val="center"/>
              <w:rPr>
                <w:sz w:val="20"/>
              </w:rPr>
            </w:pPr>
            <w:r w:rsidRPr="00A26E13">
              <w:rPr>
                <w:sz w:val="20"/>
                <w:lang w:val="en-US"/>
              </w:rPr>
              <w:t>± 4</w:t>
            </w:r>
          </w:p>
        </w:tc>
      </w:tr>
      <w:tr w:rsidR="001C3617" w:rsidTr="00663E0D">
        <w:tc>
          <w:tcPr>
            <w:tcW w:w="1596" w:type="dxa"/>
            <w:vMerge/>
            <w:vAlign w:val="center"/>
          </w:tcPr>
          <w:p w:rsidR="001C3617" w:rsidRPr="00A26E13" w:rsidRDefault="001C3617" w:rsidP="003B1732">
            <w:pPr>
              <w:jc w:val="center"/>
              <w:rPr>
                <w:sz w:val="20"/>
              </w:rPr>
            </w:pPr>
          </w:p>
        </w:tc>
        <w:tc>
          <w:tcPr>
            <w:tcW w:w="2652" w:type="dxa"/>
            <w:vMerge/>
            <w:vAlign w:val="center"/>
          </w:tcPr>
          <w:p w:rsidR="001C3617" w:rsidRPr="00A26E13" w:rsidRDefault="001C3617" w:rsidP="003B1732">
            <w:pPr>
              <w:jc w:val="center"/>
              <w:rPr>
                <w:sz w:val="20"/>
              </w:rPr>
            </w:pPr>
          </w:p>
        </w:tc>
        <w:tc>
          <w:tcPr>
            <w:tcW w:w="3150" w:type="dxa"/>
            <w:vAlign w:val="center"/>
          </w:tcPr>
          <w:p w:rsidR="001C3617" w:rsidRPr="00A26E13" w:rsidRDefault="001C3617" w:rsidP="003B1732">
            <w:pPr>
              <w:jc w:val="center"/>
              <w:rPr>
                <w:sz w:val="20"/>
              </w:rPr>
            </w:pPr>
            <w:r w:rsidRPr="00A26E13">
              <w:rPr>
                <w:sz w:val="20"/>
                <w:lang w:val="en-US"/>
              </w:rPr>
              <w:t>–28 to –17 and +17 to +28</w:t>
            </w:r>
          </w:p>
        </w:tc>
        <w:tc>
          <w:tcPr>
            <w:tcW w:w="1170" w:type="dxa"/>
            <w:vAlign w:val="center"/>
          </w:tcPr>
          <w:p w:rsidR="001C3617" w:rsidRPr="00A26E13" w:rsidRDefault="001C3617" w:rsidP="003B1732">
            <w:pPr>
              <w:jc w:val="center"/>
              <w:rPr>
                <w:sz w:val="20"/>
              </w:rPr>
            </w:pPr>
            <w:r w:rsidRPr="00A26E13">
              <w:rPr>
                <w:sz w:val="20"/>
                <w:lang w:val="en-US"/>
              </w:rPr>
              <w:t>+4/–6</w:t>
            </w:r>
          </w:p>
        </w:tc>
      </w:tr>
      <w:tr w:rsidR="001C3617" w:rsidTr="00663E0D">
        <w:tc>
          <w:tcPr>
            <w:tcW w:w="1596" w:type="dxa"/>
            <w:vMerge w:val="restart"/>
            <w:vAlign w:val="center"/>
          </w:tcPr>
          <w:p w:rsidR="001C3617" w:rsidRPr="00A26E13" w:rsidRDefault="001C3617" w:rsidP="003B1732">
            <w:pPr>
              <w:jc w:val="center"/>
              <w:rPr>
                <w:sz w:val="20"/>
              </w:rPr>
            </w:pPr>
            <w:r w:rsidRPr="00A26E13">
              <w:rPr>
                <w:sz w:val="20"/>
              </w:rPr>
              <w:t>40</w:t>
            </w:r>
          </w:p>
        </w:tc>
        <w:tc>
          <w:tcPr>
            <w:tcW w:w="2652" w:type="dxa"/>
            <w:vMerge w:val="restart"/>
            <w:vAlign w:val="center"/>
          </w:tcPr>
          <w:p w:rsidR="001C3617" w:rsidRPr="00A26E13" w:rsidRDefault="001C3617" w:rsidP="003B1732">
            <w:pPr>
              <w:jc w:val="center"/>
              <w:rPr>
                <w:sz w:val="20"/>
              </w:rPr>
            </w:pPr>
            <w:r w:rsidRPr="00A26E13">
              <w:rPr>
                <w:sz w:val="20"/>
              </w:rPr>
              <w:t>-42 to -2 and +2 to +42</w:t>
            </w:r>
          </w:p>
        </w:tc>
        <w:tc>
          <w:tcPr>
            <w:tcW w:w="3150" w:type="dxa"/>
            <w:vAlign w:val="center"/>
          </w:tcPr>
          <w:p w:rsidR="001C3617" w:rsidRPr="00A26E13" w:rsidRDefault="001C3617" w:rsidP="003B1732">
            <w:pPr>
              <w:jc w:val="center"/>
              <w:rPr>
                <w:sz w:val="20"/>
              </w:rPr>
            </w:pPr>
            <w:r w:rsidRPr="00A26E13">
              <w:rPr>
                <w:sz w:val="20"/>
                <w:lang w:val="en-US"/>
              </w:rPr>
              <w:t>–42 to –2 and +2 to +42</w:t>
            </w:r>
          </w:p>
        </w:tc>
        <w:tc>
          <w:tcPr>
            <w:tcW w:w="1170" w:type="dxa"/>
            <w:vAlign w:val="center"/>
          </w:tcPr>
          <w:p w:rsidR="001C3617" w:rsidRPr="00A26E13" w:rsidRDefault="001C3617" w:rsidP="003B1732">
            <w:pPr>
              <w:jc w:val="center"/>
              <w:rPr>
                <w:sz w:val="20"/>
              </w:rPr>
            </w:pPr>
            <w:r w:rsidRPr="00A26E13">
              <w:rPr>
                <w:sz w:val="20"/>
                <w:lang w:val="en-US"/>
              </w:rPr>
              <w:t>± 4</w:t>
            </w:r>
          </w:p>
        </w:tc>
      </w:tr>
      <w:tr w:rsidR="001C3617" w:rsidTr="00663E0D">
        <w:tc>
          <w:tcPr>
            <w:tcW w:w="1596" w:type="dxa"/>
            <w:vMerge/>
            <w:vAlign w:val="center"/>
          </w:tcPr>
          <w:p w:rsidR="001C3617" w:rsidRPr="00A26E13" w:rsidRDefault="001C3617" w:rsidP="003B1732">
            <w:pPr>
              <w:jc w:val="center"/>
              <w:rPr>
                <w:sz w:val="20"/>
              </w:rPr>
            </w:pPr>
          </w:p>
        </w:tc>
        <w:tc>
          <w:tcPr>
            <w:tcW w:w="2652" w:type="dxa"/>
            <w:vMerge/>
            <w:vAlign w:val="center"/>
          </w:tcPr>
          <w:p w:rsidR="001C3617" w:rsidRPr="00A26E13" w:rsidRDefault="001C3617" w:rsidP="003B1732">
            <w:pPr>
              <w:jc w:val="center"/>
              <w:rPr>
                <w:sz w:val="20"/>
              </w:rPr>
            </w:pPr>
          </w:p>
        </w:tc>
        <w:tc>
          <w:tcPr>
            <w:tcW w:w="3150" w:type="dxa"/>
            <w:vAlign w:val="center"/>
          </w:tcPr>
          <w:p w:rsidR="001C3617" w:rsidRPr="00A26E13" w:rsidRDefault="001C3617" w:rsidP="003B1732">
            <w:pPr>
              <w:jc w:val="center"/>
              <w:rPr>
                <w:sz w:val="20"/>
              </w:rPr>
            </w:pPr>
            <w:r>
              <w:rPr>
                <w:rFonts w:ascii="TimesNewRoman" w:hAnsi="TimesNewRoman" w:cs="TimesNewRoman"/>
                <w:color w:val="000000"/>
                <w:sz w:val="20"/>
                <w:lang w:val="en-US"/>
              </w:rPr>
              <w:t>–43 to –58 and +43 to +58</w:t>
            </w:r>
          </w:p>
        </w:tc>
        <w:tc>
          <w:tcPr>
            <w:tcW w:w="1170" w:type="dxa"/>
            <w:vAlign w:val="center"/>
          </w:tcPr>
          <w:p w:rsidR="001C3617" w:rsidRPr="00A26E13" w:rsidRDefault="001C3617" w:rsidP="003B1732">
            <w:pPr>
              <w:jc w:val="center"/>
              <w:rPr>
                <w:sz w:val="20"/>
              </w:rPr>
            </w:pPr>
            <w:r>
              <w:rPr>
                <w:rFonts w:ascii="TimesNewRoman" w:hAnsi="TimesNewRoman" w:cs="TimesNewRoman"/>
                <w:color w:val="000000"/>
                <w:sz w:val="20"/>
                <w:lang w:val="en-US"/>
              </w:rPr>
              <w:t>+4/–6</w:t>
            </w:r>
          </w:p>
        </w:tc>
      </w:tr>
      <w:tr w:rsidR="001C3617" w:rsidTr="00663E0D">
        <w:tc>
          <w:tcPr>
            <w:tcW w:w="1596" w:type="dxa"/>
            <w:vMerge w:val="restart"/>
            <w:vAlign w:val="center"/>
          </w:tcPr>
          <w:p w:rsidR="001C3617" w:rsidRPr="00A26E13" w:rsidRDefault="001C3617" w:rsidP="003B1732">
            <w:pPr>
              <w:jc w:val="center"/>
              <w:rPr>
                <w:sz w:val="20"/>
              </w:rPr>
            </w:pPr>
            <w:r w:rsidRPr="00A26E13">
              <w:rPr>
                <w:sz w:val="20"/>
              </w:rPr>
              <w:t>80</w:t>
            </w:r>
          </w:p>
        </w:tc>
        <w:tc>
          <w:tcPr>
            <w:tcW w:w="2652" w:type="dxa"/>
            <w:vMerge w:val="restart"/>
            <w:vAlign w:val="center"/>
          </w:tcPr>
          <w:p w:rsidR="001C3617" w:rsidRPr="00A26E13" w:rsidRDefault="001C3617" w:rsidP="003B1732">
            <w:pPr>
              <w:jc w:val="center"/>
              <w:rPr>
                <w:sz w:val="20"/>
              </w:rPr>
            </w:pPr>
            <w:r w:rsidRPr="00A26E13">
              <w:rPr>
                <w:sz w:val="20"/>
              </w:rPr>
              <w:t>-84 to -2 and +2 to +84</w:t>
            </w:r>
          </w:p>
        </w:tc>
        <w:tc>
          <w:tcPr>
            <w:tcW w:w="3150" w:type="dxa"/>
            <w:vAlign w:val="center"/>
          </w:tcPr>
          <w:p w:rsidR="001C3617" w:rsidRDefault="001C3617" w:rsidP="003B1732">
            <w:pPr>
              <w:jc w:val="center"/>
              <w:rPr>
                <w:sz w:val="20"/>
              </w:rPr>
            </w:pPr>
            <w:r>
              <w:rPr>
                <w:rFonts w:ascii="TimesNewRoman" w:hAnsi="TimesNewRoman" w:cs="TimesNewRoman"/>
                <w:color w:val="000000"/>
                <w:sz w:val="20"/>
                <w:lang w:val="en-US"/>
              </w:rPr>
              <w:t>–84 to –2 and +2 to +84</w:t>
            </w:r>
          </w:p>
        </w:tc>
        <w:tc>
          <w:tcPr>
            <w:tcW w:w="1170" w:type="dxa"/>
            <w:vAlign w:val="center"/>
          </w:tcPr>
          <w:p w:rsidR="001C3617" w:rsidRPr="00A26E13" w:rsidRDefault="001C3617" w:rsidP="003B1732">
            <w:pPr>
              <w:jc w:val="center"/>
              <w:rPr>
                <w:sz w:val="20"/>
              </w:rPr>
            </w:pPr>
            <w:r w:rsidRPr="00A26E13">
              <w:rPr>
                <w:sz w:val="20"/>
                <w:lang w:val="en-US"/>
              </w:rPr>
              <w:t>± 4</w:t>
            </w:r>
          </w:p>
        </w:tc>
      </w:tr>
      <w:tr w:rsidR="001C3617" w:rsidTr="00663E0D">
        <w:tc>
          <w:tcPr>
            <w:tcW w:w="1596" w:type="dxa"/>
            <w:vMerge/>
            <w:vAlign w:val="center"/>
          </w:tcPr>
          <w:p w:rsidR="001C3617" w:rsidRPr="00A26E13" w:rsidRDefault="001C3617" w:rsidP="003B1732">
            <w:pPr>
              <w:jc w:val="center"/>
              <w:rPr>
                <w:sz w:val="20"/>
              </w:rPr>
            </w:pPr>
          </w:p>
        </w:tc>
        <w:tc>
          <w:tcPr>
            <w:tcW w:w="2652" w:type="dxa"/>
            <w:vMerge/>
            <w:vAlign w:val="center"/>
          </w:tcPr>
          <w:p w:rsidR="001C3617" w:rsidRPr="00A26E13" w:rsidRDefault="001C3617" w:rsidP="003B1732">
            <w:pPr>
              <w:jc w:val="center"/>
              <w:rPr>
                <w:sz w:val="20"/>
              </w:rPr>
            </w:pPr>
          </w:p>
        </w:tc>
        <w:tc>
          <w:tcPr>
            <w:tcW w:w="3150" w:type="dxa"/>
            <w:vAlign w:val="center"/>
          </w:tcPr>
          <w:p w:rsidR="001C3617" w:rsidRPr="00A26E13" w:rsidRDefault="001C3617" w:rsidP="003B1732">
            <w:pPr>
              <w:jc w:val="center"/>
              <w:rPr>
                <w:sz w:val="20"/>
              </w:rPr>
            </w:pPr>
            <w:r>
              <w:rPr>
                <w:rFonts w:ascii="TimesNewRoman" w:hAnsi="TimesNewRoman" w:cs="TimesNewRoman"/>
                <w:color w:val="000000"/>
                <w:sz w:val="20"/>
                <w:lang w:val="en-US"/>
              </w:rPr>
              <w:t>–122 to –85 and +85 to +122</w:t>
            </w:r>
          </w:p>
        </w:tc>
        <w:tc>
          <w:tcPr>
            <w:tcW w:w="1170" w:type="dxa"/>
            <w:vAlign w:val="center"/>
          </w:tcPr>
          <w:p w:rsidR="001C3617" w:rsidRPr="00A26E13" w:rsidRDefault="001C3617" w:rsidP="003B1732">
            <w:pPr>
              <w:jc w:val="center"/>
              <w:rPr>
                <w:sz w:val="20"/>
              </w:rPr>
            </w:pPr>
            <w:r>
              <w:rPr>
                <w:rFonts w:ascii="TimesNewRoman" w:hAnsi="TimesNewRoman" w:cs="TimesNewRoman"/>
                <w:color w:val="000000"/>
                <w:sz w:val="20"/>
                <w:lang w:val="en-US"/>
              </w:rPr>
              <w:t>+4/–6</w:t>
            </w:r>
          </w:p>
        </w:tc>
      </w:tr>
      <w:tr w:rsidR="001C3617" w:rsidTr="00663E0D">
        <w:tc>
          <w:tcPr>
            <w:tcW w:w="1596" w:type="dxa"/>
            <w:vAlign w:val="center"/>
          </w:tcPr>
          <w:p w:rsidR="001C3617" w:rsidRPr="00A26E13" w:rsidRDefault="001C3617" w:rsidP="003B1732">
            <w:pPr>
              <w:jc w:val="center"/>
              <w:rPr>
                <w:sz w:val="20"/>
              </w:rPr>
            </w:pPr>
            <w:r w:rsidRPr="00A26E13">
              <w:rPr>
                <w:sz w:val="20"/>
              </w:rPr>
              <w:t>160</w:t>
            </w:r>
          </w:p>
        </w:tc>
        <w:tc>
          <w:tcPr>
            <w:tcW w:w="2652" w:type="dxa"/>
            <w:vAlign w:val="center"/>
          </w:tcPr>
          <w:p w:rsidR="001C3617" w:rsidRPr="00A26E13" w:rsidRDefault="001C3617" w:rsidP="003B1732">
            <w:pPr>
              <w:jc w:val="center"/>
              <w:rPr>
                <w:sz w:val="20"/>
              </w:rPr>
            </w:pPr>
            <w:r w:rsidRPr="00A26E13">
              <w:rPr>
                <w:sz w:val="20"/>
              </w:rPr>
              <w:t>-250 to -6 and +6 to +250</w:t>
            </w:r>
          </w:p>
        </w:tc>
        <w:tc>
          <w:tcPr>
            <w:tcW w:w="3150" w:type="dxa"/>
            <w:vAlign w:val="center"/>
          </w:tcPr>
          <w:p w:rsidR="001C3617" w:rsidRPr="00A26E13" w:rsidRDefault="001C3617" w:rsidP="003B1732">
            <w:pPr>
              <w:jc w:val="center"/>
              <w:rPr>
                <w:sz w:val="20"/>
              </w:rPr>
            </w:pPr>
            <w:r>
              <w:rPr>
                <w:rFonts w:ascii="TimesNewRoman" w:hAnsi="TimesNewRoman" w:cs="TimesNewRoman"/>
                <w:color w:val="000000"/>
                <w:sz w:val="20"/>
                <w:lang w:val="en-US"/>
              </w:rPr>
              <w:t>–250 to –6 and +6 to +250</w:t>
            </w:r>
          </w:p>
        </w:tc>
        <w:tc>
          <w:tcPr>
            <w:tcW w:w="1170" w:type="dxa"/>
            <w:vAlign w:val="center"/>
          </w:tcPr>
          <w:p w:rsidR="001C3617" w:rsidRPr="00A26E13" w:rsidRDefault="001C3617" w:rsidP="003B1732">
            <w:pPr>
              <w:jc w:val="center"/>
              <w:rPr>
                <w:sz w:val="20"/>
              </w:rPr>
            </w:pPr>
            <w:r>
              <w:rPr>
                <w:rFonts w:ascii="TimesNewRoman" w:hAnsi="TimesNewRoman" w:cs="TimesNewRoman"/>
                <w:color w:val="000000"/>
                <w:sz w:val="20"/>
                <w:lang w:val="en-US"/>
              </w:rPr>
              <w:t>+4/–6</w:t>
            </w:r>
          </w:p>
        </w:tc>
      </w:tr>
      <w:tr w:rsidR="004A59C0" w:rsidRPr="00EE3B1E" w:rsidTr="00663E0D">
        <w:tc>
          <w:tcPr>
            <w:tcW w:w="1596" w:type="dxa"/>
            <w:vMerge w:val="restart"/>
            <w:vAlign w:val="center"/>
          </w:tcPr>
          <w:p w:rsidR="004A59C0" w:rsidRPr="004A59C0" w:rsidRDefault="004A59C0" w:rsidP="004A59C0">
            <w:pPr>
              <w:jc w:val="center"/>
              <w:rPr>
                <w:sz w:val="20"/>
              </w:rPr>
            </w:pPr>
            <w:r w:rsidRPr="004A59C0">
              <w:rPr>
                <w:sz w:val="20"/>
              </w:rPr>
              <w:t>Non-HT Duplicate</w:t>
            </w:r>
          </w:p>
        </w:tc>
        <w:tc>
          <w:tcPr>
            <w:tcW w:w="2652" w:type="dxa"/>
            <w:vMerge w:val="restart"/>
            <w:vAlign w:val="center"/>
          </w:tcPr>
          <w:p w:rsidR="004A59C0" w:rsidRPr="004A59C0" w:rsidRDefault="004A59C0" w:rsidP="004A59C0">
            <w:pPr>
              <w:jc w:val="center"/>
              <w:rPr>
                <w:sz w:val="20"/>
              </w:rPr>
            </w:pPr>
            <w:r w:rsidRPr="004A59C0">
              <w:rPr>
                <w:sz w:val="20"/>
              </w:rPr>
              <w:t>–42 to –33, –31 to –6, +6 to +31, and +33 to +42</w:t>
            </w:r>
          </w:p>
        </w:tc>
        <w:tc>
          <w:tcPr>
            <w:tcW w:w="3150" w:type="dxa"/>
            <w:vAlign w:val="center"/>
          </w:tcPr>
          <w:p w:rsidR="004A59C0" w:rsidRPr="004A59C0" w:rsidRDefault="004A59C0" w:rsidP="004A59C0">
            <w:pPr>
              <w:jc w:val="center"/>
              <w:rPr>
                <w:sz w:val="20"/>
              </w:rPr>
            </w:pPr>
            <w:r w:rsidRPr="004A59C0">
              <w:rPr>
                <w:sz w:val="20"/>
              </w:rPr>
              <w:t>–42 to –33, –31 to –6, +6 to +31, and +33 to +42</w:t>
            </w:r>
          </w:p>
        </w:tc>
        <w:tc>
          <w:tcPr>
            <w:tcW w:w="1170" w:type="dxa"/>
            <w:vAlign w:val="center"/>
          </w:tcPr>
          <w:p w:rsidR="004A59C0" w:rsidRPr="004A59C0" w:rsidRDefault="004A59C0" w:rsidP="004A59C0">
            <w:pPr>
              <w:jc w:val="center"/>
              <w:rPr>
                <w:sz w:val="20"/>
              </w:rPr>
            </w:pPr>
            <w:r w:rsidRPr="004A59C0">
              <w:rPr>
                <w:sz w:val="20"/>
                <w:lang w:val="en-US"/>
              </w:rPr>
              <w:t>± 4</w:t>
            </w:r>
          </w:p>
        </w:tc>
      </w:tr>
      <w:tr w:rsidR="004A59C0" w:rsidRPr="00EE3B1E" w:rsidTr="00663E0D">
        <w:tc>
          <w:tcPr>
            <w:tcW w:w="1596" w:type="dxa"/>
            <w:vMerge/>
            <w:vAlign w:val="center"/>
          </w:tcPr>
          <w:p w:rsidR="004A59C0" w:rsidRPr="004A59C0" w:rsidRDefault="004A59C0" w:rsidP="004A59C0">
            <w:pPr>
              <w:jc w:val="center"/>
              <w:rPr>
                <w:sz w:val="20"/>
              </w:rPr>
            </w:pPr>
          </w:p>
        </w:tc>
        <w:tc>
          <w:tcPr>
            <w:tcW w:w="2652" w:type="dxa"/>
            <w:vMerge/>
            <w:vAlign w:val="center"/>
          </w:tcPr>
          <w:p w:rsidR="004A59C0" w:rsidRPr="004A59C0" w:rsidRDefault="004A59C0" w:rsidP="004A59C0">
            <w:pPr>
              <w:jc w:val="center"/>
              <w:rPr>
                <w:sz w:val="20"/>
              </w:rPr>
            </w:pPr>
          </w:p>
        </w:tc>
        <w:tc>
          <w:tcPr>
            <w:tcW w:w="3150" w:type="dxa"/>
            <w:vAlign w:val="center"/>
          </w:tcPr>
          <w:p w:rsidR="004A59C0" w:rsidRPr="004A59C0" w:rsidRDefault="004A59C0" w:rsidP="004A59C0">
            <w:pPr>
              <w:jc w:val="center"/>
              <w:rPr>
                <w:sz w:val="20"/>
                <w:lang w:val="en-US"/>
              </w:rPr>
            </w:pPr>
            <w:r w:rsidRPr="004A59C0">
              <w:rPr>
                <w:sz w:val="20"/>
                <w:lang w:val="en-US"/>
              </w:rPr>
              <w:t>–43 to –58 and +43 to +58</w:t>
            </w:r>
          </w:p>
        </w:tc>
        <w:tc>
          <w:tcPr>
            <w:tcW w:w="1170" w:type="dxa"/>
            <w:vAlign w:val="center"/>
          </w:tcPr>
          <w:p w:rsidR="004A59C0" w:rsidRPr="004A59C0" w:rsidRDefault="004A59C0" w:rsidP="004A59C0">
            <w:pPr>
              <w:jc w:val="center"/>
              <w:rPr>
                <w:sz w:val="20"/>
              </w:rPr>
            </w:pPr>
            <w:r w:rsidRPr="004A59C0">
              <w:rPr>
                <w:sz w:val="20"/>
                <w:lang w:val="en-US"/>
              </w:rPr>
              <w:t>+4/–6</w:t>
            </w:r>
          </w:p>
        </w:tc>
      </w:tr>
      <w:tr w:rsidR="004A59C0" w:rsidRPr="00EE3B1E" w:rsidTr="00663E0D">
        <w:tc>
          <w:tcPr>
            <w:tcW w:w="1596" w:type="dxa"/>
            <w:vMerge w:val="restart"/>
            <w:vAlign w:val="center"/>
          </w:tcPr>
          <w:p w:rsidR="004A59C0" w:rsidRPr="004A59C0" w:rsidRDefault="007B7128" w:rsidP="004A59C0">
            <w:pPr>
              <w:jc w:val="center"/>
              <w:rPr>
                <w:sz w:val="20"/>
              </w:rPr>
            </w:pPr>
            <w:r>
              <w:rPr>
                <w:sz w:val="20"/>
              </w:rPr>
              <w:t xml:space="preserve">80MHz </w:t>
            </w:r>
            <w:r w:rsidR="004A59C0" w:rsidRPr="004A59C0">
              <w:rPr>
                <w:sz w:val="20"/>
              </w:rPr>
              <w:t>Non-</w:t>
            </w:r>
            <w:r w:rsidR="004A59C0">
              <w:rPr>
                <w:sz w:val="20"/>
              </w:rPr>
              <w:t>HT</w:t>
            </w:r>
            <w:r w:rsidR="004A59C0" w:rsidRPr="004A59C0">
              <w:rPr>
                <w:sz w:val="20"/>
              </w:rPr>
              <w:t xml:space="preserve"> </w:t>
            </w:r>
            <w:r>
              <w:rPr>
                <w:sz w:val="20"/>
              </w:rPr>
              <w:t>D</w:t>
            </w:r>
            <w:r w:rsidR="004A59C0" w:rsidRPr="004A59C0">
              <w:rPr>
                <w:sz w:val="20"/>
              </w:rPr>
              <w:t>uplicate</w:t>
            </w:r>
          </w:p>
        </w:tc>
        <w:tc>
          <w:tcPr>
            <w:tcW w:w="2652" w:type="dxa"/>
            <w:vMerge w:val="restart"/>
            <w:vAlign w:val="center"/>
          </w:tcPr>
          <w:p w:rsidR="004A59C0" w:rsidRPr="004A59C0" w:rsidRDefault="004A59C0" w:rsidP="004A59C0">
            <w:pPr>
              <w:jc w:val="center"/>
              <w:rPr>
                <w:sz w:val="20"/>
              </w:rPr>
            </w:pPr>
            <w:r w:rsidRPr="004A59C0">
              <w:rPr>
                <w:sz w:val="20"/>
              </w:rPr>
              <w:t>-84 to -</w:t>
            </w:r>
            <w:r>
              <w:rPr>
                <w:sz w:val="20"/>
              </w:rPr>
              <w:t>70</w:t>
            </w:r>
            <w:r w:rsidRPr="004A59C0">
              <w:rPr>
                <w:sz w:val="20"/>
              </w:rPr>
              <w:t>,</w:t>
            </w:r>
            <w:r>
              <w:rPr>
                <w:sz w:val="20"/>
              </w:rPr>
              <w:t>-58 to -33,</w:t>
            </w:r>
            <w:r w:rsidRPr="004A59C0">
              <w:rPr>
                <w:sz w:val="20"/>
              </w:rPr>
              <w:t xml:space="preserve"> -31 to -6, </w:t>
            </w:r>
            <w:r w:rsidR="00663E0D">
              <w:rPr>
                <w:sz w:val="20"/>
              </w:rPr>
              <w:t>+</w:t>
            </w:r>
            <w:r w:rsidRPr="004A59C0">
              <w:rPr>
                <w:sz w:val="20"/>
              </w:rPr>
              <w:t xml:space="preserve">6 to </w:t>
            </w:r>
            <w:r w:rsidR="00663E0D">
              <w:rPr>
                <w:sz w:val="20"/>
              </w:rPr>
              <w:t>+</w:t>
            </w:r>
            <w:r w:rsidRPr="004A59C0">
              <w:rPr>
                <w:sz w:val="20"/>
              </w:rPr>
              <w:t xml:space="preserve">31, </w:t>
            </w:r>
            <w:r w:rsidR="00663E0D">
              <w:rPr>
                <w:sz w:val="20"/>
              </w:rPr>
              <w:t>+</w:t>
            </w:r>
            <w:r w:rsidRPr="004A59C0">
              <w:rPr>
                <w:sz w:val="20"/>
              </w:rPr>
              <w:t xml:space="preserve">33 to </w:t>
            </w:r>
            <w:r w:rsidR="00663E0D">
              <w:rPr>
                <w:sz w:val="20"/>
              </w:rPr>
              <w:t>+</w:t>
            </w:r>
            <w:r>
              <w:rPr>
                <w:sz w:val="20"/>
              </w:rPr>
              <w:t>5</w:t>
            </w:r>
            <w:r w:rsidRPr="004A59C0">
              <w:rPr>
                <w:sz w:val="20"/>
              </w:rPr>
              <w:t>8</w:t>
            </w:r>
            <w:r>
              <w:rPr>
                <w:sz w:val="20"/>
              </w:rPr>
              <w:t xml:space="preserve">, </w:t>
            </w:r>
            <w:r w:rsidR="00663E0D">
              <w:rPr>
                <w:sz w:val="20"/>
              </w:rPr>
              <w:t>+</w:t>
            </w:r>
            <w:r>
              <w:rPr>
                <w:sz w:val="20"/>
              </w:rPr>
              <w:t xml:space="preserve">70 to </w:t>
            </w:r>
            <w:r w:rsidR="00663E0D">
              <w:rPr>
                <w:sz w:val="20"/>
              </w:rPr>
              <w:t>+</w:t>
            </w:r>
            <w:r>
              <w:rPr>
                <w:sz w:val="20"/>
              </w:rPr>
              <w:t>84</w:t>
            </w:r>
          </w:p>
        </w:tc>
        <w:tc>
          <w:tcPr>
            <w:tcW w:w="3150" w:type="dxa"/>
            <w:vAlign w:val="center"/>
          </w:tcPr>
          <w:p w:rsidR="004A59C0" w:rsidRPr="004A59C0" w:rsidRDefault="00663E0D" w:rsidP="004A59C0">
            <w:pPr>
              <w:jc w:val="center"/>
              <w:rPr>
                <w:sz w:val="20"/>
              </w:rPr>
            </w:pPr>
            <w:r w:rsidRPr="004A59C0">
              <w:rPr>
                <w:sz w:val="20"/>
              </w:rPr>
              <w:t>-84 to -</w:t>
            </w:r>
            <w:r>
              <w:rPr>
                <w:sz w:val="20"/>
              </w:rPr>
              <w:t>70</w:t>
            </w:r>
            <w:r w:rsidRPr="004A59C0">
              <w:rPr>
                <w:sz w:val="20"/>
              </w:rPr>
              <w:t>,</w:t>
            </w:r>
            <w:r>
              <w:rPr>
                <w:sz w:val="20"/>
              </w:rPr>
              <w:t>-58 to -33,</w:t>
            </w:r>
            <w:r w:rsidRPr="004A59C0">
              <w:rPr>
                <w:sz w:val="20"/>
              </w:rPr>
              <w:t xml:space="preserve"> -31 to -6, </w:t>
            </w:r>
            <w:r>
              <w:rPr>
                <w:sz w:val="20"/>
              </w:rPr>
              <w:t>+</w:t>
            </w:r>
            <w:r w:rsidRPr="004A59C0">
              <w:rPr>
                <w:sz w:val="20"/>
              </w:rPr>
              <w:t xml:space="preserve">6 to </w:t>
            </w:r>
            <w:r>
              <w:rPr>
                <w:sz w:val="20"/>
              </w:rPr>
              <w:t>+</w:t>
            </w:r>
            <w:r w:rsidRPr="004A59C0">
              <w:rPr>
                <w:sz w:val="20"/>
              </w:rPr>
              <w:t xml:space="preserve">31, </w:t>
            </w:r>
            <w:r>
              <w:rPr>
                <w:sz w:val="20"/>
              </w:rPr>
              <w:t>+</w:t>
            </w:r>
            <w:r w:rsidRPr="004A59C0">
              <w:rPr>
                <w:sz w:val="20"/>
              </w:rPr>
              <w:t xml:space="preserve">33 to </w:t>
            </w:r>
            <w:r>
              <w:rPr>
                <w:sz w:val="20"/>
              </w:rPr>
              <w:t>+5</w:t>
            </w:r>
            <w:r w:rsidRPr="004A59C0">
              <w:rPr>
                <w:sz w:val="20"/>
              </w:rPr>
              <w:t>8</w:t>
            </w:r>
            <w:r>
              <w:rPr>
                <w:sz w:val="20"/>
              </w:rPr>
              <w:t>, +70 to +84</w:t>
            </w:r>
          </w:p>
        </w:tc>
        <w:tc>
          <w:tcPr>
            <w:tcW w:w="1170" w:type="dxa"/>
            <w:vAlign w:val="center"/>
          </w:tcPr>
          <w:p w:rsidR="004A59C0" w:rsidRPr="004A59C0" w:rsidRDefault="004A59C0" w:rsidP="004A59C0">
            <w:pPr>
              <w:jc w:val="center"/>
              <w:rPr>
                <w:sz w:val="20"/>
              </w:rPr>
            </w:pPr>
            <w:r w:rsidRPr="004A59C0">
              <w:rPr>
                <w:sz w:val="20"/>
                <w:lang w:val="en-US"/>
              </w:rPr>
              <w:t>± 4</w:t>
            </w:r>
          </w:p>
        </w:tc>
      </w:tr>
      <w:tr w:rsidR="004A59C0" w:rsidRPr="00EE3B1E" w:rsidTr="00663E0D">
        <w:tc>
          <w:tcPr>
            <w:tcW w:w="1596" w:type="dxa"/>
            <w:vMerge/>
            <w:vAlign w:val="center"/>
          </w:tcPr>
          <w:p w:rsidR="004A59C0" w:rsidRPr="004A59C0" w:rsidRDefault="004A59C0" w:rsidP="004A59C0">
            <w:pPr>
              <w:jc w:val="center"/>
              <w:rPr>
                <w:sz w:val="20"/>
              </w:rPr>
            </w:pPr>
          </w:p>
        </w:tc>
        <w:tc>
          <w:tcPr>
            <w:tcW w:w="2652" w:type="dxa"/>
            <w:vMerge/>
            <w:vAlign w:val="center"/>
          </w:tcPr>
          <w:p w:rsidR="004A59C0" w:rsidRPr="004A59C0" w:rsidRDefault="004A59C0" w:rsidP="004A59C0">
            <w:pPr>
              <w:jc w:val="center"/>
              <w:rPr>
                <w:sz w:val="20"/>
              </w:rPr>
            </w:pPr>
          </w:p>
        </w:tc>
        <w:tc>
          <w:tcPr>
            <w:tcW w:w="3150" w:type="dxa"/>
            <w:vAlign w:val="center"/>
          </w:tcPr>
          <w:p w:rsidR="004A59C0" w:rsidRPr="004A59C0" w:rsidRDefault="004A59C0" w:rsidP="004A59C0">
            <w:pPr>
              <w:jc w:val="center"/>
              <w:rPr>
                <w:sz w:val="20"/>
                <w:lang w:val="en-US"/>
              </w:rPr>
            </w:pPr>
            <w:r w:rsidRPr="004A59C0">
              <w:rPr>
                <w:rFonts w:ascii="TimesNewRoman" w:hAnsi="TimesNewRoman" w:cs="TimesNewRoman"/>
                <w:sz w:val="20"/>
                <w:lang w:val="en-US"/>
              </w:rPr>
              <w:t xml:space="preserve">–122 to </w:t>
            </w:r>
            <w:r w:rsidR="00663E0D">
              <w:rPr>
                <w:rFonts w:ascii="TimesNewRoman" w:hAnsi="TimesNewRoman" w:cs="TimesNewRoman"/>
                <w:sz w:val="20"/>
                <w:lang w:val="en-US"/>
              </w:rPr>
              <w:t xml:space="preserve">-97, -95 to </w:t>
            </w:r>
            <w:r w:rsidRPr="004A59C0">
              <w:rPr>
                <w:rFonts w:ascii="TimesNewRoman" w:hAnsi="TimesNewRoman" w:cs="TimesNewRoman"/>
                <w:sz w:val="20"/>
                <w:lang w:val="en-US"/>
              </w:rPr>
              <w:t xml:space="preserve">–85 and +85 to </w:t>
            </w:r>
            <w:r w:rsidR="00663E0D">
              <w:rPr>
                <w:rFonts w:ascii="TimesNewRoman" w:hAnsi="TimesNewRoman" w:cs="TimesNewRoman"/>
                <w:sz w:val="20"/>
                <w:lang w:val="en-US"/>
              </w:rPr>
              <w:t xml:space="preserve">+95, +97 to </w:t>
            </w:r>
            <w:r w:rsidRPr="004A59C0">
              <w:rPr>
                <w:rFonts w:ascii="TimesNewRoman" w:hAnsi="TimesNewRoman" w:cs="TimesNewRoman"/>
                <w:sz w:val="20"/>
                <w:lang w:val="en-US"/>
              </w:rPr>
              <w:t>+122</w:t>
            </w:r>
          </w:p>
        </w:tc>
        <w:tc>
          <w:tcPr>
            <w:tcW w:w="1170" w:type="dxa"/>
            <w:vAlign w:val="center"/>
          </w:tcPr>
          <w:p w:rsidR="004A59C0" w:rsidRPr="004A59C0" w:rsidRDefault="004A59C0" w:rsidP="004A59C0">
            <w:pPr>
              <w:jc w:val="center"/>
              <w:rPr>
                <w:sz w:val="20"/>
              </w:rPr>
            </w:pPr>
            <w:r w:rsidRPr="004A59C0">
              <w:rPr>
                <w:sz w:val="20"/>
                <w:lang w:val="en-US"/>
              </w:rPr>
              <w:t>+4/–6</w:t>
            </w:r>
          </w:p>
        </w:tc>
      </w:tr>
    </w:tbl>
    <w:p w:rsidR="001C3617" w:rsidRDefault="001C3617" w:rsidP="001C3617"/>
    <w:p w:rsidR="000724C2" w:rsidRDefault="000724C2" w:rsidP="008C6E60">
      <w:pPr>
        <w:autoSpaceDE w:val="0"/>
        <w:autoSpaceDN w:val="0"/>
        <w:adjustRightInd w:val="0"/>
        <w:rPr>
          <w:rFonts w:ascii="TimesNewRoman" w:hAnsi="TimesNewRoman" w:cs="TimesNewRoman"/>
          <w:sz w:val="20"/>
          <w:lang w:val="en-US"/>
        </w:rPr>
      </w:pPr>
    </w:p>
    <w:p w:rsidR="00C31117" w:rsidRDefault="00C31117" w:rsidP="008C6E60">
      <w:pPr>
        <w:autoSpaceDE w:val="0"/>
        <w:autoSpaceDN w:val="0"/>
        <w:adjustRightInd w:val="0"/>
        <w:rPr>
          <w:rFonts w:ascii="TimesNewRoman" w:hAnsi="TimesNewRoman" w:cs="TimesNewRoman"/>
          <w:sz w:val="20"/>
          <w:lang w:val="en-US"/>
        </w:rPr>
      </w:pPr>
    </w:p>
    <w:p w:rsidR="00C31117" w:rsidRDefault="00C31117" w:rsidP="008C6E60">
      <w:pPr>
        <w:autoSpaceDE w:val="0"/>
        <w:autoSpaceDN w:val="0"/>
        <w:adjustRightInd w:val="0"/>
        <w:rPr>
          <w:rFonts w:ascii="TimesNewRoman" w:hAnsi="TimesNewRoman" w:cs="TimesNewRoman"/>
          <w:sz w:val="20"/>
          <w:lang w:val="en-US"/>
        </w:rPr>
      </w:pPr>
    </w:p>
    <w:p w:rsidR="00C31117" w:rsidRDefault="00C31117" w:rsidP="008C6E60">
      <w:pPr>
        <w:autoSpaceDE w:val="0"/>
        <w:autoSpaceDN w:val="0"/>
        <w:adjustRightInd w:val="0"/>
        <w:rPr>
          <w:rFonts w:ascii="TimesNewRoman" w:hAnsi="TimesNewRoman" w:cs="TimesNewRoman"/>
          <w:sz w:val="20"/>
          <w:lang w:val="en-US"/>
        </w:rPr>
      </w:pPr>
    </w:p>
    <w:p w:rsidR="00C31117" w:rsidRDefault="00C31117"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40"/>
        <w:gridCol w:w="1960"/>
        <w:gridCol w:w="1120"/>
        <w:gridCol w:w="920"/>
        <w:gridCol w:w="820"/>
        <w:gridCol w:w="1540"/>
        <w:gridCol w:w="2700"/>
      </w:tblGrid>
      <w:tr w:rsidR="000A7EEE" w:rsidRPr="000A7EEE" w:rsidTr="000A7EEE">
        <w:trPr>
          <w:trHeight w:val="900"/>
        </w:trPr>
        <w:tc>
          <w:tcPr>
            <w:tcW w:w="1240" w:type="dxa"/>
            <w:tcBorders>
              <w:top w:val="nil"/>
              <w:left w:val="nil"/>
              <w:bottom w:val="nil"/>
              <w:right w:val="nil"/>
            </w:tcBorders>
            <w:shd w:val="clear" w:color="auto" w:fill="auto"/>
            <w:hideMark/>
          </w:tcPr>
          <w:p w:rsidR="000A7EEE" w:rsidRPr="000A7EEE" w:rsidRDefault="000A7EEE" w:rsidP="000A7EEE">
            <w:pPr>
              <w:jc w:val="right"/>
              <w:rPr>
                <w:rFonts w:ascii="Calibri" w:hAnsi="Calibri"/>
                <w:color w:val="000000"/>
                <w:szCs w:val="22"/>
                <w:lang w:val="en-US"/>
              </w:rPr>
            </w:pPr>
            <w:r w:rsidRPr="000A7EEE">
              <w:rPr>
                <w:rFonts w:ascii="Calibri" w:hAnsi="Calibri"/>
                <w:color w:val="000000"/>
                <w:szCs w:val="22"/>
                <w:lang w:val="en-US"/>
              </w:rPr>
              <w:t>1699</w:t>
            </w:r>
          </w:p>
        </w:tc>
        <w:tc>
          <w:tcPr>
            <w:tcW w:w="196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Cheong, Minho</w:t>
            </w:r>
          </w:p>
        </w:tc>
        <w:tc>
          <w:tcPr>
            <w:tcW w:w="112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22.3.19.3</w:t>
            </w:r>
          </w:p>
        </w:tc>
        <w:tc>
          <w:tcPr>
            <w:tcW w:w="92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30</w:t>
            </w:r>
          </w:p>
        </w:tc>
        <w:tc>
          <w:tcPr>
            <w:tcW w:w="154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how about having a note on the definition of ppm?</w:t>
            </w:r>
          </w:p>
        </w:tc>
      </w:tr>
      <w:tr w:rsidR="000A7EEE" w:rsidRPr="000A7EEE" w:rsidTr="000A7EEE">
        <w:trPr>
          <w:trHeight w:val="900"/>
        </w:trPr>
        <w:tc>
          <w:tcPr>
            <w:tcW w:w="1240" w:type="dxa"/>
            <w:tcBorders>
              <w:top w:val="nil"/>
              <w:left w:val="nil"/>
              <w:bottom w:val="nil"/>
              <w:right w:val="nil"/>
            </w:tcBorders>
            <w:shd w:val="clear" w:color="auto" w:fill="auto"/>
            <w:hideMark/>
          </w:tcPr>
          <w:p w:rsidR="000A7EEE" w:rsidRPr="000A7EEE" w:rsidRDefault="000A7EEE" w:rsidP="000A7EEE">
            <w:pPr>
              <w:jc w:val="right"/>
              <w:rPr>
                <w:rFonts w:ascii="Calibri" w:hAnsi="Calibri"/>
                <w:color w:val="000000"/>
                <w:szCs w:val="22"/>
                <w:lang w:val="en-US"/>
              </w:rPr>
            </w:pPr>
            <w:r w:rsidRPr="000A7EEE">
              <w:rPr>
                <w:rFonts w:ascii="Calibri" w:hAnsi="Calibri"/>
                <w:color w:val="000000"/>
                <w:szCs w:val="22"/>
                <w:lang w:val="en-US"/>
              </w:rPr>
              <w:t>1698</w:t>
            </w:r>
          </w:p>
        </w:tc>
        <w:tc>
          <w:tcPr>
            <w:tcW w:w="196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Cheong, Minho</w:t>
            </w:r>
          </w:p>
        </w:tc>
        <w:tc>
          <w:tcPr>
            <w:tcW w:w="112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22.3.19.3</w:t>
            </w:r>
          </w:p>
        </w:tc>
        <w:tc>
          <w:tcPr>
            <w:tcW w:w="92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35</w:t>
            </w:r>
          </w:p>
        </w:tc>
        <w:tc>
          <w:tcPr>
            <w:tcW w:w="154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0A7EEE" w:rsidRPr="000A7EEE" w:rsidRDefault="000A7EEE" w:rsidP="000A7EEE">
            <w:pPr>
              <w:rPr>
                <w:rFonts w:ascii="Calibri" w:hAnsi="Calibri"/>
                <w:color w:val="000000"/>
                <w:szCs w:val="22"/>
                <w:lang w:val="en-US"/>
              </w:rPr>
            </w:pPr>
            <w:r w:rsidRPr="000A7EEE">
              <w:rPr>
                <w:rFonts w:ascii="Calibri" w:hAnsi="Calibri"/>
                <w:color w:val="000000"/>
                <w:szCs w:val="22"/>
                <w:lang w:val="en-US"/>
              </w:rPr>
              <w:t>It is depending on vendors' option whether two carriers are used or only one carrier is used for contiguous 160MHz and non-contiguous 80+80 transmissions.</w:t>
            </w:r>
            <w:r>
              <w:t xml:space="preserve"> </w:t>
            </w:r>
            <w:r w:rsidRPr="000A7EEE">
              <w:rPr>
                <w:rFonts w:ascii="Calibri" w:hAnsi="Calibri"/>
                <w:color w:val="000000"/>
                <w:szCs w:val="22"/>
                <w:lang w:val="en-US"/>
              </w:rPr>
              <w:t>So, it seems better to add this explanatory note to this sentence: 'if each 80MHz segments is transmitted with the use of separete carrier'</w:t>
            </w:r>
          </w:p>
        </w:tc>
      </w:tr>
    </w:tbl>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0A7EEE" w:rsidRDefault="000A7EEE" w:rsidP="000A7EEE">
      <w:pPr>
        <w:rPr>
          <w:b/>
        </w:rPr>
      </w:pPr>
      <w:r w:rsidRPr="00ED3339">
        <w:rPr>
          <w:b/>
        </w:rPr>
        <w:t>Proposed resolution:</w:t>
      </w:r>
    </w:p>
    <w:p w:rsidR="00461C51" w:rsidRDefault="00461C51" w:rsidP="008C6E60">
      <w:pPr>
        <w:autoSpaceDE w:val="0"/>
        <w:autoSpaceDN w:val="0"/>
        <w:adjustRightInd w:val="0"/>
        <w:rPr>
          <w:rFonts w:ascii="TimesNewRoman" w:hAnsi="TimesNewRoman" w:cs="TimesNewRoman"/>
          <w:sz w:val="20"/>
          <w:lang w:val="en-US"/>
        </w:rPr>
      </w:pPr>
    </w:p>
    <w:p w:rsidR="0099007F" w:rsidRDefault="00370A08" w:rsidP="008C6E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Change line </w:t>
      </w:r>
      <w:r w:rsidR="0099007F">
        <w:rPr>
          <w:rFonts w:ascii="TimesNewRoman" w:hAnsi="TimesNewRoman" w:cs="TimesNewRoman"/>
          <w:sz w:val="20"/>
          <w:lang w:val="en-US"/>
        </w:rPr>
        <w:t>30 to:  The transmitter center frequency maximum allowable deviation shall be ±20 parts per million (ppm) – or equivalently 0.002%.</w:t>
      </w:r>
    </w:p>
    <w:p w:rsidR="0099007F" w:rsidRDefault="0099007F" w:rsidP="008C6E60">
      <w:pPr>
        <w:autoSpaceDE w:val="0"/>
        <w:autoSpaceDN w:val="0"/>
        <w:adjustRightInd w:val="0"/>
        <w:rPr>
          <w:rFonts w:ascii="TimesNewRoman" w:hAnsi="TimesNewRoman" w:cs="TimesNewRoman"/>
          <w:sz w:val="20"/>
          <w:lang w:val="en-US"/>
        </w:rPr>
      </w:pPr>
    </w:p>
    <w:p w:rsidR="002D296E" w:rsidRDefault="002D296E" w:rsidP="002D29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Change second paragraph in the section to: </w:t>
      </w:r>
    </w:p>
    <w:p w:rsidR="002D296E" w:rsidRDefault="002D296E" w:rsidP="002D296E">
      <w:pPr>
        <w:autoSpaceDE w:val="0"/>
        <w:autoSpaceDN w:val="0"/>
        <w:adjustRightInd w:val="0"/>
        <w:rPr>
          <w:rFonts w:ascii="TimesNewRoman" w:hAnsi="TimesNewRoman" w:cs="TimesNewRoman"/>
          <w:sz w:val="20"/>
          <w:lang w:val="en-US"/>
        </w:rPr>
      </w:pPr>
    </w:p>
    <w:p w:rsidR="00461C51" w:rsidRDefault="000D0A3C" w:rsidP="008C6E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two separate LO are used to generate </w:t>
      </w:r>
      <w:r w:rsidR="002D296E">
        <w:rPr>
          <w:rFonts w:ascii="TimesNewRoman" w:hAnsi="TimesNewRoman" w:cs="TimesNewRoman"/>
          <w:sz w:val="20"/>
          <w:lang w:val="en-US"/>
        </w:rPr>
        <w:t xml:space="preserve">the lower and upper 80 MHz frequency portions of a </w:t>
      </w:r>
      <w:r>
        <w:rPr>
          <w:rFonts w:ascii="TimesNewRoman" w:hAnsi="TimesNewRoman" w:cs="TimesNewRoman"/>
          <w:sz w:val="20"/>
          <w:lang w:val="en-US"/>
        </w:rPr>
        <w:t xml:space="preserve">transmit </w:t>
      </w:r>
      <w:r w:rsidR="002D296E">
        <w:rPr>
          <w:rFonts w:ascii="TimesNewRoman" w:hAnsi="TimesNewRoman" w:cs="TimesNewRoman"/>
          <w:sz w:val="20"/>
          <w:lang w:val="en-US"/>
        </w:rPr>
        <w:t>signal with CH_BANDWIDTH parameter in the TXVECTOR set to HT_CBW160, HT_CBW80+80, N</w:t>
      </w:r>
      <w:r>
        <w:rPr>
          <w:rFonts w:ascii="TimesNewRoman" w:hAnsi="TimesNewRoman" w:cs="TimesNewRoman"/>
          <w:sz w:val="20"/>
          <w:lang w:val="en-US"/>
        </w:rPr>
        <w:t>ON_HT_CBW160 or NON_HT_CBW80+80 their phase shall not be required to be correlated.</w:t>
      </w: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40"/>
        <w:gridCol w:w="1960"/>
        <w:gridCol w:w="1120"/>
        <w:gridCol w:w="920"/>
        <w:gridCol w:w="820"/>
        <w:gridCol w:w="1540"/>
        <w:gridCol w:w="2700"/>
      </w:tblGrid>
      <w:tr w:rsidR="00752E2E" w:rsidRPr="00752E2E" w:rsidTr="00752E2E">
        <w:trPr>
          <w:trHeight w:val="1200"/>
        </w:trPr>
        <w:tc>
          <w:tcPr>
            <w:tcW w:w="1240" w:type="dxa"/>
            <w:tcBorders>
              <w:top w:val="nil"/>
              <w:left w:val="nil"/>
              <w:bottom w:val="nil"/>
              <w:right w:val="nil"/>
            </w:tcBorders>
            <w:shd w:val="clear" w:color="auto" w:fill="auto"/>
            <w:hideMark/>
          </w:tcPr>
          <w:p w:rsidR="00752E2E" w:rsidRPr="00752E2E" w:rsidRDefault="00752E2E" w:rsidP="00752E2E">
            <w:pPr>
              <w:jc w:val="right"/>
              <w:rPr>
                <w:rFonts w:ascii="Calibri" w:hAnsi="Calibri"/>
                <w:color w:val="000000"/>
                <w:szCs w:val="22"/>
                <w:lang w:val="en-US"/>
              </w:rPr>
            </w:pPr>
            <w:r w:rsidRPr="00752E2E">
              <w:rPr>
                <w:rFonts w:ascii="Calibri" w:hAnsi="Calibri"/>
                <w:color w:val="000000"/>
                <w:szCs w:val="22"/>
                <w:lang w:val="en-US"/>
              </w:rPr>
              <w:lastRenderedPageBreak/>
              <w:t>493</w:t>
            </w:r>
          </w:p>
        </w:tc>
        <w:tc>
          <w:tcPr>
            <w:tcW w:w="1960" w:type="dxa"/>
            <w:tcBorders>
              <w:top w:val="nil"/>
              <w:left w:val="nil"/>
              <w:bottom w:val="nil"/>
              <w:right w:val="nil"/>
            </w:tcBorders>
            <w:shd w:val="clear" w:color="auto" w:fill="auto"/>
            <w:hideMark/>
          </w:tcPr>
          <w:p w:rsidR="00752E2E" w:rsidRPr="00752E2E" w:rsidRDefault="00752E2E" w:rsidP="00752E2E">
            <w:pPr>
              <w:rPr>
                <w:rFonts w:ascii="Calibri" w:hAnsi="Calibri"/>
                <w:color w:val="000000"/>
                <w:szCs w:val="22"/>
                <w:lang w:val="en-US"/>
              </w:rPr>
            </w:pPr>
            <w:r w:rsidRPr="00752E2E">
              <w:rPr>
                <w:rFonts w:ascii="Calibri" w:hAnsi="Calibri"/>
                <w:color w:val="000000"/>
                <w:szCs w:val="22"/>
                <w:lang w:val="en-US"/>
              </w:rPr>
              <w:t>Hart, Brian</w:t>
            </w:r>
          </w:p>
        </w:tc>
        <w:tc>
          <w:tcPr>
            <w:tcW w:w="1120" w:type="dxa"/>
            <w:tcBorders>
              <w:top w:val="nil"/>
              <w:left w:val="nil"/>
              <w:bottom w:val="nil"/>
              <w:right w:val="nil"/>
            </w:tcBorders>
            <w:shd w:val="clear" w:color="auto" w:fill="auto"/>
            <w:hideMark/>
          </w:tcPr>
          <w:p w:rsidR="00752E2E" w:rsidRPr="00752E2E" w:rsidRDefault="00752E2E" w:rsidP="00752E2E">
            <w:pPr>
              <w:rPr>
                <w:rFonts w:ascii="Calibri" w:hAnsi="Calibri"/>
                <w:color w:val="000000"/>
                <w:szCs w:val="22"/>
                <w:lang w:val="en-US"/>
              </w:rPr>
            </w:pPr>
            <w:r w:rsidRPr="00752E2E">
              <w:rPr>
                <w:rFonts w:ascii="Calibri" w:hAnsi="Calibri"/>
                <w:color w:val="000000"/>
                <w:szCs w:val="22"/>
                <w:lang w:val="en-US"/>
              </w:rPr>
              <w:t>22.3.19.4</w:t>
            </w:r>
          </w:p>
        </w:tc>
        <w:tc>
          <w:tcPr>
            <w:tcW w:w="920" w:type="dxa"/>
            <w:tcBorders>
              <w:top w:val="nil"/>
              <w:left w:val="nil"/>
              <w:bottom w:val="nil"/>
              <w:right w:val="nil"/>
            </w:tcBorders>
            <w:shd w:val="clear" w:color="auto" w:fill="auto"/>
            <w:hideMark/>
          </w:tcPr>
          <w:p w:rsidR="00752E2E" w:rsidRPr="00752E2E" w:rsidRDefault="00752E2E" w:rsidP="00752E2E">
            <w:pPr>
              <w:rPr>
                <w:rFonts w:ascii="Calibri" w:hAnsi="Calibri"/>
                <w:color w:val="000000"/>
                <w:szCs w:val="22"/>
                <w:lang w:val="en-US"/>
              </w:rPr>
            </w:pPr>
            <w:r w:rsidRPr="00752E2E">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752E2E" w:rsidRPr="00752E2E" w:rsidRDefault="00752E2E" w:rsidP="00752E2E">
            <w:pPr>
              <w:rPr>
                <w:rFonts w:ascii="Calibri" w:hAnsi="Calibri"/>
                <w:color w:val="000000"/>
                <w:szCs w:val="22"/>
                <w:lang w:val="en-US"/>
              </w:rPr>
            </w:pPr>
            <w:r w:rsidRPr="00752E2E">
              <w:rPr>
                <w:rFonts w:ascii="Calibri" w:hAnsi="Calibri"/>
                <w:color w:val="000000"/>
                <w:szCs w:val="22"/>
                <w:lang w:val="en-US"/>
              </w:rPr>
              <w:t>43</w:t>
            </w:r>
          </w:p>
        </w:tc>
        <w:tc>
          <w:tcPr>
            <w:tcW w:w="1540" w:type="dxa"/>
            <w:tcBorders>
              <w:top w:val="nil"/>
              <w:left w:val="nil"/>
              <w:bottom w:val="nil"/>
              <w:right w:val="nil"/>
            </w:tcBorders>
            <w:shd w:val="clear" w:color="auto" w:fill="auto"/>
            <w:hideMark/>
          </w:tcPr>
          <w:p w:rsidR="00752E2E" w:rsidRPr="00752E2E" w:rsidRDefault="00752E2E" w:rsidP="00752E2E">
            <w:pPr>
              <w:rPr>
                <w:rFonts w:ascii="Calibri" w:hAnsi="Calibri"/>
                <w:color w:val="000000"/>
                <w:szCs w:val="22"/>
                <w:lang w:val="en-US"/>
              </w:rPr>
            </w:pPr>
            <w:r w:rsidRPr="00752E2E">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752E2E" w:rsidRDefault="00752E2E" w:rsidP="00752E2E">
            <w:pPr>
              <w:rPr>
                <w:rFonts w:ascii="Calibri" w:hAnsi="Calibri"/>
                <w:color w:val="000000"/>
                <w:szCs w:val="22"/>
                <w:lang w:val="en-US"/>
              </w:rPr>
            </w:pPr>
            <w:r w:rsidRPr="00752E2E">
              <w:rPr>
                <w:rFonts w:ascii="Calibri" w:hAnsi="Calibri"/>
                <w:color w:val="000000"/>
                <w:szCs w:val="22"/>
                <w:lang w:val="en-US"/>
              </w:rPr>
              <w:t>Signal extension is only required for 2.4 GHz, but 11ac is prohibited from operation in this band</w:t>
            </w:r>
          </w:p>
          <w:p w:rsidR="00752E2E" w:rsidRDefault="00752E2E" w:rsidP="00752E2E">
            <w:pPr>
              <w:rPr>
                <w:rFonts w:ascii="Calibri" w:hAnsi="Calibri"/>
                <w:color w:val="000000"/>
                <w:szCs w:val="22"/>
              </w:rPr>
            </w:pPr>
            <w:r>
              <w:rPr>
                <w:rFonts w:ascii="Calibri" w:hAnsi="Calibri"/>
                <w:color w:val="000000"/>
                <w:szCs w:val="22"/>
              </w:rPr>
              <w:t>Is this section even needed? Or at least note that it has no impact.</w:t>
            </w:r>
          </w:p>
          <w:p w:rsidR="00752E2E" w:rsidRPr="00752E2E" w:rsidRDefault="00752E2E" w:rsidP="00752E2E">
            <w:pPr>
              <w:rPr>
                <w:rFonts w:ascii="Calibri" w:hAnsi="Calibri"/>
                <w:color w:val="000000"/>
                <w:szCs w:val="22"/>
                <w:lang w:val="en-US"/>
              </w:rPr>
            </w:pPr>
          </w:p>
        </w:tc>
      </w:tr>
    </w:tbl>
    <w:p w:rsidR="00461C51" w:rsidRDefault="00461C51" w:rsidP="008C6E60">
      <w:pPr>
        <w:autoSpaceDE w:val="0"/>
        <w:autoSpaceDN w:val="0"/>
        <w:adjustRightInd w:val="0"/>
        <w:rPr>
          <w:rFonts w:ascii="TimesNewRoman" w:hAnsi="TimesNewRoman" w:cs="TimesNewRoman"/>
          <w:sz w:val="20"/>
          <w:lang w:val="en-US"/>
        </w:rPr>
      </w:pPr>
    </w:p>
    <w:p w:rsidR="00752E2E" w:rsidRDefault="00752E2E" w:rsidP="00752E2E">
      <w:pPr>
        <w:rPr>
          <w:b/>
        </w:rPr>
      </w:pPr>
      <w:r w:rsidRPr="00ED3339">
        <w:rPr>
          <w:b/>
        </w:rPr>
        <w:t>Proposed resolution:</w:t>
      </w:r>
    </w:p>
    <w:p w:rsidR="00461C51" w:rsidRDefault="00461C51" w:rsidP="008C6E60">
      <w:pPr>
        <w:autoSpaceDE w:val="0"/>
        <w:autoSpaceDN w:val="0"/>
        <w:adjustRightInd w:val="0"/>
        <w:rPr>
          <w:rFonts w:ascii="TimesNewRoman" w:hAnsi="TimesNewRoman" w:cs="TimesNewRoman"/>
          <w:sz w:val="20"/>
          <w:lang w:val="en-US"/>
        </w:rPr>
      </w:pPr>
    </w:p>
    <w:p w:rsidR="00752E2E" w:rsidRDefault="00752E2E" w:rsidP="008C6E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Remove the section</w:t>
      </w:r>
      <w:r w:rsidR="00691477">
        <w:rPr>
          <w:rFonts w:ascii="TimesNewRoman" w:hAnsi="TimesNewRoman" w:cs="TimesNewRoman"/>
          <w:sz w:val="20"/>
          <w:lang w:val="en-US"/>
        </w:rPr>
        <w:t>. CCK is not part of this amendment and therefore not needed.</w:t>
      </w:r>
    </w:p>
    <w:p w:rsidR="00752E2E" w:rsidRDefault="00752E2E" w:rsidP="008C6E60">
      <w:pPr>
        <w:autoSpaceDE w:val="0"/>
        <w:autoSpaceDN w:val="0"/>
        <w:adjustRightInd w:val="0"/>
        <w:rPr>
          <w:rFonts w:ascii="TimesNewRoman" w:hAnsi="TimesNewRoman" w:cs="TimesNewRoman"/>
          <w:sz w:val="20"/>
          <w:lang w:val="en-US"/>
        </w:rPr>
      </w:pPr>
    </w:p>
    <w:p w:rsidR="00752E2E" w:rsidRDefault="00752E2E" w:rsidP="008C6E60">
      <w:pPr>
        <w:autoSpaceDE w:val="0"/>
        <w:autoSpaceDN w:val="0"/>
        <w:adjustRightInd w:val="0"/>
        <w:rPr>
          <w:rFonts w:ascii="TimesNewRoman" w:hAnsi="TimesNewRoman" w:cs="TimesNewRoman"/>
          <w:sz w:val="20"/>
          <w:lang w:val="en-US"/>
        </w:rPr>
      </w:pPr>
    </w:p>
    <w:tbl>
      <w:tblPr>
        <w:tblW w:w="10300" w:type="dxa"/>
        <w:tblInd w:w="95" w:type="dxa"/>
        <w:tblLook w:val="04A0"/>
      </w:tblPr>
      <w:tblGrid>
        <w:gridCol w:w="1227"/>
        <w:gridCol w:w="1940"/>
        <w:gridCol w:w="1219"/>
        <w:gridCol w:w="913"/>
        <w:gridCol w:w="810"/>
        <w:gridCol w:w="1518"/>
        <w:gridCol w:w="2673"/>
      </w:tblGrid>
      <w:tr w:rsidR="00691477" w:rsidRPr="00691477" w:rsidTr="00DD0394">
        <w:trPr>
          <w:trHeight w:val="300"/>
        </w:trPr>
        <w:tc>
          <w:tcPr>
            <w:tcW w:w="1227" w:type="dxa"/>
            <w:tcBorders>
              <w:top w:val="nil"/>
              <w:left w:val="nil"/>
              <w:bottom w:val="nil"/>
              <w:right w:val="nil"/>
            </w:tcBorders>
            <w:shd w:val="clear" w:color="auto" w:fill="auto"/>
            <w:hideMark/>
          </w:tcPr>
          <w:p w:rsidR="00691477" w:rsidRPr="00691477" w:rsidRDefault="00691477" w:rsidP="00691477">
            <w:pPr>
              <w:jc w:val="right"/>
              <w:rPr>
                <w:rFonts w:ascii="Calibri" w:hAnsi="Calibri"/>
                <w:color w:val="000000"/>
                <w:szCs w:val="22"/>
                <w:lang w:val="en-US"/>
              </w:rPr>
            </w:pPr>
            <w:r w:rsidRPr="00691477">
              <w:rPr>
                <w:rFonts w:ascii="Calibri" w:hAnsi="Calibri"/>
                <w:color w:val="000000"/>
                <w:szCs w:val="22"/>
                <w:lang w:val="en-US"/>
              </w:rPr>
              <w:t>1700</w:t>
            </w:r>
          </w:p>
        </w:tc>
        <w:tc>
          <w:tcPr>
            <w:tcW w:w="1940" w:type="dxa"/>
            <w:tcBorders>
              <w:top w:val="nil"/>
              <w:left w:val="nil"/>
              <w:bottom w:val="nil"/>
              <w:right w:val="nil"/>
            </w:tcBorders>
            <w:shd w:val="clear" w:color="auto" w:fill="auto"/>
            <w:hideMark/>
          </w:tcPr>
          <w:p w:rsidR="00691477" w:rsidRPr="00691477" w:rsidRDefault="00691477" w:rsidP="00691477">
            <w:pPr>
              <w:rPr>
                <w:rFonts w:ascii="Calibri" w:hAnsi="Calibri"/>
                <w:color w:val="000000"/>
                <w:szCs w:val="22"/>
                <w:lang w:val="en-US"/>
              </w:rPr>
            </w:pPr>
            <w:r w:rsidRPr="00691477">
              <w:rPr>
                <w:rFonts w:ascii="Calibri" w:hAnsi="Calibri"/>
                <w:color w:val="000000"/>
                <w:szCs w:val="22"/>
                <w:lang w:val="en-US"/>
              </w:rPr>
              <w:t>Cheong, Minho</w:t>
            </w:r>
          </w:p>
        </w:tc>
        <w:tc>
          <w:tcPr>
            <w:tcW w:w="1219" w:type="dxa"/>
            <w:tcBorders>
              <w:top w:val="nil"/>
              <w:left w:val="nil"/>
              <w:bottom w:val="nil"/>
              <w:right w:val="nil"/>
            </w:tcBorders>
            <w:shd w:val="clear" w:color="auto" w:fill="auto"/>
            <w:hideMark/>
          </w:tcPr>
          <w:p w:rsidR="00691477" w:rsidRPr="00691477" w:rsidRDefault="00691477" w:rsidP="00691477">
            <w:pPr>
              <w:rPr>
                <w:rFonts w:ascii="Calibri" w:hAnsi="Calibri"/>
                <w:color w:val="000000"/>
                <w:szCs w:val="22"/>
                <w:lang w:val="en-US"/>
              </w:rPr>
            </w:pPr>
            <w:r w:rsidRPr="00691477">
              <w:rPr>
                <w:rFonts w:ascii="Calibri" w:hAnsi="Calibri"/>
                <w:color w:val="000000"/>
                <w:szCs w:val="22"/>
                <w:lang w:val="en-US"/>
              </w:rPr>
              <w:t>22.3.19.6.3</w:t>
            </w:r>
          </w:p>
        </w:tc>
        <w:tc>
          <w:tcPr>
            <w:tcW w:w="913" w:type="dxa"/>
            <w:tcBorders>
              <w:top w:val="nil"/>
              <w:left w:val="nil"/>
              <w:bottom w:val="nil"/>
              <w:right w:val="nil"/>
            </w:tcBorders>
            <w:shd w:val="clear" w:color="auto" w:fill="auto"/>
            <w:hideMark/>
          </w:tcPr>
          <w:p w:rsidR="00691477" w:rsidRPr="00691477" w:rsidRDefault="00691477" w:rsidP="00691477">
            <w:pPr>
              <w:rPr>
                <w:rFonts w:ascii="Calibri" w:hAnsi="Calibri"/>
                <w:color w:val="000000"/>
                <w:szCs w:val="22"/>
                <w:lang w:val="en-US"/>
              </w:rPr>
            </w:pPr>
            <w:r w:rsidRPr="00691477">
              <w:rPr>
                <w:rFonts w:ascii="Calibri" w:hAnsi="Calibri"/>
                <w:color w:val="000000"/>
                <w:szCs w:val="22"/>
                <w:lang w:val="en-US"/>
              </w:rPr>
              <w:t>141</w:t>
            </w:r>
          </w:p>
        </w:tc>
        <w:tc>
          <w:tcPr>
            <w:tcW w:w="810" w:type="dxa"/>
            <w:tcBorders>
              <w:top w:val="nil"/>
              <w:left w:val="nil"/>
              <w:bottom w:val="nil"/>
              <w:right w:val="nil"/>
            </w:tcBorders>
            <w:shd w:val="clear" w:color="auto" w:fill="auto"/>
            <w:hideMark/>
          </w:tcPr>
          <w:p w:rsidR="00691477" w:rsidRPr="00691477" w:rsidRDefault="00691477" w:rsidP="00691477">
            <w:pPr>
              <w:rPr>
                <w:rFonts w:ascii="Calibri" w:hAnsi="Calibri"/>
                <w:color w:val="000000"/>
                <w:szCs w:val="22"/>
                <w:lang w:val="en-US"/>
              </w:rPr>
            </w:pPr>
            <w:r w:rsidRPr="00691477">
              <w:rPr>
                <w:rFonts w:ascii="Calibri" w:hAnsi="Calibri"/>
                <w:color w:val="000000"/>
                <w:szCs w:val="22"/>
                <w:lang w:val="en-US"/>
              </w:rPr>
              <w:t>9</w:t>
            </w:r>
          </w:p>
        </w:tc>
        <w:tc>
          <w:tcPr>
            <w:tcW w:w="1518" w:type="dxa"/>
            <w:tcBorders>
              <w:top w:val="nil"/>
              <w:left w:val="nil"/>
              <w:bottom w:val="nil"/>
              <w:right w:val="nil"/>
            </w:tcBorders>
            <w:shd w:val="clear" w:color="auto" w:fill="auto"/>
            <w:hideMark/>
          </w:tcPr>
          <w:p w:rsidR="00691477" w:rsidRPr="00691477" w:rsidRDefault="00691477" w:rsidP="00691477">
            <w:pPr>
              <w:rPr>
                <w:rFonts w:ascii="Calibri" w:hAnsi="Calibri"/>
                <w:color w:val="000000"/>
                <w:szCs w:val="22"/>
                <w:lang w:val="en-US"/>
              </w:rPr>
            </w:pPr>
            <w:r w:rsidRPr="00691477">
              <w:rPr>
                <w:rFonts w:ascii="Calibri" w:hAnsi="Calibri"/>
                <w:color w:val="000000"/>
                <w:szCs w:val="22"/>
                <w:lang w:val="en-US"/>
              </w:rPr>
              <w:t>TR</w:t>
            </w:r>
          </w:p>
        </w:tc>
        <w:tc>
          <w:tcPr>
            <w:tcW w:w="2673" w:type="dxa"/>
            <w:tcBorders>
              <w:top w:val="nil"/>
              <w:left w:val="nil"/>
              <w:bottom w:val="nil"/>
              <w:right w:val="nil"/>
            </w:tcBorders>
            <w:shd w:val="clear" w:color="auto" w:fill="auto"/>
            <w:hideMark/>
          </w:tcPr>
          <w:p w:rsidR="00691477" w:rsidRDefault="00691477" w:rsidP="00691477">
            <w:pPr>
              <w:rPr>
                <w:rFonts w:ascii="Calibri" w:hAnsi="Calibri"/>
                <w:color w:val="000000"/>
                <w:szCs w:val="22"/>
                <w:lang w:val="en-US"/>
              </w:rPr>
            </w:pPr>
            <w:r w:rsidRPr="00691477">
              <w:rPr>
                <w:rFonts w:ascii="Calibri" w:hAnsi="Calibri"/>
                <w:color w:val="000000"/>
                <w:szCs w:val="22"/>
                <w:lang w:val="en-US"/>
              </w:rPr>
              <w:t>needs a explanatory note</w:t>
            </w:r>
          </w:p>
          <w:p w:rsidR="00691477" w:rsidRDefault="00691477" w:rsidP="00691477">
            <w:pPr>
              <w:rPr>
                <w:rFonts w:ascii="Calibri" w:hAnsi="Calibri"/>
                <w:color w:val="000000"/>
                <w:szCs w:val="22"/>
              </w:rPr>
            </w:pPr>
            <w:r>
              <w:rPr>
                <w:rFonts w:ascii="Calibri" w:hAnsi="Calibri"/>
                <w:color w:val="000000"/>
                <w:szCs w:val="22"/>
              </w:rPr>
              <w:t>N_SS=N_STS (no STBC)</w:t>
            </w:r>
          </w:p>
          <w:p w:rsidR="00691477" w:rsidRPr="00691477" w:rsidRDefault="00691477" w:rsidP="00691477">
            <w:pPr>
              <w:rPr>
                <w:rFonts w:ascii="Calibri" w:hAnsi="Calibri"/>
                <w:color w:val="000000"/>
                <w:szCs w:val="22"/>
                <w:lang w:val="en-US"/>
              </w:rPr>
            </w:pPr>
          </w:p>
        </w:tc>
      </w:tr>
    </w:tbl>
    <w:p w:rsidR="00DD0394" w:rsidRDefault="00DD0394" w:rsidP="00DD0394">
      <w:pPr>
        <w:rPr>
          <w:b/>
        </w:rPr>
      </w:pPr>
      <w:r w:rsidRPr="00ED3339">
        <w:rPr>
          <w:b/>
        </w:rPr>
        <w:t>Proposed resolution:</w:t>
      </w:r>
    </w:p>
    <w:p w:rsidR="00461C51" w:rsidRDefault="00461C51" w:rsidP="008C6E60">
      <w:pPr>
        <w:autoSpaceDE w:val="0"/>
        <w:autoSpaceDN w:val="0"/>
        <w:adjustRightInd w:val="0"/>
        <w:rPr>
          <w:rFonts w:ascii="TimesNewRoman" w:hAnsi="TimesNewRoman" w:cs="TimesNewRoman"/>
          <w:sz w:val="20"/>
          <w:lang w:val="en-US"/>
        </w:rPr>
      </w:pPr>
    </w:p>
    <w:p w:rsidR="00DD0394" w:rsidRDefault="00DD0394" w:rsidP="008C6E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Accept suggested remedy: add (no STBC).</w:t>
      </w:r>
    </w:p>
    <w:p w:rsidR="00DD0394" w:rsidRDefault="00DD0394" w:rsidP="008C6E60">
      <w:pPr>
        <w:autoSpaceDE w:val="0"/>
        <w:autoSpaceDN w:val="0"/>
        <w:adjustRightInd w:val="0"/>
        <w:rPr>
          <w:rFonts w:ascii="TimesNewRoman" w:hAnsi="TimesNewRoman" w:cs="TimesNewRoman"/>
          <w:sz w:val="20"/>
          <w:lang w:val="en-US"/>
        </w:rPr>
      </w:pPr>
    </w:p>
    <w:p w:rsidR="00DD0394" w:rsidRDefault="00DD0394"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26"/>
        <w:gridCol w:w="1936"/>
        <w:gridCol w:w="1219"/>
        <w:gridCol w:w="913"/>
        <w:gridCol w:w="813"/>
        <w:gridCol w:w="1519"/>
        <w:gridCol w:w="2674"/>
      </w:tblGrid>
      <w:tr w:rsidR="00D10E4A" w:rsidRPr="00D10E4A" w:rsidTr="00D10E4A">
        <w:trPr>
          <w:trHeight w:val="1800"/>
        </w:trPr>
        <w:tc>
          <w:tcPr>
            <w:tcW w:w="1240" w:type="dxa"/>
            <w:tcBorders>
              <w:top w:val="nil"/>
              <w:left w:val="nil"/>
              <w:bottom w:val="nil"/>
              <w:right w:val="nil"/>
            </w:tcBorders>
            <w:shd w:val="clear" w:color="auto" w:fill="auto"/>
            <w:hideMark/>
          </w:tcPr>
          <w:p w:rsidR="00D10E4A" w:rsidRPr="00D10E4A" w:rsidRDefault="00D10E4A" w:rsidP="00D10E4A">
            <w:pPr>
              <w:jc w:val="right"/>
              <w:rPr>
                <w:rFonts w:ascii="Calibri" w:hAnsi="Calibri"/>
                <w:color w:val="000000"/>
                <w:szCs w:val="22"/>
                <w:lang w:val="en-US"/>
              </w:rPr>
            </w:pPr>
            <w:r w:rsidRPr="00D10E4A">
              <w:rPr>
                <w:rFonts w:ascii="Calibri" w:hAnsi="Calibri"/>
                <w:color w:val="000000"/>
                <w:szCs w:val="22"/>
                <w:lang w:val="en-US"/>
              </w:rPr>
              <w:t>494</w:t>
            </w:r>
          </w:p>
        </w:tc>
        <w:tc>
          <w:tcPr>
            <w:tcW w:w="1960" w:type="dxa"/>
            <w:tcBorders>
              <w:top w:val="nil"/>
              <w:left w:val="nil"/>
              <w:bottom w:val="nil"/>
              <w:right w:val="nil"/>
            </w:tcBorders>
            <w:shd w:val="clear" w:color="auto" w:fill="auto"/>
            <w:hideMark/>
          </w:tcPr>
          <w:p w:rsidR="00D10E4A" w:rsidRPr="00D10E4A" w:rsidRDefault="00D10E4A" w:rsidP="00D10E4A">
            <w:pPr>
              <w:rPr>
                <w:rFonts w:ascii="Calibri" w:hAnsi="Calibri"/>
                <w:color w:val="000000"/>
                <w:szCs w:val="22"/>
                <w:lang w:val="en-US"/>
              </w:rPr>
            </w:pPr>
            <w:r w:rsidRPr="00D10E4A">
              <w:rPr>
                <w:rFonts w:ascii="Calibri" w:hAnsi="Calibri"/>
                <w:color w:val="000000"/>
                <w:szCs w:val="22"/>
                <w:lang w:val="en-US"/>
              </w:rPr>
              <w:t>Hart, Brian</w:t>
            </w:r>
          </w:p>
        </w:tc>
        <w:tc>
          <w:tcPr>
            <w:tcW w:w="1120" w:type="dxa"/>
            <w:tcBorders>
              <w:top w:val="nil"/>
              <w:left w:val="nil"/>
              <w:bottom w:val="nil"/>
              <w:right w:val="nil"/>
            </w:tcBorders>
            <w:shd w:val="clear" w:color="auto" w:fill="auto"/>
            <w:hideMark/>
          </w:tcPr>
          <w:p w:rsidR="00D10E4A" w:rsidRPr="00D10E4A" w:rsidRDefault="00D10E4A" w:rsidP="00D10E4A">
            <w:pPr>
              <w:rPr>
                <w:rFonts w:ascii="Calibri" w:hAnsi="Calibri"/>
                <w:color w:val="000000"/>
                <w:szCs w:val="22"/>
                <w:lang w:val="en-US"/>
              </w:rPr>
            </w:pPr>
            <w:r w:rsidRPr="00D10E4A">
              <w:rPr>
                <w:rFonts w:ascii="Calibri" w:hAnsi="Calibri"/>
                <w:color w:val="000000"/>
                <w:szCs w:val="22"/>
                <w:lang w:val="en-US"/>
              </w:rPr>
              <w:t>22.3.19.6.4</w:t>
            </w:r>
          </w:p>
        </w:tc>
        <w:tc>
          <w:tcPr>
            <w:tcW w:w="920" w:type="dxa"/>
            <w:tcBorders>
              <w:top w:val="nil"/>
              <w:left w:val="nil"/>
              <w:bottom w:val="nil"/>
              <w:right w:val="nil"/>
            </w:tcBorders>
            <w:shd w:val="clear" w:color="auto" w:fill="auto"/>
            <w:hideMark/>
          </w:tcPr>
          <w:p w:rsidR="00D10E4A" w:rsidRPr="00D10E4A" w:rsidRDefault="00D10E4A" w:rsidP="00D10E4A">
            <w:pPr>
              <w:rPr>
                <w:rFonts w:ascii="Calibri" w:hAnsi="Calibri"/>
                <w:color w:val="000000"/>
                <w:szCs w:val="22"/>
                <w:lang w:val="en-US"/>
              </w:rPr>
            </w:pPr>
            <w:r w:rsidRPr="00D10E4A">
              <w:rPr>
                <w:rFonts w:ascii="Calibri" w:hAnsi="Calibri"/>
                <w:color w:val="000000"/>
                <w:szCs w:val="22"/>
                <w:lang w:val="en-US"/>
              </w:rPr>
              <w:t>141</w:t>
            </w:r>
          </w:p>
        </w:tc>
        <w:tc>
          <w:tcPr>
            <w:tcW w:w="820" w:type="dxa"/>
            <w:tcBorders>
              <w:top w:val="nil"/>
              <w:left w:val="nil"/>
              <w:bottom w:val="nil"/>
              <w:right w:val="nil"/>
            </w:tcBorders>
            <w:shd w:val="clear" w:color="auto" w:fill="auto"/>
            <w:hideMark/>
          </w:tcPr>
          <w:p w:rsidR="00D10E4A" w:rsidRPr="00D10E4A" w:rsidRDefault="00D10E4A" w:rsidP="00D10E4A">
            <w:pPr>
              <w:rPr>
                <w:rFonts w:ascii="Calibri" w:hAnsi="Calibri"/>
                <w:color w:val="000000"/>
                <w:szCs w:val="22"/>
                <w:lang w:val="en-US"/>
              </w:rPr>
            </w:pPr>
            <w:r w:rsidRPr="00D10E4A">
              <w:rPr>
                <w:rFonts w:ascii="Calibri" w:hAnsi="Calibri"/>
                <w:color w:val="000000"/>
                <w:szCs w:val="22"/>
                <w:lang w:val="en-US"/>
              </w:rPr>
              <w:t>40</w:t>
            </w:r>
          </w:p>
        </w:tc>
        <w:tc>
          <w:tcPr>
            <w:tcW w:w="1540" w:type="dxa"/>
            <w:tcBorders>
              <w:top w:val="nil"/>
              <w:left w:val="nil"/>
              <w:bottom w:val="nil"/>
              <w:right w:val="nil"/>
            </w:tcBorders>
            <w:shd w:val="clear" w:color="auto" w:fill="auto"/>
            <w:hideMark/>
          </w:tcPr>
          <w:p w:rsidR="00D10E4A" w:rsidRPr="00D10E4A" w:rsidRDefault="00D10E4A" w:rsidP="00D10E4A">
            <w:pPr>
              <w:rPr>
                <w:rFonts w:ascii="Calibri" w:hAnsi="Calibri"/>
                <w:color w:val="000000"/>
                <w:szCs w:val="22"/>
                <w:lang w:val="en-US"/>
              </w:rPr>
            </w:pPr>
            <w:r w:rsidRPr="00D10E4A">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D10E4A" w:rsidRPr="00D10E4A" w:rsidRDefault="00D10E4A" w:rsidP="00D10E4A">
            <w:pPr>
              <w:rPr>
                <w:rFonts w:ascii="Calibri" w:hAnsi="Calibri"/>
                <w:color w:val="000000"/>
                <w:szCs w:val="22"/>
                <w:lang w:val="en-US"/>
              </w:rPr>
            </w:pPr>
            <w:r w:rsidRPr="00D10E4A">
              <w:rPr>
                <w:rFonts w:ascii="Calibri" w:hAnsi="Calibri"/>
                <w:color w:val="000000"/>
                <w:szCs w:val="22"/>
                <w:lang w:val="en-US"/>
              </w:rPr>
              <w:t>Non-contiguous is an exception to the previous para, so need to run them together "being transmitted; excepting that for non-contiguous …"</w:t>
            </w:r>
          </w:p>
        </w:tc>
      </w:tr>
    </w:tbl>
    <w:p w:rsidR="00D10E4A" w:rsidRDefault="00D10E4A" w:rsidP="008C6E60">
      <w:pPr>
        <w:autoSpaceDE w:val="0"/>
        <w:autoSpaceDN w:val="0"/>
        <w:adjustRightInd w:val="0"/>
        <w:rPr>
          <w:rFonts w:ascii="TimesNewRoman" w:hAnsi="TimesNewRoman" w:cs="TimesNewRoman"/>
          <w:sz w:val="20"/>
          <w:lang w:val="en-US"/>
        </w:rPr>
      </w:pPr>
    </w:p>
    <w:p w:rsidR="00461C51" w:rsidRDefault="005573E8" w:rsidP="008C6E60">
      <w:pPr>
        <w:autoSpaceDE w:val="0"/>
        <w:autoSpaceDN w:val="0"/>
        <w:adjustRightInd w:val="0"/>
        <w:rPr>
          <w:b/>
        </w:rPr>
      </w:pPr>
      <w:r w:rsidRPr="00ED3339">
        <w:rPr>
          <w:b/>
        </w:rPr>
        <w:t>Proposed resolution:</w:t>
      </w:r>
    </w:p>
    <w:p w:rsidR="005573E8" w:rsidRDefault="005573E8" w:rsidP="008C6E60">
      <w:pPr>
        <w:autoSpaceDE w:val="0"/>
        <w:autoSpaceDN w:val="0"/>
        <w:adjustRightInd w:val="0"/>
        <w:rPr>
          <w:b/>
        </w:rPr>
      </w:pPr>
    </w:p>
    <w:p w:rsidR="005573E8" w:rsidRPr="005573E8" w:rsidRDefault="005573E8" w:rsidP="008C6E60">
      <w:pPr>
        <w:autoSpaceDE w:val="0"/>
        <w:autoSpaceDN w:val="0"/>
        <w:adjustRightInd w:val="0"/>
        <w:rPr>
          <w:rFonts w:ascii="TimesNewRoman" w:hAnsi="TimesNewRoman" w:cs="TimesNewRoman"/>
          <w:sz w:val="20"/>
          <w:lang w:val="en-US"/>
        </w:rPr>
      </w:pPr>
      <w:r>
        <w:t>Accept. Add to line 37 :  “...except for non-contiguous transmission”</w:t>
      </w:r>
    </w:p>
    <w:p w:rsidR="00461C51" w:rsidRDefault="00461C51" w:rsidP="008C6E60">
      <w:pPr>
        <w:autoSpaceDE w:val="0"/>
        <w:autoSpaceDN w:val="0"/>
        <w:adjustRightInd w:val="0"/>
        <w:rPr>
          <w:rFonts w:ascii="TimesNewRoman" w:hAnsi="TimesNewRoman" w:cs="TimesNewRoman"/>
          <w:sz w:val="20"/>
          <w:lang w:val="en-US"/>
        </w:rPr>
      </w:pPr>
    </w:p>
    <w:p w:rsidR="00461C51" w:rsidRDefault="00461C51" w:rsidP="008C6E60">
      <w:pPr>
        <w:autoSpaceDE w:val="0"/>
        <w:autoSpaceDN w:val="0"/>
        <w:adjustRightInd w:val="0"/>
        <w:rPr>
          <w:rFonts w:ascii="TimesNewRoman" w:hAnsi="TimesNewRoman" w:cs="TimesNewRoman"/>
          <w:sz w:val="20"/>
          <w:lang w:val="en-US"/>
        </w:rPr>
      </w:pPr>
    </w:p>
    <w:p w:rsidR="005573E8" w:rsidRDefault="005573E8" w:rsidP="008C6E60">
      <w:pPr>
        <w:autoSpaceDE w:val="0"/>
        <w:autoSpaceDN w:val="0"/>
        <w:adjustRightInd w:val="0"/>
        <w:rPr>
          <w:rFonts w:ascii="TimesNewRoman" w:hAnsi="TimesNewRoman" w:cs="TimesNewRoman"/>
          <w:sz w:val="20"/>
          <w:lang w:val="en-US"/>
        </w:rPr>
      </w:pPr>
    </w:p>
    <w:p w:rsidR="005573E8" w:rsidRDefault="005573E8" w:rsidP="008C6E60">
      <w:pPr>
        <w:autoSpaceDE w:val="0"/>
        <w:autoSpaceDN w:val="0"/>
        <w:adjustRightInd w:val="0"/>
        <w:rPr>
          <w:rFonts w:ascii="TimesNewRoman" w:hAnsi="TimesNewRoman" w:cs="TimesNewRoman"/>
          <w:sz w:val="20"/>
          <w:lang w:val="en-US"/>
        </w:rPr>
      </w:pPr>
    </w:p>
    <w:tbl>
      <w:tblPr>
        <w:tblW w:w="10300" w:type="dxa"/>
        <w:tblInd w:w="94" w:type="dxa"/>
        <w:tblLook w:val="04A0"/>
      </w:tblPr>
      <w:tblGrid>
        <w:gridCol w:w="1226"/>
        <w:gridCol w:w="1934"/>
        <w:gridCol w:w="1219"/>
        <w:gridCol w:w="912"/>
        <w:gridCol w:w="812"/>
        <w:gridCol w:w="1517"/>
        <w:gridCol w:w="2680"/>
      </w:tblGrid>
      <w:tr w:rsidR="005573E8" w:rsidRPr="005573E8" w:rsidTr="005573E8">
        <w:trPr>
          <w:trHeight w:val="2100"/>
        </w:trPr>
        <w:tc>
          <w:tcPr>
            <w:tcW w:w="1240" w:type="dxa"/>
            <w:tcBorders>
              <w:top w:val="nil"/>
              <w:left w:val="nil"/>
              <w:bottom w:val="nil"/>
              <w:right w:val="nil"/>
            </w:tcBorders>
            <w:shd w:val="clear" w:color="auto" w:fill="auto"/>
            <w:hideMark/>
          </w:tcPr>
          <w:p w:rsidR="005573E8" w:rsidRPr="005573E8" w:rsidRDefault="005573E8" w:rsidP="005573E8">
            <w:pPr>
              <w:jc w:val="right"/>
              <w:rPr>
                <w:rFonts w:ascii="Calibri" w:hAnsi="Calibri"/>
                <w:color w:val="000000"/>
                <w:szCs w:val="22"/>
                <w:lang w:val="en-US"/>
              </w:rPr>
            </w:pPr>
            <w:r w:rsidRPr="005573E8">
              <w:rPr>
                <w:rFonts w:ascii="Calibri" w:hAnsi="Calibri"/>
                <w:color w:val="000000"/>
                <w:szCs w:val="22"/>
                <w:lang w:val="en-US"/>
              </w:rPr>
              <w:t>496</w:t>
            </w:r>
          </w:p>
        </w:tc>
        <w:tc>
          <w:tcPr>
            <w:tcW w:w="1960" w:type="dxa"/>
            <w:tcBorders>
              <w:top w:val="nil"/>
              <w:left w:val="nil"/>
              <w:bottom w:val="nil"/>
              <w:right w:val="nil"/>
            </w:tcBorders>
            <w:shd w:val="clear" w:color="auto" w:fill="auto"/>
            <w:hideMark/>
          </w:tcPr>
          <w:p w:rsidR="005573E8" w:rsidRPr="005573E8" w:rsidRDefault="005573E8" w:rsidP="005573E8">
            <w:pPr>
              <w:rPr>
                <w:rFonts w:ascii="Calibri" w:hAnsi="Calibri"/>
                <w:color w:val="000000"/>
                <w:szCs w:val="22"/>
                <w:lang w:val="en-US"/>
              </w:rPr>
            </w:pPr>
            <w:r w:rsidRPr="005573E8">
              <w:rPr>
                <w:rFonts w:ascii="Calibri" w:hAnsi="Calibri"/>
                <w:color w:val="000000"/>
                <w:szCs w:val="22"/>
                <w:lang w:val="en-US"/>
              </w:rPr>
              <w:t>Hart, Brian</w:t>
            </w:r>
          </w:p>
        </w:tc>
        <w:tc>
          <w:tcPr>
            <w:tcW w:w="1120" w:type="dxa"/>
            <w:tcBorders>
              <w:top w:val="nil"/>
              <w:left w:val="nil"/>
              <w:bottom w:val="nil"/>
              <w:right w:val="nil"/>
            </w:tcBorders>
            <w:shd w:val="clear" w:color="auto" w:fill="auto"/>
            <w:hideMark/>
          </w:tcPr>
          <w:p w:rsidR="005573E8" w:rsidRPr="005573E8" w:rsidRDefault="005573E8" w:rsidP="005573E8">
            <w:pPr>
              <w:rPr>
                <w:rFonts w:ascii="Calibri" w:hAnsi="Calibri"/>
                <w:color w:val="000000"/>
                <w:szCs w:val="22"/>
                <w:lang w:val="en-US"/>
              </w:rPr>
            </w:pPr>
            <w:r w:rsidRPr="005573E8">
              <w:rPr>
                <w:rFonts w:ascii="Calibri" w:hAnsi="Calibri"/>
                <w:color w:val="000000"/>
                <w:szCs w:val="22"/>
                <w:lang w:val="en-US"/>
              </w:rPr>
              <w:t>22.3.19.6.4</w:t>
            </w:r>
          </w:p>
        </w:tc>
        <w:tc>
          <w:tcPr>
            <w:tcW w:w="920" w:type="dxa"/>
            <w:tcBorders>
              <w:top w:val="nil"/>
              <w:left w:val="nil"/>
              <w:bottom w:val="nil"/>
              <w:right w:val="nil"/>
            </w:tcBorders>
            <w:shd w:val="clear" w:color="auto" w:fill="auto"/>
            <w:hideMark/>
          </w:tcPr>
          <w:p w:rsidR="005573E8" w:rsidRPr="005573E8" w:rsidRDefault="005573E8" w:rsidP="005573E8">
            <w:pPr>
              <w:rPr>
                <w:rFonts w:ascii="Calibri" w:hAnsi="Calibri"/>
                <w:color w:val="000000"/>
                <w:szCs w:val="22"/>
                <w:lang w:val="en-US"/>
              </w:rPr>
            </w:pPr>
            <w:r w:rsidRPr="005573E8">
              <w:rPr>
                <w:rFonts w:ascii="Calibri" w:hAnsi="Calibri"/>
                <w:color w:val="000000"/>
                <w:szCs w:val="22"/>
                <w:lang w:val="en-US"/>
              </w:rPr>
              <w:t>141</w:t>
            </w:r>
          </w:p>
        </w:tc>
        <w:tc>
          <w:tcPr>
            <w:tcW w:w="820" w:type="dxa"/>
            <w:tcBorders>
              <w:top w:val="nil"/>
              <w:left w:val="nil"/>
              <w:bottom w:val="nil"/>
              <w:right w:val="nil"/>
            </w:tcBorders>
            <w:shd w:val="clear" w:color="auto" w:fill="auto"/>
            <w:hideMark/>
          </w:tcPr>
          <w:p w:rsidR="005573E8" w:rsidRPr="005573E8" w:rsidRDefault="005573E8" w:rsidP="005573E8">
            <w:pPr>
              <w:rPr>
                <w:rFonts w:ascii="Calibri" w:hAnsi="Calibri"/>
                <w:color w:val="000000"/>
                <w:szCs w:val="22"/>
                <w:lang w:val="en-US"/>
              </w:rPr>
            </w:pPr>
            <w:r w:rsidRPr="005573E8">
              <w:rPr>
                <w:rFonts w:ascii="Calibri" w:hAnsi="Calibri"/>
                <w:color w:val="000000"/>
                <w:szCs w:val="22"/>
                <w:lang w:val="en-US"/>
              </w:rPr>
              <w:t>54</w:t>
            </w:r>
          </w:p>
        </w:tc>
        <w:tc>
          <w:tcPr>
            <w:tcW w:w="1540" w:type="dxa"/>
            <w:tcBorders>
              <w:top w:val="nil"/>
              <w:left w:val="nil"/>
              <w:bottom w:val="nil"/>
              <w:right w:val="nil"/>
            </w:tcBorders>
            <w:shd w:val="clear" w:color="auto" w:fill="auto"/>
            <w:hideMark/>
          </w:tcPr>
          <w:p w:rsidR="005573E8" w:rsidRPr="005573E8" w:rsidRDefault="005573E8" w:rsidP="005573E8">
            <w:pPr>
              <w:rPr>
                <w:rFonts w:ascii="Calibri" w:hAnsi="Calibri"/>
                <w:color w:val="000000"/>
                <w:szCs w:val="22"/>
                <w:lang w:val="en-US"/>
              </w:rPr>
            </w:pPr>
            <w:r w:rsidRPr="005573E8">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5573E8" w:rsidRDefault="005573E8" w:rsidP="005573E8">
            <w:pPr>
              <w:rPr>
                <w:rFonts w:ascii="Calibri" w:hAnsi="Calibri"/>
                <w:color w:val="000000"/>
                <w:szCs w:val="22"/>
                <w:lang w:val="en-US"/>
              </w:rPr>
            </w:pPr>
            <w:r w:rsidRPr="005573E8">
              <w:rPr>
                <w:rFonts w:ascii="Calibri" w:hAnsi="Calibri"/>
                <w:color w:val="000000"/>
                <w:szCs w:val="22"/>
                <w:lang w:val="en-US"/>
              </w:rPr>
              <w:t>One sample resolution is overkill of a 160 MHz packet, given that the GI duration hasn't changed. And many implementations process the primary only</w:t>
            </w:r>
          </w:p>
          <w:p w:rsidR="005573E8" w:rsidRDefault="005573E8" w:rsidP="005573E8">
            <w:pPr>
              <w:rPr>
                <w:rFonts w:ascii="Calibri" w:hAnsi="Calibri"/>
                <w:color w:val="000000"/>
                <w:szCs w:val="22"/>
              </w:rPr>
            </w:pPr>
            <w:r>
              <w:rPr>
                <w:rFonts w:ascii="Calibri" w:hAnsi="Calibri"/>
                <w:color w:val="000000"/>
                <w:szCs w:val="22"/>
              </w:rPr>
              <w:t>change to "with 50 ns resolution"</w:t>
            </w:r>
          </w:p>
          <w:p w:rsidR="005573E8" w:rsidRDefault="005573E8" w:rsidP="005573E8">
            <w:pPr>
              <w:rPr>
                <w:rFonts w:ascii="Calibri" w:hAnsi="Calibri"/>
                <w:color w:val="000000"/>
                <w:szCs w:val="22"/>
              </w:rPr>
            </w:pPr>
          </w:p>
          <w:p w:rsidR="005573E8" w:rsidRDefault="005573E8" w:rsidP="005573E8">
            <w:pPr>
              <w:rPr>
                <w:rFonts w:ascii="Calibri" w:hAnsi="Calibri"/>
                <w:color w:val="000000"/>
                <w:szCs w:val="22"/>
              </w:rPr>
            </w:pPr>
          </w:p>
          <w:p w:rsidR="005573E8" w:rsidRPr="005573E8" w:rsidRDefault="005573E8" w:rsidP="005573E8">
            <w:pPr>
              <w:rPr>
                <w:rFonts w:ascii="Calibri" w:hAnsi="Calibri"/>
                <w:color w:val="000000"/>
                <w:szCs w:val="22"/>
              </w:rPr>
            </w:pPr>
            <w:r w:rsidRPr="005573E8">
              <w:rPr>
                <w:rFonts w:ascii="Calibri" w:hAnsi="Calibri"/>
                <w:color w:val="000000"/>
                <w:szCs w:val="22"/>
                <w:lang w:val="en-US"/>
              </w:rPr>
              <w:t xml:space="preserve"> </w:t>
            </w:r>
          </w:p>
        </w:tc>
      </w:tr>
    </w:tbl>
    <w:p w:rsidR="00461C51" w:rsidRPr="008C6E60" w:rsidRDefault="00461C51" w:rsidP="008C6E60">
      <w:pPr>
        <w:autoSpaceDE w:val="0"/>
        <w:autoSpaceDN w:val="0"/>
        <w:adjustRightInd w:val="0"/>
        <w:rPr>
          <w:rFonts w:ascii="TimesNewRoman" w:hAnsi="TimesNewRoman" w:cs="TimesNewRoman"/>
          <w:sz w:val="20"/>
          <w:lang w:val="en-US"/>
        </w:rPr>
      </w:pPr>
    </w:p>
    <w:p w:rsidR="005573E8" w:rsidRDefault="005573E8" w:rsidP="005573E8">
      <w:pPr>
        <w:autoSpaceDE w:val="0"/>
        <w:autoSpaceDN w:val="0"/>
        <w:adjustRightInd w:val="0"/>
        <w:rPr>
          <w:b/>
        </w:rPr>
      </w:pPr>
      <w:r w:rsidRPr="00ED3339">
        <w:rPr>
          <w:b/>
        </w:rPr>
        <w:t>Proposed resolution:</w:t>
      </w:r>
    </w:p>
    <w:p w:rsidR="005573E8" w:rsidRDefault="005573E8" w:rsidP="005573E8">
      <w:pPr>
        <w:autoSpaceDE w:val="0"/>
        <w:autoSpaceDN w:val="0"/>
        <w:adjustRightInd w:val="0"/>
        <w:rPr>
          <w:b/>
        </w:rPr>
      </w:pPr>
    </w:p>
    <w:p w:rsidR="008C6E60" w:rsidRDefault="00395BD8" w:rsidP="005573E8">
      <w:r>
        <w:lastRenderedPageBreak/>
        <w:t>Remove text: “(with one sample resolution)”.   No need to specify resolution of timing acquisition.</w:t>
      </w:r>
    </w:p>
    <w:p w:rsidR="00E55F9A" w:rsidRDefault="00E55F9A" w:rsidP="005573E8"/>
    <w:p w:rsidR="00E55F9A" w:rsidRDefault="00E55F9A" w:rsidP="005573E8"/>
    <w:p w:rsidR="00E55F9A" w:rsidRDefault="00E55F9A" w:rsidP="005573E8"/>
    <w:tbl>
      <w:tblPr>
        <w:tblW w:w="10300" w:type="dxa"/>
        <w:tblInd w:w="94" w:type="dxa"/>
        <w:tblLook w:val="04A0"/>
      </w:tblPr>
      <w:tblGrid>
        <w:gridCol w:w="1225"/>
        <w:gridCol w:w="1949"/>
        <w:gridCol w:w="1219"/>
        <w:gridCol w:w="911"/>
        <w:gridCol w:w="811"/>
        <w:gridCol w:w="1513"/>
        <w:gridCol w:w="2672"/>
      </w:tblGrid>
      <w:tr w:rsidR="00E55F9A" w:rsidRPr="00E55F9A" w:rsidTr="00411E02">
        <w:trPr>
          <w:trHeight w:val="2700"/>
        </w:trPr>
        <w:tc>
          <w:tcPr>
            <w:tcW w:w="1225" w:type="dxa"/>
            <w:tcBorders>
              <w:top w:val="nil"/>
              <w:left w:val="nil"/>
              <w:bottom w:val="nil"/>
              <w:right w:val="nil"/>
            </w:tcBorders>
            <w:shd w:val="clear" w:color="auto" w:fill="auto"/>
            <w:hideMark/>
          </w:tcPr>
          <w:p w:rsidR="00E55F9A" w:rsidRPr="00E55F9A" w:rsidRDefault="00E55F9A" w:rsidP="00E55F9A">
            <w:pPr>
              <w:jc w:val="right"/>
              <w:rPr>
                <w:rFonts w:ascii="Calibri" w:hAnsi="Calibri"/>
                <w:color w:val="000000"/>
                <w:szCs w:val="22"/>
                <w:lang w:val="en-US"/>
              </w:rPr>
            </w:pPr>
            <w:r w:rsidRPr="00E55F9A">
              <w:rPr>
                <w:rFonts w:ascii="Calibri" w:hAnsi="Calibri"/>
                <w:color w:val="000000"/>
                <w:szCs w:val="22"/>
                <w:lang w:val="en-US"/>
              </w:rPr>
              <w:t>905</w:t>
            </w:r>
          </w:p>
        </w:tc>
        <w:tc>
          <w:tcPr>
            <w:tcW w:w="1949"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Pulikkoonattu, Rethna</w:t>
            </w:r>
          </w:p>
        </w:tc>
        <w:tc>
          <w:tcPr>
            <w:tcW w:w="1219"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22.3.19.6.4</w:t>
            </w:r>
          </w:p>
        </w:tc>
        <w:tc>
          <w:tcPr>
            <w:tcW w:w="911"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142</w:t>
            </w:r>
          </w:p>
        </w:tc>
        <w:tc>
          <w:tcPr>
            <w:tcW w:w="811"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9</w:t>
            </w:r>
          </w:p>
        </w:tc>
        <w:tc>
          <w:tcPr>
            <w:tcW w:w="1513"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TR</w:t>
            </w:r>
          </w:p>
        </w:tc>
        <w:tc>
          <w:tcPr>
            <w:tcW w:w="2672" w:type="dxa"/>
            <w:tcBorders>
              <w:top w:val="nil"/>
              <w:left w:val="nil"/>
              <w:bottom w:val="nil"/>
              <w:right w:val="nil"/>
            </w:tcBorders>
            <w:shd w:val="clear" w:color="auto" w:fill="auto"/>
            <w:hideMark/>
          </w:tcPr>
          <w:p w:rsidR="00E55F9A" w:rsidRDefault="00E55F9A" w:rsidP="00E55F9A">
            <w:pPr>
              <w:rPr>
                <w:rFonts w:ascii="Calibri" w:hAnsi="Calibri"/>
                <w:color w:val="000000"/>
                <w:szCs w:val="22"/>
                <w:lang w:val="en-US"/>
              </w:rPr>
            </w:pPr>
            <w:r w:rsidRPr="00E55F9A">
              <w:rPr>
                <w:rFonts w:ascii="Calibri" w:hAnsi="Calibri"/>
                <w:color w:val="000000"/>
                <w:szCs w:val="22"/>
                <w:lang w:val="en-US"/>
              </w:rPr>
              <w:t>How about adding a clause on EVM measurement on the normalization? Say for instance, i) Approporate normalization of the constellation is performed before computing the RMS</w:t>
            </w:r>
          </w:p>
          <w:p w:rsidR="005A62A5" w:rsidRDefault="005A62A5" w:rsidP="005A62A5">
            <w:pPr>
              <w:rPr>
                <w:rFonts w:ascii="Calibri" w:hAnsi="Calibri"/>
                <w:color w:val="000000"/>
                <w:szCs w:val="22"/>
              </w:rPr>
            </w:pPr>
            <w:r>
              <w:rPr>
                <w:rFonts w:ascii="Calibri" w:hAnsi="Calibri"/>
                <w:color w:val="000000"/>
                <w:szCs w:val="22"/>
              </w:rPr>
              <w:t xml:space="preserve">This is kind of already done and may be obvious. An explicit addition may provide a means to quantify the constellation error for not only additive noise, but others too such as phase noise and various known RF impairments. </w:t>
            </w:r>
          </w:p>
          <w:p w:rsidR="005A62A5" w:rsidRPr="00E55F9A" w:rsidRDefault="005A62A5" w:rsidP="00E55F9A">
            <w:pPr>
              <w:rPr>
                <w:rFonts w:ascii="Calibri" w:hAnsi="Calibri"/>
                <w:color w:val="000000"/>
                <w:szCs w:val="22"/>
                <w:lang w:val="en-US"/>
              </w:rPr>
            </w:pPr>
          </w:p>
        </w:tc>
      </w:tr>
      <w:tr w:rsidR="00E55F9A" w:rsidRPr="00E55F9A" w:rsidTr="00411E02">
        <w:trPr>
          <w:trHeight w:val="600"/>
        </w:trPr>
        <w:tc>
          <w:tcPr>
            <w:tcW w:w="1225" w:type="dxa"/>
            <w:tcBorders>
              <w:top w:val="nil"/>
              <w:left w:val="nil"/>
              <w:bottom w:val="nil"/>
              <w:right w:val="nil"/>
            </w:tcBorders>
            <w:shd w:val="clear" w:color="auto" w:fill="auto"/>
            <w:hideMark/>
          </w:tcPr>
          <w:p w:rsidR="00E55F9A" w:rsidRPr="00E55F9A" w:rsidRDefault="00E55F9A" w:rsidP="00E55F9A">
            <w:pPr>
              <w:jc w:val="right"/>
              <w:rPr>
                <w:rFonts w:ascii="Calibri" w:hAnsi="Calibri"/>
                <w:color w:val="000000"/>
                <w:szCs w:val="22"/>
                <w:lang w:val="en-US"/>
              </w:rPr>
            </w:pPr>
            <w:r w:rsidRPr="00E55F9A">
              <w:rPr>
                <w:rFonts w:ascii="Calibri" w:hAnsi="Calibri"/>
                <w:color w:val="000000"/>
                <w:szCs w:val="22"/>
                <w:lang w:val="en-US"/>
              </w:rPr>
              <w:t>1703</w:t>
            </w:r>
          </w:p>
        </w:tc>
        <w:tc>
          <w:tcPr>
            <w:tcW w:w="1949"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Cheong, Minho</w:t>
            </w:r>
          </w:p>
        </w:tc>
        <w:tc>
          <w:tcPr>
            <w:tcW w:w="1219"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22.3.19.6.4</w:t>
            </w:r>
          </w:p>
        </w:tc>
        <w:tc>
          <w:tcPr>
            <w:tcW w:w="911"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142</w:t>
            </w:r>
          </w:p>
        </w:tc>
        <w:tc>
          <w:tcPr>
            <w:tcW w:w="811"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11</w:t>
            </w:r>
          </w:p>
        </w:tc>
        <w:tc>
          <w:tcPr>
            <w:tcW w:w="1513"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TR</w:t>
            </w:r>
          </w:p>
        </w:tc>
        <w:tc>
          <w:tcPr>
            <w:tcW w:w="2672" w:type="dxa"/>
            <w:tcBorders>
              <w:top w:val="nil"/>
              <w:left w:val="nil"/>
              <w:bottom w:val="nil"/>
              <w:right w:val="nil"/>
            </w:tcBorders>
            <w:shd w:val="clear" w:color="auto" w:fill="auto"/>
            <w:hideMark/>
          </w:tcPr>
          <w:p w:rsidR="00E55F9A" w:rsidRDefault="00E55F9A" w:rsidP="00E55F9A">
            <w:pPr>
              <w:rPr>
                <w:rFonts w:ascii="Calibri" w:hAnsi="Calibri"/>
                <w:color w:val="000000"/>
                <w:szCs w:val="22"/>
                <w:lang w:val="en-US"/>
              </w:rPr>
            </w:pPr>
            <w:r w:rsidRPr="00E55F9A">
              <w:rPr>
                <w:rFonts w:ascii="Calibri" w:hAnsi="Calibri"/>
                <w:color w:val="000000"/>
                <w:szCs w:val="22"/>
                <w:lang w:val="en-US"/>
              </w:rPr>
              <w:t>There is no definition of N_f</w:t>
            </w:r>
          </w:p>
          <w:p w:rsidR="005A62A5" w:rsidRDefault="005A62A5" w:rsidP="005A62A5">
            <w:pPr>
              <w:rPr>
                <w:rFonts w:ascii="Calibri" w:hAnsi="Calibri"/>
                <w:color w:val="000000"/>
                <w:szCs w:val="22"/>
              </w:rPr>
            </w:pPr>
            <w:r>
              <w:rPr>
                <w:rFonts w:ascii="Calibri" w:hAnsi="Calibri"/>
                <w:color w:val="000000"/>
                <w:szCs w:val="22"/>
              </w:rPr>
              <w:t xml:space="preserve">needs to add its definition or delete this expression </w:t>
            </w:r>
          </w:p>
          <w:p w:rsidR="005A62A5" w:rsidRDefault="005A62A5" w:rsidP="00E55F9A">
            <w:pPr>
              <w:rPr>
                <w:rFonts w:ascii="Calibri" w:hAnsi="Calibri"/>
                <w:color w:val="000000"/>
                <w:szCs w:val="22"/>
                <w:lang w:val="en-US"/>
              </w:rPr>
            </w:pPr>
          </w:p>
          <w:p w:rsidR="00411E02" w:rsidRPr="00E55F9A" w:rsidRDefault="00411E02" w:rsidP="00E55F9A">
            <w:pPr>
              <w:rPr>
                <w:rFonts w:ascii="Calibri" w:hAnsi="Calibri"/>
                <w:color w:val="000000"/>
                <w:szCs w:val="22"/>
                <w:lang w:val="en-US"/>
              </w:rPr>
            </w:pPr>
          </w:p>
        </w:tc>
      </w:tr>
      <w:tr w:rsidR="00E55F9A" w:rsidRPr="00E55F9A" w:rsidTr="00411E02">
        <w:trPr>
          <w:trHeight w:val="600"/>
        </w:trPr>
        <w:tc>
          <w:tcPr>
            <w:tcW w:w="1225" w:type="dxa"/>
            <w:tcBorders>
              <w:top w:val="nil"/>
              <w:left w:val="nil"/>
              <w:bottom w:val="nil"/>
              <w:right w:val="nil"/>
            </w:tcBorders>
            <w:shd w:val="clear" w:color="auto" w:fill="auto"/>
            <w:hideMark/>
          </w:tcPr>
          <w:p w:rsidR="00E55F9A" w:rsidRPr="00E55F9A" w:rsidRDefault="00E55F9A" w:rsidP="00E55F9A">
            <w:pPr>
              <w:jc w:val="right"/>
              <w:rPr>
                <w:rFonts w:ascii="Calibri" w:hAnsi="Calibri"/>
                <w:color w:val="000000"/>
                <w:szCs w:val="22"/>
                <w:lang w:val="en-US"/>
              </w:rPr>
            </w:pPr>
            <w:r w:rsidRPr="00E55F9A">
              <w:rPr>
                <w:rFonts w:ascii="Calibri" w:hAnsi="Calibri"/>
                <w:color w:val="000000"/>
                <w:szCs w:val="22"/>
                <w:lang w:val="en-US"/>
              </w:rPr>
              <w:t>1704</w:t>
            </w:r>
          </w:p>
        </w:tc>
        <w:tc>
          <w:tcPr>
            <w:tcW w:w="1949"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Cheong, Minho</w:t>
            </w:r>
          </w:p>
        </w:tc>
        <w:tc>
          <w:tcPr>
            <w:tcW w:w="1219"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22.3.19.6.4</w:t>
            </w:r>
          </w:p>
        </w:tc>
        <w:tc>
          <w:tcPr>
            <w:tcW w:w="911"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142</w:t>
            </w:r>
          </w:p>
        </w:tc>
        <w:tc>
          <w:tcPr>
            <w:tcW w:w="811"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12</w:t>
            </w:r>
          </w:p>
        </w:tc>
        <w:tc>
          <w:tcPr>
            <w:tcW w:w="1513" w:type="dxa"/>
            <w:tcBorders>
              <w:top w:val="nil"/>
              <w:left w:val="nil"/>
              <w:bottom w:val="nil"/>
              <w:right w:val="nil"/>
            </w:tcBorders>
            <w:shd w:val="clear" w:color="auto" w:fill="auto"/>
            <w:hideMark/>
          </w:tcPr>
          <w:p w:rsidR="00E55F9A" w:rsidRPr="00E55F9A" w:rsidRDefault="00E55F9A" w:rsidP="00E55F9A">
            <w:pPr>
              <w:rPr>
                <w:rFonts w:ascii="Calibri" w:hAnsi="Calibri"/>
                <w:color w:val="000000"/>
                <w:szCs w:val="22"/>
                <w:lang w:val="en-US"/>
              </w:rPr>
            </w:pPr>
            <w:r w:rsidRPr="00E55F9A">
              <w:rPr>
                <w:rFonts w:ascii="Calibri" w:hAnsi="Calibri"/>
                <w:color w:val="000000"/>
                <w:szCs w:val="22"/>
                <w:lang w:val="en-US"/>
              </w:rPr>
              <w:t>TR</w:t>
            </w:r>
          </w:p>
        </w:tc>
        <w:tc>
          <w:tcPr>
            <w:tcW w:w="2672" w:type="dxa"/>
            <w:tcBorders>
              <w:top w:val="nil"/>
              <w:left w:val="nil"/>
              <w:bottom w:val="nil"/>
              <w:right w:val="nil"/>
            </w:tcBorders>
            <w:shd w:val="clear" w:color="auto" w:fill="auto"/>
            <w:hideMark/>
          </w:tcPr>
          <w:p w:rsidR="00E55F9A" w:rsidRDefault="00E55F9A" w:rsidP="00E55F9A">
            <w:pPr>
              <w:rPr>
                <w:rFonts w:ascii="Calibri" w:hAnsi="Calibri"/>
                <w:color w:val="000000"/>
                <w:szCs w:val="22"/>
                <w:lang w:val="en-US"/>
              </w:rPr>
            </w:pPr>
            <w:r w:rsidRPr="00E55F9A">
              <w:rPr>
                <w:rFonts w:ascii="Calibri" w:hAnsi="Calibri"/>
                <w:color w:val="000000"/>
                <w:szCs w:val="22"/>
                <w:lang w:val="en-US"/>
              </w:rPr>
              <w:t>There is ambiguity on what this number means</w:t>
            </w:r>
          </w:p>
          <w:p w:rsidR="005A62A5" w:rsidRDefault="005A62A5" w:rsidP="005A62A5">
            <w:pPr>
              <w:rPr>
                <w:rFonts w:ascii="Calibri" w:hAnsi="Calibri"/>
                <w:color w:val="000000"/>
                <w:szCs w:val="22"/>
              </w:rPr>
            </w:pPr>
            <w:r>
              <w:rPr>
                <w:rFonts w:ascii="Calibri" w:hAnsi="Calibri"/>
                <w:color w:val="000000"/>
                <w:szCs w:val="22"/>
              </w:rPr>
              <w:t>at least 16 data OFDM symbols long</w:t>
            </w:r>
          </w:p>
          <w:p w:rsidR="005A62A5" w:rsidRPr="00E55F9A" w:rsidRDefault="005A62A5" w:rsidP="00E55F9A">
            <w:pPr>
              <w:rPr>
                <w:rFonts w:ascii="Calibri" w:hAnsi="Calibri"/>
                <w:color w:val="000000"/>
                <w:szCs w:val="22"/>
                <w:lang w:val="en-US"/>
              </w:rPr>
            </w:pPr>
          </w:p>
        </w:tc>
      </w:tr>
    </w:tbl>
    <w:p w:rsidR="00411E02" w:rsidRDefault="00411E02" w:rsidP="00411E02">
      <w:pPr>
        <w:autoSpaceDE w:val="0"/>
        <w:autoSpaceDN w:val="0"/>
        <w:adjustRightInd w:val="0"/>
        <w:rPr>
          <w:b/>
        </w:rPr>
      </w:pPr>
    </w:p>
    <w:p w:rsidR="00411E02" w:rsidRDefault="00411E02" w:rsidP="00411E02">
      <w:pPr>
        <w:autoSpaceDE w:val="0"/>
        <w:autoSpaceDN w:val="0"/>
        <w:adjustRightInd w:val="0"/>
        <w:rPr>
          <w:b/>
        </w:rPr>
      </w:pPr>
    </w:p>
    <w:p w:rsidR="00411E02" w:rsidRDefault="00411E02" w:rsidP="00411E02">
      <w:pPr>
        <w:autoSpaceDE w:val="0"/>
        <w:autoSpaceDN w:val="0"/>
        <w:adjustRightInd w:val="0"/>
        <w:rPr>
          <w:b/>
        </w:rPr>
      </w:pPr>
    </w:p>
    <w:p w:rsidR="00411E02" w:rsidRDefault="00411E02" w:rsidP="00411E02">
      <w:pPr>
        <w:autoSpaceDE w:val="0"/>
        <w:autoSpaceDN w:val="0"/>
        <w:adjustRightInd w:val="0"/>
        <w:rPr>
          <w:b/>
        </w:rPr>
      </w:pPr>
    </w:p>
    <w:p w:rsidR="00411E02" w:rsidRDefault="00411E02" w:rsidP="00411E02">
      <w:pPr>
        <w:autoSpaceDE w:val="0"/>
        <w:autoSpaceDN w:val="0"/>
        <w:adjustRightInd w:val="0"/>
        <w:rPr>
          <w:b/>
        </w:rPr>
      </w:pPr>
      <w:r w:rsidRPr="00ED3339">
        <w:rPr>
          <w:b/>
        </w:rPr>
        <w:t>Proposed resolution:</w:t>
      </w:r>
    </w:p>
    <w:p w:rsidR="00411E02" w:rsidRDefault="00411E02" w:rsidP="00411E02">
      <w:pPr>
        <w:autoSpaceDE w:val="0"/>
        <w:autoSpaceDN w:val="0"/>
        <w:adjustRightInd w:val="0"/>
        <w:rPr>
          <w:b/>
        </w:rPr>
      </w:pPr>
    </w:p>
    <w:p w:rsidR="000A4B18" w:rsidRDefault="000A4B18" w:rsidP="00411E02">
      <w:pPr>
        <w:autoSpaceDE w:val="0"/>
        <w:autoSpaceDN w:val="0"/>
        <w:adjustRightInd w:val="0"/>
      </w:pPr>
      <w:r>
        <w:rPr>
          <w:b/>
        </w:rPr>
        <w:t xml:space="preserve">905 – </w:t>
      </w:r>
      <w:r>
        <w:t xml:space="preserve">Reject. </w:t>
      </w:r>
    </w:p>
    <w:p w:rsidR="000A4B18" w:rsidRDefault="000A4B18" w:rsidP="00411E02">
      <w:pPr>
        <w:autoSpaceDE w:val="0"/>
        <w:autoSpaceDN w:val="0"/>
        <w:adjustRightInd w:val="0"/>
      </w:pPr>
    </w:p>
    <w:p w:rsidR="000A4B18" w:rsidRDefault="000A4B18" w:rsidP="00411E02">
      <w:pPr>
        <w:autoSpaceDE w:val="0"/>
        <w:autoSpaceDN w:val="0"/>
        <w:adjustRightInd w:val="0"/>
        <w:rPr>
          <w:color w:val="1F497D"/>
        </w:rPr>
      </w:pPr>
      <w:r w:rsidRPr="000A4B18">
        <w:t>“Appropriate normalization” would hide RF impairments maybe even wrong implementations, e.g. LTF fields is 3dB lower than payload</w:t>
      </w:r>
      <w:r>
        <w:rPr>
          <w:color w:val="1F497D"/>
        </w:rPr>
        <w:t>. </w:t>
      </w:r>
    </w:p>
    <w:p w:rsidR="000A4B18" w:rsidRDefault="000A4B18" w:rsidP="00411E02">
      <w:pPr>
        <w:autoSpaceDE w:val="0"/>
        <w:autoSpaceDN w:val="0"/>
        <w:adjustRightInd w:val="0"/>
      </w:pPr>
    </w:p>
    <w:p w:rsidR="000A4B18" w:rsidRPr="000A4B18" w:rsidRDefault="000A4B18" w:rsidP="00411E02">
      <w:pPr>
        <w:autoSpaceDE w:val="0"/>
        <w:autoSpaceDN w:val="0"/>
        <w:adjustRightInd w:val="0"/>
        <w:rPr>
          <w:b/>
        </w:rPr>
      </w:pPr>
      <w:r w:rsidRPr="000A4B18">
        <w:rPr>
          <w:b/>
        </w:rPr>
        <w:t>1703</w:t>
      </w:r>
    </w:p>
    <w:p w:rsidR="00E55F9A" w:rsidRDefault="00411E02" w:rsidP="00411E02">
      <w:r>
        <w:t xml:space="preserve">Change in line 10 : (Nf as defined </w:t>
      </w:r>
      <w:r w:rsidR="007B7128">
        <w:t>in</w:t>
      </w:r>
      <w:r>
        <w:t xml:space="preserve"> formula 20-89)</w:t>
      </w:r>
    </w:p>
    <w:p w:rsidR="000A4B18" w:rsidRDefault="000A4B18" w:rsidP="00411E02"/>
    <w:p w:rsidR="000A4B18" w:rsidRPr="000A4B18" w:rsidRDefault="000A4B18" w:rsidP="00411E02">
      <w:pPr>
        <w:rPr>
          <w:b/>
        </w:rPr>
      </w:pPr>
      <w:r w:rsidRPr="000A4B18">
        <w:rPr>
          <w:b/>
        </w:rPr>
        <w:t>1704</w:t>
      </w:r>
    </w:p>
    <w:p w:rsidR="00411E02" w:rsidRDefault="00411E02" w:rsidP="00411E02">
      <w:r>
        <w:t>Change in line 12 : At least 16 data OFDM symbols long</w:t>
      </w:r>
    </w:p>
    <w:p w:rsidR="009515DE" w:rsidRDefault="009515DE" w:rsidP="00411E02"/>
    <w:p w:rsidR="009515DE" w:rsidRDefault="009515DE" w:rsidP="00411E02"/>
    <w:tbl>
      <w:tblPr>
        <w:tblW w:w="10300" w:type="dxa"/>
        <w:tblInd w:w="94" w:type="dxa"/>
        <w:tblLook w:val="04A0"/>
      </w:tblPr>
      <w:tblGrid>
        <w:gridCol w:w="1184"/>
        <w:gridCol w:w="1854"/>
        <w:gridCol w:w="1114"/>
        <w:gridCol w:w="889"/>
        <w:gridCol w:w="789"/>
        <w:gridCol w:w="1449"/>
        <w:gridCol w:w="3021"/>
      </w:tblGrid>
      <w:tr w:rsidR="009515DE" w:rsidRPr="009515DE" w:rsidTr="009515DE">
        <w:trPr>
          <w:trHeight w:val="5100"/>
        </w:trPr>
        <w:tc>
          <w:tcPr>
            <w:tcW w:w="1184" w:type="dxa"/>
            <w:tcBorders>
              <w:top w:val="nil"/>
              <w:left w:val="nil"/>
              <w:bottom w:val="nil"/>
              <w:right w:val="nil"/>
            </w:tcBorders>
            <w:shd w:val="clear" w:color="auto" w:fill="auto"/>
            <w:hideMark/>
          </w:tcPr>
          <w:p w:rsidR="009515DE" w:rsidRPr="009515DE" w:rsidRDefault="009515DE" w:rsidP="009515DE">
            <w:pPr>
              <w:jc w:val="right"/>
              <w:rPr>
                <w:rFonts w:ascii="Calibri" w:hAnsi="Calibri"/>
                <w:color w:val="000000"/>
                <w:szCs w:val="22"/>
                <w:lang w:val="en-US"/>
              </w:rPr>
            </w:pPr>
            <w:r w:rsidRPr="009515DE">
              <w:rPr>
                <w:rFonts w:ascii="Calibri" w:hAnsi="Calibri"/>
                <w:color w:val="000000"/>
                <w:szCs w:val="22"/>
                <w:lang w:val="en-US"/>
              </w:rPr>
              <w:lastRenderedPageBreak/>
              <w:t>488</w:t>
            </w:r>
          </w:p>
        </w:tc>
        <w:tc>
          <w:tcPr>
            <w:tcW w:w="1854" w:type="dxa"/>
            <w:tcBorders>
              <w:top w:val="nil"/>
              <w:left w:val="nil"/>
              <w:bottom w:val="nil"/>
              <w:right w:val="nil"/>
            </w:tcBorders>
            <w:shd w:val="clear" w:color="auto" w:fill="auto"/>
            <w:hideMark/>
          </w:tcPr>
          <w:p w:rsidR="009515DE" w:rsidRPr="009515DE" w:rsidRDefault="009515DE" w:rsidP="009515DE">
            <w:pPr>
              <w:rPr>
                <w:rFonts w:ascii="Calibri" w:hAnsi="Calibri"/>
                <w:color w:val="000000"/>
                <w:szCs w:val="22"/>
                <w:lang w:val="en-US"/>
              </w:rPr>
            </w:pPr>
            <w:r w:rsidRPr="009515DE">
              <w:rPr>
                <w:rFonts w:ascii="Calibri" w:hAnsi="Calibri"/>
                <w:color w:val="000000"/>
                <w:szCs w:val="22"/>
                <w:lang w:val="en-US"/>
              </w:rPr>
              <w:t>Hart, Brian</w:t>
            </w:r>
          </w:p>
        </w:tc>
        <w:tc>
          <w:tcPr>
            <w:tcW w:w="1114" w:type="dxa"/>
            <w:tcBorders>
              <w:top w:val="nil"/>
              <w:left w:val="nil"/>
              <w:bottom w:val="nil"/>
              <w:right w:val="nil"/>
            </w:tcBorders>
            <w:shd w:val="clear" w:color="auto" w:fill="auto"/>
            <w:hideMark/>
          </w:tcPr>
          <w:p w:rsidR="009515DE" w:rsidRPr="009515DE" w:rsidRDefault="009515DE" w:rsidP="009515DE">
            <w:pPr>
              <w:rPr>
                <w:rFonts w:ascii="Calibri" w:hAnsi="Calibri"/>
                <w:color w:val="000000"/>
                <w:szCs w:val="22"/>
                <w:lang w:val="en-US"/>
              </w:rPr>
            </w:pPr>
            <w:r w:rsidRPr="009515DE">
              <w:rPr>
                <w:rFonts w:ascii="Calibri" w:hAnsi="Calibri"/>
                <w:color w:val="000000"/>
                <w:szCs w:val="22"/>
                <w:lang w:val="en-US"/>
              </w:rPr>
              <w:t>22.3.19.1</w:t>
            </w:r>
          </w:p>
        </w:tc>
        <w:tc>
          <w:tcPr>
            <w:tcW w:w="889" w:type="dxa"/>
            <w:tcBorders>
              <w:top w:val="nil"/>
              <w:left w:val="nil"/>
              <w:bottom w:val="nil"/>
              <w:right w:val="nil"/>
            </w:tcBorders>
            <w:shd w:val="clear" w:color="auto" w:fill="auto"/>
            <w:hideMark/>
          </w:tcPr>
          <w:p w:rsidR="009515DE" w:rsidRPr="009515DE" w:rsidRDefault="009515DE" w:rsidP="009515DE">
            <w:pPr>
              <w:rPr>
                <w:rFonts w:ascii="Calibri" w:hAnsi="Calibri"/>
                <w:color w:val="000000"/>
                <w:szCs w:val="22"/>
                <w:lang w:val="en-US"/>
              </w:rPr>
            </w:pPr>
            <w:r w:rsidRPr="009515DE">
              <w:rPr>
                <w:rFonts w:ascii="Calibri" w:hAnsi="Calibri"/>
                <w:color w:val="000000"/>
                <w:szCs w:val="22"/>
                <w:lang w:val="en-US"/>
              </w:rPr>
              <w:t>136</w:t>
            </w:r>
          </w:p>
        </w:tc>
        <w:tc>
          <w:tcPr>
            <w:tcW w:w="789" w:type="dxa"/>
            <w:tcBorders>
              <w:top w:val="nil"/>
              <w:left w:val="nil"/>
              <w:bottom w:val="nil"/>
              <w:right w:val="nil"/>
            </w:tcBorders>
            <w:shd w:val="clear" w:color="auto" w:fill="auto"/>
            <w:hideMark/>
          </w:tcPr>
          <w:p w:rsidR="009515DE" w:rsidRPr="009515DE" w:rsidRDefault="009515DE" w:rsidP="009515DE">
            <w:pPr>
              <w:rPr>
                <w:rFonts w:ascii="Calibri" w:hAnsi="Calibri"/>
                <w:color w:val="000000"/>
                <w:szCs w:val="22"/>
                <w:lang w:val="en-US"/>
              </w:rPr>
            </w:pPr>
            <w:r w:rsidRPr="009515DE">
              <w:rPr>
                <w:rFonts w:ascii="Calibri" w:hAnsi="Calibri"/>
                <w:color w:val="000000"/>
                <w:szCs w:val="22"/>
                <w:lang w:val="en-US"/>
              </w:rPr>
              <w:t>58</w:t>
            </w:r>
          </w:p>
        </w:tc>
        <w:tc>
          <w:tcPr>
            <w:tcW w:w="1449" w:type="dxa"/>
            <w:tcBorders>
              <w:top w:val="nil"/>
              <w:left w:val="nil"/>
              <w:bottom w:val="nil"/>
              <w:right w:val="nil"/>
            </w:tcBorders>
            <w:shd w:val="clear" w:color="auto" w:fill="auto"/>
            <w:hideMark/>
          </w:tcPr>
          <w:p w:rsidR="009515DE" w:rsidRPr="009515DE" w:rsidRDefault="009515DE" w:rsidP="009515DE">
            <w:pPr>
              <w:rPr>
                <w:rFonts w:ascii="Calibri" w:hAnsi="Calibri"/>
                <w:color w:val="000000"/>
                <w:szCs w:val="22"/>
                <w:lang w:val="en-US"/>
              </w:rPr>
            </w:pPr>
            <w:r w:rsidRPr="009515DE">
              <w:rPr>
                <w:rFonts w:ascii="Calibri" w:hAnsi="Calibri"/>
                <w:color w:val="000000"/>
                <w:szCs w:val="22"/>
                <w:lang w:val="en-US"/>
              </w:rPr>
              <w:t>TR</w:t>
            </w:r>
          </w:p>
        </w:tc>
        <w:tc>
          <w:tcPr>
            <w:tcW w:w="3021" w:type="dxa"/>
            <w:tcBorders>
              <w:top w:val="nil"/>
              <w:left w:val="nil"/>
              <w:bottom w:val="nil"/>
              <w:right w:val="nil"/>
            </w:tcBorders>
            <w:shd w:val="clear" w:color="auto" w:fill="auto"/>
            <w:hideMark/>
          </w:tcPr>
          <w:p w:rsidR="009515DE" w:rsidRPr="009515DE" w:rsidRDefault="009515DE" w:rsidP="009515DE">
            <w:pPr>
              <w:rPr>
                <w:rFonts w:ascii="Calibri" w:hAnsi="Calibri"/>
                <w:color w:val="000000"/>
                <w:szCs w:val="22"/>
                <w:lang w:val="en-US"/>
              </w:rPr>
            </w:pPr>
            <w:r w:rsidRPr="009515DE">
              <w:rPr>
                <w:rFonts w:ascii="Calibri" w:hAnsi="Calibri"/>
                <w:color w:val="000000"/>
                <w:szCs w:val="22"/>
                <w:lang w:val="en-US"/>
              </w:rPr>
              <w:t>The mask is defined with reference to the max PSD of the signal. In 11ac, we have introduced sloppier flatness requirements which allowsthe peak PSD to rise above the mean by 4 dB. So for devices with +4dB peaks, the mask requirements are loosened (higher slidelobes) by 2dB. This a) creates moral risk that vendors will be tempted to create a 4dB peak, and b) was not an identified issue during tecnhical discussions</w:t>
            </w:r>
          </w:p>
          <w:p w:rsidR="009515DE" w:rsidRDefault="009515DE" w:rsidP="009515DE">
            <w:pPr>
              <w:rPr>
                <w:rFonts w:ascii="Calibri" w:hAnsi="Calibri"/>
                <w:color w:val="000000"/>
                <w:szCs w:val="22"/>
              </w:rPr>
            </w:pPr>
            <w:r>
              <w:rPr>
                <w:rFonts w:ascii="Calibri" w:hAnsi="Calibri"/>
                <w:color w:val="000000"/>
                <w:szCs w:val="22"/>
              </w:rPr>
              <w:t>Change the spectral mask reference to min(maxPSD,mean(PSD[central subcarriers as listed in 22.13.19.2])+2). Repeat for 20/40/80/160 MHz</w:t>
            </w:r>
          </w:p>
          <w:p w:rsidR="009515DE" w:rsidRPr="009515DE" w:rsidRDefault="009515DE" w:rsidP="009515DE">
            <w:pPr>
              <w:rPr>
                <w:rFonts w:ascii="Calibri" w:hAnsi="Calibri"/>
                <w:color w:val="000000"/>
                <w:szCs w:val="22"/>
                <w:lang w:val="en-US"/>
              </w:rPr>
            </w:pPr>
          </w:p>
        </w:tc>
      </w:tr>
    </w:tbl>
    <w:p w:rsidR="009515DE" w:rsidRDefault="009515DE" w:rsidP="009515DE">
      <w:pPr>
        <w:autoSpaceDE w:val="0"/>
        <w:autoSpaceDN w:val="0"/>
        <w:adjustRightInd w:val="0"/>
        <w:rPr>
          <w:b/>
        </w:rPr>
      </w:pPr>
      <w:r w:rsidRPr="00ED3339">
        <w:rPr>
          <w:b/>
        </w:rPr>
        <w:t>Proposed resolution:</w:t>
      </w:r>
    </w:p>
    <w:p w:rsidR="009515DE" w:rsidRDefault="009515DE" w:rsidP="009515DE">
      <w:pPr>
        <w:autoSpaceDE w:val="0"/>
        <w:autoSpaceDN w:val="0"/>
        <w:adjustRightInd w:val="0"/>
        <w:rPr>
          <w:b/>
        </w:rPr>
      </w:pPr>
    </w:p>
    <w:p w:rsidR="009515DE" w:rsidRDefault="009515DE" w:rsidP="009515DE">
      <w:pPr>
        <w:autoSpaceDE w:val="0"/>
        <w:autoSpaceDN w:val="0"/>
        <w:adjustRightInd w:val="0"/>
      </w:pPr>
      <w:r>
        <w:t xml:space="preserve">Reject. Simulation results </w:t>
      </w:r>
      <w:r w:rsidR="008B4A9B">
        <w:t>in (</w:t>
      </w:r>
      <w:r w:rsidR="000213CC">
        <w:rPr>
          <w:rFonts w:ascii="TimesNewRoman" w:hAnsi="TimesNewRoman" w:cs="TimesNewRoman"/>
          <w:sz w:val="20"/>
          <w:lang w:val="en-US"/>
        </w:rPr>
        <w:t>11-11-0668-00-00ac</w:t>
      </w:r>
      <w:r w:rsidR="008B4A9B">
        <w:t xml:space="preserve">) </w:t>
      </w:r>
      <w:r>
        <w:t>show negligible degradation. Hence no need to change text.</w:t>
      </w:r>
    </w:p>
    <w:p w:rsidR="009515DE" w:rsidRDefault="009515DE" w:rsidP="00411E02"/>
    <w:p w:rsidR="00A15E10" w:rsidRDefault="00A15E10" w:rsidP="00411E02"/>
    <w:p w:rsidR="00565187" w:rsidRDefault="00565187" w:rsidP="00411E02"/>
    <w:p w:rsidR="00565187" w:rsidRDefault="00565187" w:rsidP="00411E02"/>
    <w:tbl>
      <w:tblPr>
        <w:tblW w:w="10300" w:type="dxa"/>
        <w:tblInd w:w="94" w:type="dxa"/>
        <w:tblLook w:val="04A0"/>
      </w:tblPr>
      <w:tblGrid>
        <w:gridCol w:w="1226"/>
        <w:gridCol w:w="1936"/>
        <w:gridCol w:w="1219"/>
        <w:gridCol w:w="913"/>
        <w:gridCol w:w="813"/>
        <w:gridCol w:w="1519"/>
        <w:gridCol w:w="2674"/>
      </w:tblGrid>
      <w:tr w:rsidR="00A15E10" w:rsidRPr="00291246" w:rsidTr="00321135">
        <w:trPr>
          <w:trHeight w:val="900"/>
        </w:trPr>
        <w:tc>
          <w:tcPr>
            <w:tcW w:w="1226" w:type="dxa"/>
            <w:tcBorders>
              <w:top w:val="nil"/>
              <w:left w:val="nil"/>
              <w:bottom w:val="nil"/>
              <w:right w:val="nil"/>
            </w:tcBorders>
            <w:shd w:val="clear" w:color="auto" w:fill="auto"/>
            <w:hideMark/>
          </w:tcPr>
          <w:p w:rsidR="00A15E10" w:rsidRPr="00291246" w:rsidRDefault="00A15E10" w:rsidP="00321135">
            <w:pPr>
              <w:jc w:val="right"/>
              <w:rPr>
                <w:rFonts w:ascii="Calibri" w:hAnsi="Calibri"/>
                <w:color w:val="000000"/>
                <w:szCs w:val="22"/>
                <w:lang w:val="en-US"/>
              </w:rPr>
            </w:pPr>
            <w:r w:rsidRPr="00291246">
              <w:rPr>
                <w:rFonts w:ascii="Calibri" w:hAnsi="Calibri"/>
                <w:color w:val="000000"/>
                <w:szCs w:val="22"/>
                <w:lang w:val="en-US"/>
              </w:rPr>
              <w:t>213</w:t>
            </w:r>
          </w:p>
        </w:tc>
        <w:tc>
          <w:tcPr>
            <w:tcW w:w="1936" w:type="dxa"/>
            <w:tcBorders>
              <w:top w:val="nil"/>
              <w:left w:val="nil"/>
              <w:bottom w:val="nil"/>
              <w:right w:val="nil"/>
            </w:tcBorders>
            <w:shd w:val="clear" w:color="auto" w:fill="auto"/>
            <w:hideMark/>
          </w:tcPr>
          <w:p w:rsidR="00A15E10" w:rsidRPr="00291246" w:rsidRDefault="00A15E10" w:rsidP="00321135">
            <w:pPr>
              <w:rPr>
                <w:rFonts w:ascii="Calibri" w:hAnsi="Calibri"/>
                <w:color w:val="000000"/>
                <w:szCs w:val="22"/>
                <w:lang w:val="en-US"/>
              </w:rPr>
            </w:pPr>
            <w:r w:rsidRPr="00291246">
              <w:rPr>
                <w:rFonts w:ascii="Calibri" w:hAnsi="Calibri"/>
                <w:color w:val="000000"/>
                <w:szCs w:val="22"/>
                <w:lang w:val="en-US"/>
              </w:rPr>
              <w:t>Erceg, Vinko</w:t>
            </w:r>
          </w:p>
        </w:tc>
        <w:tc>
          <w:tcPr>
            <w:tcW w:w="1219" w:type="dxa"/>
            <w:tcBorders>
              <w:top w:val="nil"/>
              <w:left w:val="nil"/>
              <w:bottom w:val="nil"/>
              <w:right w:val="nil"/>
            </w:tcBorders>
            <w:shd w:val="clear" w:color="auto" w:fill="auto"/>
            <w:hideMark/>
          </w:tcPr>
          <w:p w:rsidR="00A15E10" w:rsidRPr="00291246" w:rsidRDefault="00A15E10" w:rsidP="00321135">
            <w:pPr>
              <w:rPr>
                <w:rFonts w:ascii="Calibri" w:hAnsi="Calibri"/>
                <w:color w:val="000000"/>
                <w:szCs w:val="22"/>
                <w:lang w:val="en-US"/>
              </w:rPr>
            </w:pPr>
            <w:r w:rsidRPr="00291246">
              <w:rPr>
                <w:rFonts w:ascii="Calibri" w:hAnsi="Calibri"/>
                <w:color w:val="000000"/>
                <w:szCs w:val="22"/>
                <w:lang w:val="en-US"/>
              </w:rPr>
              <w:t>22.3.19.6.3</w:t>
            </w:r>
          </w:p>
        </w:tc>
        <w:tc>
          <w:tcPr>
            <w:tcW w:w="913" w:type="dxa"/>
            <w:tcBorders>
              <w:top w:val="nil"/>
              <w:left w:val="nil"/>
              <w:bottom w:val="nil"/>
              <w:right w:val="nil"/>
            </w:tcBorders>
            <w:shd w:val="clear" w:color="auto" w:fill="auto"/>
            <w:hideMark/>
          </w:tcPr>
          <w:p w:rsidR="00A15E10" w:rsidRPr="00291246" w:rsidRDefault="00A15E10" w:rsidP="00321135">
            <w:pPr>
              <w:rPr>
                <w:rFonts w:ascii="Calibri" w:hAnsi="Calibri"/>
                <w:color w:val="000000"/>
                <w:szCs w:val="22"/>
                <w:lang w:val="en-US"/>
              </w:rPr>
            </w:pPr>
            <w:r w:rsidRPr="00291246">
              <w:rPr>
                <w:rFonts w:ascii="Calibri" w:hAnsi="Calibri"/>
                <w:color w:val="000000"/>
                <w:szCs w:val="22"/>
                <w:lang w:val="en-US"/>
              </w:rPr>
              <w:t>141</w:t>
            </w:r>
          </w:p>
        </w:tc>
        <w:tc>
          <w:tcPr>
            <w:tcW w:w="813" w:type="dxa"/>
            <w:tcBorders>
              <w:top w:val="nil"/>
              <w:left w:val="nil"/>
              <w:bottom w:val="nil"/>
              <w:right w:val="nil"/>
            </w:tcBorders>
            <w:shd w:val="clear" w:color="auto" w:fill="auto"/>
            <w:hideMark/>
          </w:tcPr>
          <w:p w:rsidR="00A15E10" w:rsidRPr="00291246" w:rsidRDefault="00A15E10" w:rsidP="00321135">
            <w:pPr>
              <w:rPr>
                <w:rFonts w:ascii="Calibri" w:hAnsi="Calibri"/>
                <w:color w:val="000000"/>
                <w:szCs w:val="22"/>
                <w:lang w:val="en-US"/>
              </w:rPr>
            </w:pPr>
            <w:r w:rsidRPr="00291246">
              <w:rPr>
                <w:rFonts w:ascii="Calibri" w:hAnsi="Calibri"/>
                <w:color w:val="000000"/>
                <w:szCs w:val="22"/>
                <w:lang w:val="en-US"/>
              </w:rPr>
              <w:t>27</w:t>
            </w:r>
          </w:p>
        </w:tc>
        <w:tc>
          <w:tcPr>
            <w:tcW w:w="1519" w:type="dxa"/>
            <w:tcBorders>
              <w:top w:val="nil"/>
              <w:left w:val="nil"/>
              <w:bottom w:val="nil"/>
              <w:right w:val="nil"/>
            </w:tcBorders>
            <w:shd w:val="clear" w:color="auto" w:fill="auto"/>
            <w:hideMark/>
          </w:tcPr>
          <w:p w:rsidR="00A15E10" w:rsidRPr="00291246" w:rsidRDefault="00A15E10" w:rsidP="00321135">
            <w:pPr>
              <w:rPr>
                <w:rFonts w:ascii="Calibri" w:hAnsi="Calibri"/>
                <w:color w:val="000000"/>
                <w:szCs w:val="22"/>
                <w:lang w:val="en-US"/>
              </w:rPr>
            </w:pPr>
            <w:r w:rsidRPr="00291246">
              <w:rPr>
                <w:rFonts w:ascii="Calibri" w:hAnsi="Calibri"/>
                <w:color w:val="000000"/>
                <w:szCs w:val="22"/>
                <w:lang w:val="en-US"/>
              </w:rPr>
              <w:t>TR</w:t>
            </w:r>
          </w:p>
        </w:tc>
        <w:tc>
          <w:tcPr>
            <w:tcW w:w="2674" w:type="dxa"/>
            <w:tcBorders>
              <w:top w:val="nil"/>
              <w:left w:val="nil"/>
              <w:bottom w:val="nil"/>
              <w:right w:val="nil"/>
            </w:tcBorders>
            <w:shd w:val="clear" w:color="auto" w:fill="auto"/>
            <w:hideMark/>
          </w:tcPr>
          <w:p w:rsidR="00A15E10" w:rsidRPr="00291246" w:rsidRDefault="00A15E10" w:rsidP="00321135">
            <w:pPr>
              <w:rPr>
                <w:rFonts w:ascii="Calibri" w:hAnsi="Calibri"/>
                <w:color w:val="000000"/>
                <w:szCs w:val="22"/>
                <w:lang w:val="en-US"/>
              </w:rPr>
            </w:pPr>
            <w:r w:rsidRPr="00291246">
              <w:rPr>
                <w:rFonts w:ascii="Calibri" w:hAnsi="Calibri"/>
                <w:color w:val="000000"/>
                <w:szCs w:val="22"/>
                <w:lang w:val="en-US"/>
              </w:rPr>
              <w:t>Change EVM requirement for 64_qam rate 5/6 from -28dB to -27dB.</w:t>
            </w:r>
          </w:p>
        </w:tc>
      </w:tr>
    </w:tbl>
    <w:p w:rsidR="00A15E10" w:rsidRDefault="00A15E10" w:rsidP="00A15E10">
      <w:pPr>
        <w:rPr>
          <w:b/>
        </w:rPr>
      </w:pPr>
      <w:r w:rsidRPr="00ED3339">
        <w:rPr>
          <w:b/>
        </w:rPr>
        <w:t>Proposed resolution:</w:t>
      </w:r>
    </w:p>
    <w:p w:rsidR="00A15E10" w:rsidRDefault="00A15E10" w:rsidP="00A15E10">
      <w:pPr>
        <w:autoSpaceDE w:val="0"/>
        <w:autoSpaceDN w:val="0"/>
        <w:adjustRightInd w:val="0"/>
        <w:rPr>
          <w:rFonts w:ascii="TimesNewRoman" w:hAnsi="TimesNewRoman" w:cs="TimesNewRoman"/>
          <w:sz w:val="20"/>
          <w:lang w:val="en-US"/>
        </w:rPr>
      </w:pPr>
    </w:p>
    <w:p w:rsidR="00A15E10" w:rsidRDefault="00A15E10" w:rsidP="00A15E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Accept. The performance gap to 64QAM rate ¾ is only 1.3dB (based on contribution 11-11-0029-00-00ac) and doesn’t justify tightening EVM by 3dB</w:t>
      </w:r>
    </w:p>
    <w:p w:rsidR="00A15E10" w:rsidRDefault="00A15E10" w:rsidP="00411E02"/>
    <w:p w:rsidR="003D318A" w:rsidRDefault="003D318A" w:rsidP="00411E02"/>
    <w:tbl>
      <w:tblPr>
        <w:tblW w:w="10300" w:type="dxa"/>
        <w:tblInd w:w="97" w:type="dxa"/>
        <w:tblLook w:val="04A0"/>
      </w:tblPr>
      <w:tblGrid>
        <w:gridCol w:w="1228"/>
        <w:gridCol w:w="1943"/>
        <w:gridCol w:w="1219"/>
        <w:gridCol w:w="913"/>
        <w:gridCol w:w="813"/>
        <w:gridCol w:w="1519"/>
        <w:gridCol w:w="2665"/>
      </w:tblGrid>
      <w:tr w:rsidR="00E410B1" w:rsidRPr="00E410B1" w:rsidTr="00E410B1">
        <w:trPr>
          <w:trHeight w:val="300"/>
        </w:trPr>
        <w:tc>
          <w:tcPr>
            <w:tcW w:w="1240" w:type="dxa"/>
            <w:tcBorders>
              <w:top w:val="nil"/>
              <w:left w:val="nil"/>
              <w:bottom w:val="nil"/>
              <w:right w:val="nil"/>
            </w:tcBorders>
            <w:shd w:val="clear" w:color="auto" w:fill="auto"/>
            <w:hideMark/>
          </w:tcPr>
          <w:p w:rsidR="00E410B1" w:rsidRPr="00E410B1" w:rsidRDefault="00E410B1" w:rsidP="00E410B1">
            <w:pPr>
              <w:jc w:val="right"/>
              <w:rPr>
                <w:rFonts w:ascii="Calibri" w:hAnsi="Calibri"/>
                <w:color w:val="000000"/>
                <w:szCs w:val="22"/>
                <w:lang w:val="en-US"/>
              </w:rPr>
            </w:pPr>
            <w:r w:rsidRPr="00E410B1">
              <w:rPr>
                <w:rFonts w:ascii="Calibri" w:hAnsi="Calibri"/>
                <w:color w:val="000000"/>
                <w:szCs w:val="22"/>
                <w:lang w:val="en-US"/>
              </w:rPr>
              <w:t>1312</w:t>
            </w:r>
          </w:p>
        </w:tc>
        <w:tc>
          <w:tcPr>
            <w:tcW w:w="1960" w:type="dxa"/>
            <w:tcBorders>
              <w:top w:val="nil"/>
              <w:left w:val="nil"/>
              <w:bottom w:val="nil"/>
              <w:right w:val="nil"/>
            </w:tcBorders>
            <w:shd w:val="clear" w:color="auto" w:fill="auto"/>
            <w:hideMark/>
          </w:tcPr>
          <w:p w:rsidR="00E410B1" w:rsidRPr="00E410B1" w:rsidRDefault="00E410B1" w:rsidP="00E410B1">
            <w:pPr>
              <w:rPr>
                <w:rFonts w:ascii="Calibri" w:hAnsi="Calibri"/>
                <w:color w:val="000000"/>
                <w:szCs w:val="22"/>
                <w:lang w:val="en-US"/>
              </w:rPr>
            </w:pPr>
            <w:r w:rsidRPr="00E410B1">
              <w:rPr>
                <w:rFonts w:ascii="Calibri" w:hAnsi="Calibri"/>
                <w:color w:val="000000"/>
                <w:szCs w:val="22"/>
                <w:lang w:val="en-US"/>
              </w:rPr>
              <w:t>Stephens, Adrian</w:t>
            </w:r>
          </w:p>
        </w:tc>
        <w:tc>
          <w:tcPr>
            <w:tcW w:w="1120" w:type="dxa"/>
            <w:tcBorders>
              <w:top w:val="nil"/>
              <w:left w:val="nil"/>
              <w:bottom w:val="nil"/>
              <w:right w:val="nil"/>
            </w:tcBorders>
            <w:shd w:val="clear" w:color="auto" w:fill="auto"/>
            <w:hideMark/>
          </w:tcPr>
          <w:p w:rsidR="00E410B1" w:rsidRPr="00E410B1" w:rsidRDefault="00E410B1" w:rsidP="00E410B1">
            <w:pPr>
              <w:rPr>
                <w:rFonts w:ascii="Calibri" w:hAnsi="Calibri"/>
                <w:color w:val="000000"/>
                <w:szCs w:val="22"/>
                <w:lang w:val="en-US"/>
              </w:rPr>
            </w:pPr>
            <w:r w:rsidRPr="00E410B1">
              <w:rPr>
                <w:rFonts w:ascii="Calibri" w:hAnsi="Calibri"/>
                <w:color w:val="000000"/>
                <w:szCs w:val="22"/>
                <w:lang w:val="en-US"/>
              </w:rPr>
              <w:t>22.3.19.6.2</w:t>
            </w:r>
          </w:p>
        </w:tc>
        <w:tc>
          <w:tcPr>
            <w:tcW w:w="920" w:type="dxa"/>
            <w:tcBorders>
              <w:top w:val="nil"/>
              <w:left w:val="nil"/>
              <w:bottom w:val="nil"/>
              <w:right w:val="nil"/>
            </w:tcBorders>
            <w:shd w:val="clear" w:color="auto" w:fill="auto"/>
            <w:hideMark/>
          </w:tcPr>
          <w:p w:rsidR="00E410B1" w:rsidRPr="00E410B1" w:rsidRDefault="00E410B1" w:rsidP="00E410B1">
            <w:pPr>
              <w:rPr>
                <w:rFonts w:ascii="Calibri" w:hAnsi="Calibri"/>
                <w:color w:val="000000"/>
                <w:szCs w:val="22"/>
                <w:lang w:val="en-US"/>
              </w:rPr>
            </w:pPr>
            <w:r w:rsidRPr="00E410B1">
              <w:rPr>
                <w:rFonts w:ascii="Calibri" w:hAnsi="Calibri"/>
                <w:color w:val="000000"/>
                <w:szCs w:val="22"/>
                <w:lang w:val="en-US"/>
              </w:rPr>
              <w:t>140</w:t>
            </w:r>
          </w:p>
        </w:tc>
        <w:tc>
          <w:tcPr>
            <w:tcW w:w="820" w:type="dxa"/>
            <w:tcBorders>
              <w:top w:val="nil"/>
              <w:left w:val="nil"/>
              <w:bottom w:val="nil"/>
              <w:right w:val="nil"/>
            </w:tcBorders>
            <w:shd w:val="clear" w:color="auto" w:fill="auto"/>
            <w:hideMark/>
          </w:tcPr>
          <w:p w:rsidR="00E410B1" w:rsidRPr="00E410B1" w:rsidRDefault="00E410B1" w:rsidP="00E410B1">
            <w:pPr>
              <w:rPr>
                <w:rFonts w:ascii="Calibri" w:hAnsi="Calibri"/>
                <w:color w:val="000000"/>
                <w:szCs w:val="22"/>
                <w:lang w:val="en-US"/>
              </w:rPr>
            </w:pPr>
            <w:r w:rsidRPr="00E410B1">
              <w:rPr>
                <w:rFonts w:ascii="Calibri" w:hAnsi="Calibri"/>
                <w:color w:val="000000"/>
                <w:szCs w:val="22"/>
                <w:lang w:val="en-US"/>
              </w:rPr>
              <w:t>65</w:t>
            </w:r>
          </w:p>
        </w:tc>
        <w:tc>
          <w:tcPr>
            <w:tcW w:w="1540" w:type="dxa"/>
            <w:tcBorders>
              <w:top w:val="nil"/>
              <w:left w:val="nil"/>
              <w:bottom w:val="nil"/>
              <w:right w:val="nil"/>
            </w:tcBorders>
            <w:shd w:val="clear" w:color="auto" w:fill="auto"/>
            <w:hideMark/>
          </w:tcPr>
          <w:p w:rsidR="00E410B1" w:rsidRPr="00E410B1" w:rsidRDefault="00E410B1" w:rsidP="00E410B1">
            <w:pPr>
              <w:rPr>
                <w:rFonts w:ascii="Calibri" w:hAnsi="Calibri"/>
                <w:color w:val="000000"/>
                <w:szCs w:val="22"/>
                <w:lang w:val="en-US"/>
              </w:rPr>
            </w:pPr>
            <w:r w:rsidRPr="00E410B1">
              <w:rPr>
                <w:rFonts w:ascii="Calibri" w:hAnsi="Calibri"/>
                <w:color w:val="000000"/>
                <w:szCs w:val="22"/>
                <w:lang w:val="en-US"/>
              </w:rPr>
              <w:t>TR</w:t>
            </w:r>
          </w:p>
        </w:tc>
        <w:tc>
          <w:tcPr>
            <w:tcW w:w="2700" w:type="dxa"/>
            <w:tcBorders>
              <w:top w:val="nil"/>
              <w:left w:val="nil"/>
              <w:bottom w:val="nil"/>
              <w:right w:val="nil"/>
            </w:tcBorders>
            <w:shd w:val="clear" w:color="auto" w:fill="auto"/>
            <w:hideMark/>
          </w:tcPr>
          <w:p w:rsidR="00E410B1" w:rsidRPr="00E410B1" w:rsidRDefault="00E410B1" w:rsidP="00E410B1">
            <w:pPr>
              <w:rPr>
                <w:rFonts w:ascii="Calibri" w:hAnsi="Calibri"/>
                <w:color w:val="000000"/>
                <w:szCs w:val="22"/>
                <w:lang w:val="en-US"/>
              </w:rPr>
            </w:pPr>
            <w:r w:rsidRPr="00E410B1">
              <w:rPr>
                <w:rFonts w:ascii="Calibri" w:hAnsi="Calibri"/>
                <w:color w:val="000000"/>
                <w:szCs w:val="22"/>
                <w:lang w:val="en-US"/>
              </w:rPr>
              <w:t>There's a TBD</w:t>
            </w:r>
          </w:p>
        </w:tc>
      </w:tr>
    </w:tbl>
    <w:p w:rsidR="003D318A" w:rsidRDefault="003D318A" w:rsidP="00411E02"/>
    <w:p w:rsidR="00E410B1" w:rsidRDefault="00E410B1" w:rsidP="00E410B1">
      <w:pPr>
        <w:rPr>
          <w:b/>
        </w:rPr>
      </w:pPr>
      <w:r w:rsidRPr="00ED3339">
        <w:rPr>
          <w:b/>
        </w:rPr>
        <w:t>Proposed resolution:</w:t>
      </w:r>
    </w:p>
    <w:p w:rsidR="003D318A" w:rsidRDefault="003D318A" w:rsidP="00411E02"/>
    <w:p w:rsidR="00E410B1" w:rsidRPr="007B7128" w:rsidRDefault="00E410B1" w:rsidP="00411E02">
      <w:pPr>
        <w:rPr>
          <w:u w:val="single"/>
        </w:rPr>
      </w:pPr>
      <w:r w:rsidRPr="007B7128">
        <w:rPr>
          <w:u w:val="single"/>
        </w:rPr>
        <w:t>Replace current text with:</w:t>
      </w:r>
    </w:p>
    <w:p w:rsidR="00E410B1" w:rsidRDefault="00E410B1" w:rsidP="00411E02"/>
    <w:p w:rsidR="00E410B1" w:rsidRDefault="00E410B1" w:rsidP="00E410B1">
      <w:r w:rsidRPr="00E410B1">
        <w:t>TX LO leakage shall meet the following requirements for all bandwidth except non-contiguous 80+80MHz:</w:t>
      </w:r>
    </w:p>
    <w:p w:rsidR="00E410B1" w:rsidRPr="00E410B1" w:rsidRDefault="00E410B1" w:rsidP="00E410B1"/>
    <w:p w:rsidR="00E410B1" w:rsidRPr="00E410B1" w:rsidRDefault="00E410B1" w:rsidP="00E410B1">
      <w:pPr>
        <w:numPr>
          <w:ilvl w:val="0"/>
          <w:numId w:val="12"/>
        </w:numPr>
        <w:rPr>
          <w:szCs w:val="22"/>
        </w:rPr>
      </w:pPr>
      <w:r w:rsidRPr="00E410B1">
        <w:t xml:space="preserve">When RF LO is in the center of the transmitted PPDU BW, the power measured at the center of transmission BW using resolution BW 312.5KHz shall not </w:t>
      </w:r>
      <w:r w:rsidRPr="00E410B1">
        <w:rPr>
          <w:szCs w:val="22"/>
        </w:rPr>
        <w:t xml:space="preserve">exceed the average power per-subcarrier of the transmitted PPDU, or equivalently, (P – 10*log10(N)), where P is the total transmit power and N is the number of data plus pilot tones </w:t>
      </w:r>
    </w:p>
    <w:p w:rsidR="00E410B1" w:rsidRPr="00E410B1" w:rsidRDefault="00E410B1" w:rsidP="00E410B1">
      <w:pPr>
        <w:numPr>
          <w:ilvl w:val="0"/>
          <w:numId w:val="12"/>
        </w:numPr>
        <w:rPr>
          <w:szCs w:val="22"/>
        </w:rPr>
      </w:pPr>
      <w:r w:rsidRPr="00E410B1">
        <w:lastRenderedPageBreak/>
        <w:t>When the RF LO is not at the center of the transmitted PPDU BW, t</w:t>
      </w:r>
      <w:r w:rsidRPr="00E410B1">
        <w:rPr>
          <w:szCs w:val="22"/>
        </w:rPr>
        <w:t>he power measured at the location of the RF LO using resolution BW 312.5KHz shall not exceed the maximum of –32dB relative to the total transmit power and –20 dBm, or equivalently max(P – 32,  – 20), where P is the total transmit power</w:t>
      </w:r>
    </w:p>
    <w:p w:rsidR="00E410B1" w:rsidRDefault="00E410B1" w:rsidP="00E410B1"/>
    <w:p w:rsidR="00E410B1" w:rsidRPr="00E410B1" w:rsidRDefault="00E410B1" w:rsidP="00E410B1">
      <w:r w:rsidRPr="00E410B1">
        <w:t xml:space="preserve">For non-contiguous transmission using nonadjacent 80MHz channels where the RF LO falls outside both channels, the RF LO shall follow the spectral mask </w:t>
      </w:r>
      <w:r w:rsidR="00537E3D">
        <w:t xml:space="preserve">requirements </w:t>
      </w:r>
      <w:r w:rsidRPr="00E410B1">
        <w:t xml:space="preserve">as defined in 22.3.19.1. </w:t>
      </w:r>
    </w:p>
    <w:p w:rsidR="00E410B1" w:rsidRPr="00E410B1" w:rsidRDefault="00E410B1" w:rsidP="00E410B1">
      <w:r w:rsidRPr="00E410B1">
        <w:t> </w:t>
      </w:r>
    </w:p>
    <w:p w:rsidR="00E410B1" w:rsidRDefault="00E410B1" w:rsidP="00411E02"/>
    <w:p w:rsidR="00E410B1" w:rsidRPr="007B7128" w:rsidRDefault="00E410B1" w:rsidP="00411E02">
      <w:pPr>
        <w:rPr>
          <w:u w:val="single"/>
        </w:rPr>
      </w:pPr>
      <w:r w:rsidRPr="007B7128">
        <w:rPr>
          <w:u w:val="single"/>
        </w:rPr>
        <w:t>Add the following sentence to section 22.3.19.1</w:t>
      </w:r>
      <w:r w:rsidR="007B7128" w:rsidRPr="007B7128">
        <w:rPr>
          <w:u w:val="single"/>
        </w:rPr>
        <w:t xml:space="preserve"> page 136</w:t>
      </w:r>
      <w:r w:rsidRPr="007B7128">
        <w:rPr>
          <w:u w:val="single"/>
        </w:rPr>
        <w:t>:</w:t>
      </w:r>
    </w:p>
    <w:p w:rsidR="00E410B1" w:rsidRDefault="00E410B1" w:rsidP="00411E02"/>
    <w:p w:rsidR="00E410B1" w:rsidRDefault="00E410B1" w:rsidP="00411E02"/>
    <w:p w:rsidR="00E410B1" w:rsidRPr="00E410B1" w:rsidRDefault="007B7128" w:rsidP="007B7128">
      <w:pPr>
        <w:rPr>
          <w:szCs w:val="22"/>
        </w:rPr>
      </w:pPr>
      <w:r>
        <w:rPr>
          <w:szCs w:val="22"/>
        </w:rPr>
        <w:t xml:space="preserve">Note 3: For rules regarding </w:t>
      </w:r>
      <w:r w:rsidR="00E410B1" w:rsidRPr="00E410B1">
        <w:rPr>
          <w:szCs w:val="22"/>
        </w:rPr>
        <w:t>TX center frequency leakage</w:t>
      </w:r>
      <w:r>
        <w:rPr>
          <w:szCs w:val="22"/>
        </w:rPr>
        <w:t xml:space="preserve"> levels see section 22.3.19.6.2</w:t>
      </w:r>
    </w:p>
    <w:p w:rsidR="00E410B1" w:rsidRPr="00E410B1" w:rsidRDefault="00E410B1" w:rsidP="00E410B1"/>
    <w:p w:rsidR="00E410B1" w:rsidRDefault="00E410B1" w:rsidP="00411E02"/>
    <w:p w:rsidR="003D318A" w:rsidRDefault="003D318A" w:rsidP="00411E02"/>
    <w:p w:rsidR="003D318A" w:rsidRDefault="003D318A" w:rsidP="00411E02"/>
    <w:p w:rsidR="003D318A" w:rsidRDefault="003D318A" w:rsidP="00411E02"/>
    <w:sectPr w:rsidR="003D318A" w:rsidSect="00E727C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9EA" w:rsidRDefault="000209EA">
      <w:r>
        <w:separator/>
      </w:r>
    </w:p>
  </w:endnote>
  <w:endnote w:type="continuationSeparator" w:id="0">
    <w:p w:rsidR="000209EA" w:rsidRDefault="00020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Futura Condense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1D" w:rsidRDefault="002C7586">
    <w:pPr>
      <w:pStyle w:val="Footer"/>
      <w:tabs>
        <w:tab w:val="clear" w:pos="6480"/>
        <w:tab w:val="center" w:pos="4680"/>
        <w:tab w:val="right" w:pos="9360"/>
      </w:tabs>
    </w:pPr>
    <w:fldSimple w:instr=" SUBJECT  \* MERGEFORMAT ">
      <w:r w:rsidR="009E461D">
        <w:t>Submission</w:t>
      </w:r>
    </w:fldSimple>
    <w:r w:rsidR="009E461D">
      <w:tab/>
      <w:t xml:space="preserve">page </w:t>
    </w:r>
    <w:fldSimple w:instr="page ">
      <w:r w:rsidR="000213CC">
        <w:rPr>
          <w:noProof/>
        </w:rPr>
        <w:t>7</w:t>
      </w:r>
    </w:fldSimple>
    <w:r w:rsidR="009E461D">
      <w:tab/>
    </w:r>
    <w:r w:rsidR="000A4B18">
      <w:t>Ron Porat, Broadcom</w:t>
    </w:r>
  </w:p>
  <w:p w:rsidR="009E461D" w:rsidRDefault="009E46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9EA" w:rsidRDefault="000209EA">
      <w:r>
        <w:separator/>
      </w:r>
    </w:p>
  </w:footnote>
  <w:footnote w:type="continuationSeparator" w:id="0">
    <w:p w:rsidR="000209EA" w:rsidRDefault="00020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1D" w:rsidRDefault="003E037D">
    <w:pPr>
      <w:pStyle w:val="Header"/>
      <w:tabs>
        <w:tab w:val="clear" w:pos="6480"/>
        <w:tab w:val="center" w:pos="4680"/>
        <w:tab w:val="right" w:pos="9360"/>
      </w:tabs>
    </w:pPr>
    <w:r>
      <w:t>May</w:t>
    </w:r>
    <w:r w:rsidR="00D65075">
      <w:t xml:space="preserve"> </w:t>
    </w:r>
    <w:fldSimple w:instr=" KEYWORDS  \* MERGEFORMAT ">
      <w:r w:rsidR="009E461D">
        <w:t>2011</w:t>
      </w:r>
    </w:fldSimple>
    <w:r w:rsidR="009E461D">
      <w:tab/>
    </w:r>
    <w:r w:rsidR="009E461D">
      <w:tab/>
    </w:r>
    <w:fldSimple w:instr=" TITLE  \* MERGEFORMAT ">
      <w:r w:rsidR="009E461D">
        <w:t>doc.: IEEE 802.11-11/</w:t>
      </w:r>
      <w:r w:rsidR="00D63B45">
        <w:t>0583</w:t>
      </w:r>
      <w:r w:rsidR="009E461D">
        <w:t>r</w:t>
      </w:r>
    </w:fldSimple>
    <w:r w:rsidR="007B7128">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45D4A65"/>
    <w:multiLevelType w:val="hybridMultilevel"/>
    <w:tmpl w:val="C324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56225"/>
    <w:multiLevelType w:val="hybridMultilevel"/>
    <w:tmpl w:val="E3FA6D02"/>
    <w:lvl w:ilvl="0" w:tplc="42BA4D30">
      <w:start w:val="1"/>
      <w:numFmt w:val="bullet"/>
      <w:lvlText w:val="•"/>
      <w:lvlJc w:val="left"/>
      <w:pPr>
        <w:tabs>
          <w:tab w:val="num" w:pos="360"/>
        </w:tabs>
        <w:ind w:left="360" w:hanging="360"/>
      </w:pPr>
      <w:rPr>
        <w:rFonts w:ascii="C Futura Condensed" w:hAnsi="C Futura Condensed" w:hint="default"/>
      </w:rPr>
    </w:lvl>
    <w:lvl w:ilvl="1" w:tplc="99F2456E">
      <w:start w:val="3048"/>
      <w:numFmt w:val="bullet"/>
      <w:lvlText w:val="–"/>
      <w:lvlJc w:val="left"/>
      <w:pPr>
        <w:tabs>
          <w:tab w:val="num" w:pos="1080"/>
        </w:tabs>
        <w:ind w:left="1080" w:hanging="360"/>
      </w:pPr>
      <w:rPr>
        <w:rFonts w:ascii="Times New Roman" w:hAnsi="Times New Roman" w:cs="Times New Roman" w:hint="default"/>
      </w:rPr>
    </w:lvl>
    <w:lvl w:ilvl="2" w:tplc="FE86F7CA">
      <w:start w:val="3048"/>
      <w:numFmt w:val="bullet"/>
      <w:lvlText w:val="–"/>
      <w:lvlJc w:val="left"/>
      <w:pPr>
        <w:tabs>
          <w:tab w:val="num" w:pos="1800"/>
        </w:tabs>
        <w:ind w:left="1800" w:hanging="360"/>
      </w:pPr>
      <w:rPr>
        <w:rFonts w:ascii="Times New Roman" w:hAnsi="Times New Roman" w:cs="Times New Roman" w:hint="default"/>
      </w:rPr>
    </w:lvl>
    <w:lvl w:ilvl="3" w:tplc="A9302578">
      <w:start w:val="1"/>
      <w:numFmt w:val="decimal"/>
      <w:lvlText w:val="%4."/>
      <w:lvlJc w:val="left"/>
      <w:pPr>
        <w:tabs>
          <w:tab w:val="num" w:pos="2520"/>
        </w:tabs>
        <w:ind w:left="2520" w:hanging="360"/>
      </w:pPr>
    </w:lvl>
    <w:lvl w:ilvl="4" w:tplc="F330386C">
      <w:start w:val="1"/>
      <w:numFmt w:val="decimal"/>
      <w:lvlText w:val="%5."/>
      <w:lvlJc w:val="left"/>
      <w:pPr>
        <w:tabs>
          <w:tab w:val="num" w:pos="3240"/>
        </w:tabs>
        <w:ind w:left="3240" w:hanging="360"/>
      </w:pPr>
    </w:lvl>
    <w:lvl w:ilvl="5" w:tplc="19E237C6">
      <w:start w:val="1"/>
      <w:numFmt w:val="decimal"/>
      <w:lvlText w:val="%6."/>
      <w:lvlJc w:val="left"/>
      <w:pPr>
        <w:tabs>
          <w:tab w:val="num" w:pos="3960"/>
        </w:tabs>
        <w:ind w:left="3960" w:hanging="360"/>
      </w:pPr>
    </w:lvl>
    <w:lvl w:ilvl="6" w:tplc="FB4A080E">
      <w:start w:val="1"/>
      <w:numFmt w:val="decimal"/>
      <w:lvlText w:val="%7."/>
      <w:lvlJc w:val="left"/>
      <w:pPr>
        <w:tabs>
          <w:tab w:val="num" w:pos="4680"/>
        </w:tabs>
        <w:ind w:left="4680" w:hanging="360"/>
      </w:pPr>
    </w:lvl>
    <w:lvl w:ilvl="7" w:tplc="6B82C55E">
      <w:start w:val="1"/>
      <w:numFmt w:val="decimal"/>
      <w:lvlText w:val="%8."/>
      <w:lvlJc w:val="left"/>
      <w:pPr>
        <w:tabs>
          <w:tab w:val="num" w:pos="5400"/>
        </w:tabs>
        <w:ind w:left="5400" w:hanging="360"/>
      </w:pPr>
    </w:lvl>
    <w:lvl w:ilvl="8" w:tplc="248679CE">
      <w:start w:val="1"/>
      <w:numFmt w:val="decimal"/>
      <w:lvlText w:val="%9."/>
      <w:lvlJc w:val="left"/>
      <w:pPr>
        <w:tabs>
          <w:tab w:val="num" w:pos="6120"/>
        </w:tabs>
        <w:ind w:left="6120" w:hanging="360"/>
      </w:pPr>
    </w:lvl>
  </w:abstractNum>
  <w:abstractNum w:abstractNumId="7">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448FF"/>
    <w:multiLevelType w:val="hybridMultilevel"/>
    <w:tmpl w:val="6650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9012E"/>
    <w:multiLevelType w:val="hybridMultilevel"/>
    <w:tmpl w:val="9782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3"/>
  </w:num>
  <w:num w:numId="8">
    <w:abstractNumId w:val="4"/>
  </w:num>
  <w:num w:numId="9">
    <w:abstractNumId w:val="8"/>
  </w:num>
  <w:num w:numId="10">
    <w:abstractNumId w:val="9"/>
  </w:num>
  <w:num w:numId="11">
    <w:abstractNumId w:val="5"/>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rsids>
    <w:rsidRoot w:val="009635A1"/>
    <w:rsid w:val="0002065E"/>
    <w:rsid w:val="000209EA"/>
    <w:rsid w:val="000213CC"/>
    <w:rsid w:val="00035811"/>
    <w:rsid w:val="000376E2"/>
    <w:rsid w:val="00042DDD"/>
    <w:rsid w:val="00064F73"/>
    <w:rsid w:val="000724C2"/>
    <w:rsid w:val="000766E9"/>
    <w:rsid w:val="00085BFB"/>
    <w:rsid w:val="000A4B18"/>
    <w:rsid w:val="000A7EEE"/>
    <w:rsid w:val="000B0960"/>
    <w:rsid w:val="000C5AFE"/>
    <w:rsid w:val="000D0A3C"/>
    <w:rsid w:val="000D19C9"/>
    <w:rsid w:val="000D6387"/>
    <w:rsid w:val="000E38ED"/>
    <w:rsid w:val="000F08FC"/>
    <w:rsid w:val="000F458C"/>
    <w:rsid w:val="000F6699"/>
    <w:rsid w:val="00106C22"/>
    <w:rsid w:val="001247AD"/>
    <w:rsid w:val="0015137E"/>
    <w:rsid w:val="00152998"/>
    <w:rsid w:val="00161914"/>
    <w:rsid w:val="00163ABC"/>
    <w:rsid w:val="00164C26"/>
    <w:rsid w:val="001905BE"/>
    <w:rsid w:val="00197623"/>
    <w:rsid w:val="001A1569"/>
    <w:rsid w:val="001B5995"/>
    <w:rsid w:val="001B710A"/>
    <w:rsid w:val="001C3617"/>
    <w:rsid w:val="001C39A7"/>
    <w:rsid w:val="001D723B"/>
    <w:rsid w:val="001F2C2B"/>
    <w:rsid w:val="00200CC8"/>
    <w:rsid w:val="00220F43"/>
    <w:rsid w:val="00230BA3"/>
    <w:rsid w:val="00233097"/>
    <w:rsid w:val="00233A1D"/>
    <w:rsid w:val="00236C2C"/>
    <w:rsid w:val="00242041"/>
    <w:rsid w:val="002709F7"/>
    <w:rsid w:val="002847E7"/>
    <w:rsid w:val="0029020B"/>
    <w:rsid w:val="00291246"/>
    <w:rsid w:val="002A24B1"/>
    <w:rsid w:val="002B5477"/>
    <w:rsid w:val="002C7586"/>
    <w:rsid w:val="002D0395"/>
    <w:rsid w:val="002D296E"/>
    <w:rsid w:val="002D44BE"/>
    <w:rsid w:val="002E1927"/>
    <w:rsid w:val="00304E90"/>
    <w:rsid w:val="00313607"/>
    <w:rsid w:val="00316B18"/>
    <w:rsid w:val="00321C48"/>
    <w:rsid w:val="00370A08"/>
    <w:rsid w:val="00370E0C"/>
    <w:rsid w:val="00376AC5"/>
    <w:rsid w:val="00380E7A"/>
    <w:rsid w:val="003857A7"/>
    <w:rsid w:val="00390FF0"/>
    <w:rsid w:val="00395BD8"/>
    <w:rsid w:val="003B0280"/>
    <w:rsid w:val="003B1732"/>
    <w:rsid w:val="003D1D29"/>
    <w:rsid w:val="003D318A"/>
    <w:rsid w:val="003D5478"/>
    <w:rsid w:val="003E037D"/>
    <w:rsid w:val="00400113"/>
    <w:rsid w:val="00411E02"/>
    <w:rsid w:val="004253B1"/>
    <w:rsid w:val="004265C5"/>
    <w:rsid w:val="00427325"/>
    <w:rsid w:val="004320E2"/>
    <w:rsid w:val="00442037"/>
    <w:rsid w:val="00450B89"/>
    <w:rsid w:val="00452498"/>
    <w:rsid w:val="0045563A"/>
    <w:rsid w:val="0046188E"/>
    <w:rsid w:val="00461C51"/>
    <w:rsid w:val="00464B86"/>
    <w:rsid w:val="00464D10"/>
    <w:rsid w:val="00470320"/>
    <w:rsid w:val="00476675"/>
    <w:rsid w:val="004A59C0"/>
    <w:rsid w:val="004A5F28"/>
    <w:rsid w:val="004B7BD0"/>
    <w:rsid w:val="004C4C81"/>
    <w:rsid w:val="004C7AAD"/>
    <w:rsid w:val="004D427C"/>
    <w:rsid w:val="004F2C3A"/>
    <w:rsid w:val="004F4200"/>
    <w:rsid w:val="00504BCE"/>
    <w:rsid w:val="00507376"/>
    <w:rsid w:val="005160B0"/>
    <w:rsid w:val="00531E7E"/>
    <w:rsid w:val="00537E3D"/>
    <w:rsid w:val="00546C62"/>
    <w:rsid w:val="00551C53"/>
    <w:rsid w:val="005573E8"/>
    <w:rsid w:val="005628F2"/>
    <w:rsid w:val="00565187"/>
    <w:rsid w:val="00567D03"/>
    <w:rsid w:val="005803D1"/>
    <w:rsid w:val="005834B7"/>
    <w:rsid w:val="005A2395"/>
    <w:rsid w:val="005A2A88"/>
    <w:rsid w:val="005A62A5"/>
    <w:rsid w:val="005A63CC"/>
    <w:rsid w:val="005B3700"/>
    <w:rsid w:val="005B38F2"/>
    <w:rsid w:val="005D46C0"/>
    <w:rsid w:val="005E0B6D"/>
    <w:rsid w:val="005F4D9B"/>
    <w:rsid w:val="005F6A70"/>
    <w:rsid w:val="0062440B"/>
    <w:rsid w:val="00643C98"/>
    <w:rsid w:val="00663E0D"/>
    <w:rsid w:val="00664EDE"/>
    <w:rsid w:val="006738BE"/>
    <w:rsid w:val="00673FCF"/>
    <w:rsid w:val="00681444"/>
    <w:rsid w:val="00683A5B"/>
    <w:rsid w:val="00691477"/>
    <w:rsid w:val="006A47D0"/>
    <w:rsid w:val="006B5442"/>
    <w:rsid w:val="006C0727"/>
    <w:rsid w:val="006D2E26"/>
    <w:rsid w:val="006E145F"/>
    <w:rsid w:val="006F210C"/>
    <w:rsid w:val="006F6551"/>
    <w:rsid w:val="006F79B1"/>
    <w:rsid w:val="007072CB"/>
    <w:rsid w:val="00712B4B"/>
    <w:rsid w:val="00735D75"/>
    <w:rsid w:val="00735DCE"/>
    <w:rsid w:val="0074313B"/>
    <w:rsid w:val="00745789"/>
    <w:rsid w:val="00752E2E"/>
    <w:rsid w:val="00760A23"/>
    <w:rsid w:val="00761FC1"/>
    <w:rsid w:val="0076647B"/>
    <w:rsid w:val="00770572"/>
    <w:rsid w:val="00776E14"/>
    <w:rsid w:val="007840B5"/>
    <w:rsid w:val="00786734"/>
    <w:rsid w:val="007B7128"/>
    <w:rsid w:val="007C1CBD"/>
    <w:rsid w:val="007C510F"/>
    <w:rsid w:val="007E3941"/>
    <w:rsid w:val="007E552E"/>
    <w:rsid w:val="007F4D8A"/>
    <w:rsid w:val="00807A34"/>
    <w:rsid w:val="008102EB"/>
    <w:rsid w:val="00812BD2"/>
    <w:rsid w:val="00815F65"/>
    <w:rsid w:val="00820DD5"/>
    <w:rsid w:val="00830907"/>
    <w:rsid w:val="00836D62"/>
    <w:rsid w:val="008374B4"/>
    <w:rsid w:val="00840120"/>
    <w:rsid w:val="00850C5E"/>
    <w:rsid w:val="00856084"/>
    <w:rsid w:val="00867E7C"/>
    <w:rsid w:val="0089088B"/>
    <w:rsid w:val="008930F2"/>
    <w:rsid w:val="008949B6"/>
    <w:rsid w:val="008A2DC0"/>
    <w:rsid w:val="008B4A9B"/>
    <w:rsid w:val="008C678C"/>
    <w:rsid w:val="008C6E60"/>
    <w:rsid w:val="008D37D4"/>
    <w:rsid w:val="008F0170"/>
    <w:rsid w:val="008F2154"/>
    <w:rsid w:val="008F4E9D"/>
    <w:rsid w:val="00904ED7"/>
    <w:rsid w:val="0090557F"/>
    <w:rsid w:val="009209AF"/>
    <w:rsid w:val="009345C8"/>
    <w:rsid w:val="00934BE0"/>
    <w:rsid w:val="009411AB"/>
    <w:rsid w:val="00942F15"/>
    <w:rsid w:val="009515DE"/>
    <w:rsid w:val="00961442"/>
    <w:rsid w:val="009635A1"/>
    <w:rsid w:val="0096566E"/>
    <w:rsid w:val="00965A18"/>
    <w:rsid w:val="009715D6"/>
    <w:rsid w:val="0099007F"/>
    <w:rsid w:val="00996AC8"/>
    <w:rsid w:val="00996FA9"/>
    <w:rsid w:val="009B3751"/>
    <w:rsid w:val="009B3CE6"/>
    <w:rsid w:val="009B5BC5"/>
    <w:rsid w:val="009D2A2D"/>
    <w:rsid w:val="009E1AB0"/>
    <w:rsid w:val="009E2DF9"/>
    <w:rsid w:val="009E461D"/>
    <w:rsid w:val="009E57EA"/>
    <w:rsid w:val="009E734B"/>
    <w:rsid w:val="009E74D6"/>
    <w:rsid w:val="009F13B3"/>
    <w:rsid w:val="00A0027C"/>
    <w:rsid w:val="00A00FF6"/>
    <w:rsid w:val="00A104E3"/>
    <w:rsid w:val="00A146BC"/>
    <w:rsid w:val="00A15E10"/>
    <w:rsid w:val="00A23844"/>
    <w:rsid w:val="00A26E13"/>
    <w:rsid w:val="00A31852"/>
    <w:rsid w:val="00A4268A"/>
    <w:rsid w:val="00A54269"/>
    <w:rsid w:val="00A549F9"/>
    <w:rsid w:val="00A7317F"/>
    <w:rsid w:val="00A76584"/>
    <w:rsid w:val="00AA427C"/>
    <w:rsid w:val="00AB00B7"/>
    <w:rsid w:val="00AC114E"/>
    <w:rsid w:val="00AC3267"/>
    <w:rsid w:val="00AC4DC0"/>
    <w:rsid w:val="00AD0934"/>
    <w:rsid w:val="00AF3600"/>
    <w:rsid w:val="00AF488E"/>
    <w:rsid w:val="00B14255"/>
    <w:rsid w:val="00B40B11"/>
    <w:rsid w:val="00B41618"/>
    <w:rsid w:val="00B8101E"/>
    <w:rsid w:val="00BB3A7E"/>
    <w:rsid w:val="00BC756C"/>
    <w:rsid w:val="00BD7100"/>
    <w:rsid w:val="00BE68C2"/>
    <w:rsid w:val="00C0045D"/>
    <w:rsid w:val="00C31117"/>
    <w:rsid w:val="00C363F6"/>
    <w:rsid w:val="00C46DC4"/>
    <w:rsid w:val="00C62A63"/>
    <w:rsid w:val="00C6449C"/>
    <w:rsid w:val="00C66F96"/>
    <w:rsid w:val="00C83392"/>
    <w:rsid w:val="00C85E44"/>
    <w:rsid w:val="00C875EF"/>
    <w:rsid w:val="00CA09B2"/>
    <w:rsid w:val="00CA77F6"/>
    <w:rsid w:val="00CD5C7D"/>
    <w:rsid w:val="00CE205F"/>
    <w:rsid w:val="00CE2600"/>
    <w:rsid w:val="00CF2F18"/>
    <w:rsid w:val="00CF600C"/>
    <w:rsid w:val="00D04564"/>
    <w:rsid w:val="00D10E4A"/>
    <w:rsid w:val="00D21483"/>
    <w:rsid w:val="00D303F6"/>
    <w:rsid w:val="00D41659"/>
    <w:rsid w:val="00D531E1"/>
    <w:rsid w:val="00D56C6D"/>
    <w:rsid w:val="00D63B45"/>
    <w:rsid w:val="00D65075"/>
    <w:rsid w:val="00D75FB9"/>
    <w:rsid w:val="00D8216E"/>
    <w:rsid w:val="00D87E81"/>
    <w:rsid w:val="00DB40AD"/>
    <w:rsid w:val="00DC5A7B"/>
    <w:rsid w:val="00DC6DEB"/>
    <w:rsid w:val="00DD0394"/>
    <w:rsid w:val="00DE4062"/>
    <w:rsid w:val="00DF095C"/>
    <w:rsid w:val="00DF4C37"/>
    <w:rsid w:val="00E03FFD"/>
    <w:rsid w:val="00E06A37"/>
    <w:rsid w:val="00E1385C"/>
    <w:rsid w:val="00E258E0"/>
    <w:rsid w:val="00E26145"/>
    <w:rsid w:val="00E26D78"/>
    <w:rsid w:val="00E3344A"/>
    <w:rsid w:val="00E410B1"/>
    <w:rsid w:val="00E4515E"/>
    <w:rsid w:val="00E55F9A"/>
    <w:rsid w:val="00E670F7"/>
    <w:rsid w:val="00E72307"/>
    <w:rsid w:val="00E727C3"/>
    <w:rsid w:val="00E73CBF"/>
    <w:rsid w:val="00E80CA5"/>
    <w:rsid w:val="00E8104F"/>
    <w:rsid w:val="00E85796"/>
    <w:rsid w:val="00EB3328"/>
    <w:rsid w:val="00EC3E56"/>
    <w:rsid w:val="00EC6BF3"/>
    <w:rsid w:val="00ED3339"/>
    <w:rsid w:val="00ED507A"/>
    <w:rsid w:val="00ED6992"/>
    <w:rsid w:val="00ED75BB"/>
    <w:rsid w:val="00F71076"/>
    <w:rsid w:val="00F74451"/>
    <w:rsid w:val="00F83458"/>
    <w:rsid w:val="00F93A9C"/>
    <w:rsid w:val="00FB5E46"/>
    <w:rsid w:val="00FB63FF"/>
    <w:rsid w:val="00FB67AC"/>
    <w:rsid w:val="00FB7991"/>
    <w:rsid w:val="00FD7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s>
</file>

<file path=word/webSettings.xml><?xml version="1.0" encoding="utf-8"?>
<w:webSettings xmlns:r="http://schemas.openxmlformats.org/officeDocument/2006/relationships" xmlns:w="http://schemas.openxmlformats.org/wordprocessingml/2006/main">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5484684">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36282469">
      <w:bodyDiv w:val="1"/>
      <w:marLeft w:val="0"/>
      <w:marRight w:val="0"/>
      <w:marTop w:val="0"/>
      <w:marBottom w:val="0"/>
      <w:divBdr>
        <w:top w:val="none" w:sz="0" w:space="0" w:color="auto"/>
        <w:left w:val="none" w:sz="0" w:space="0" w:color="auto"/>
        <w:bottom w:val="none" w:sz="0" w:space="0" w:color="auto"/>
        <w:right w:val="none" w:sz="0" w:space="0" w:color="auto"/>
      </w:divBdr>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70146054">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63560951">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76952057">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871749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43564914">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orat@broad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F6FB-6948-49D6-8BBC-90F55FEB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2264</TotalTime>
  <Pages>8</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Ron Porat</dc:creator>
  <cp:keywords/>
  <dc:description/>
  <cp:lastModifiedBy>Ron Porat</cp:lastModifiedBy>
  <cp:revision>15</cp:revision>
  <cp:lastPrinted>2011-03-31T18:31:00Z</cp:lastPrinted>
  <dcterms:created xsi:type="dcterms:W3CDTF">2011-05-04T00:01:00Z</dcterms:created>
  <dcterms:modified xsi:type="dcterms:W3CDTF">2011-05-05T18:37:00Z</dcterms:modified>
</cp:coreProperties>
</file>